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NIS2 GOVERNANCE INSTRUMENT</w:t>
      </w:r>
    </w:p>
    <w:p>
      <w:pPr>
        <w:shd w:fill="1B2A4A" w:val="clear"/>
        <w:spacing w:before="40" w:after="0"/>
        <w:ind w:left="1440"/>
      </w:pPr>
      <w:r>
        <w:rPr>
          <w:rFonts w:ascii="Arial" w:cs="Arial" w:eastAsia="Arial" w:hAnsi="Arial"/>
          <w:i/>
          <w:iCs/>
          <w:color w:val="D6E4F7"/>
          <w:sz w:val="24"/>
          <w:szCs w:val="24"/>
        </w:rPr>
        <w:t xml:space="preserve">GOV-001  |  Governance Instrument  |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GOV-001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General Counsel  |  CFO  |  CEO</w:t>
      </w:r>
    </w:p>
    <w:p>
      <w:pPr>
        <w:shd w:fill="1B2A4A" w:val="clear"/>
        <w:spacing w:before="40" w:after="40"/>
        <w:ind w:left="1440"/>
      </w:pPr>
      <w:r>
        <w:rPr>
          <w:rFonts w:ascii="Arial" w:cs="Arial" w:eastAsia="Arial" w:hAnsi="Arial"/>
          <w:b/>
          <w:bCs/>
          <w:color w:val="FFFFFF"/>
          <w:sz w:val="20"/>
          <w:szCs w:val="20"/>
        </w:rPr>
        <w:t xml:space="preserve">Approved by:  </w:t>
      </w:r>
      <w:r>
        <w:rPr>
          <w:rFonts w:ascii="Arial" w:cs="Arial" w:eastAsia="Arial" w:hAnsi="Arial"/>
          <w:color w:val="D6E4F7"/>
          <w:sz w:val="20"/>
          <w:szCs w:val="20"/>
        </w:rPr>
        <w:t xml:space="preserve">Management Body  —  [DATE]</w:t>
      </w:r>
    </w:p>
    <w:p>
      <w:pPr>
        <w:shd w:fill="1B2A4A" w:val="clear"/>
        <w:spacing w:before="40" w:after="40"/>
        <w:ind w:left="1440"/>
      </w:pPr>
      <w:r>
        <w:rPr>
          <w:rFonts w:ascii="Arial" w:cs="Arial" w:eastAsia="Arial" w:hAnsi="Arial"/>
          <w:b/>
          <w:bCs/>
          <w:color w:val="FFFFFF"/>
          <w:sz w:val="20"/>
          <w:szCs w:val="20"/>
        </w:rPr>
        <w:t xml:space="preserve">Review Frequency:  </w:t>
      </w:r>
      <w:r>
        <w:rPr>
          <w:rFonts w:ascii="Arial" w:cs="Arial" w:eastAsia="Arial" w:hAnsi="Arial"/>
          <w:color w:val="D6E4F7"/>
          <w:sz w:val="20"/>
          <w:szCs w:val="20"/>
        </w:rPr>
        <w:t xml:space="preserve">Annual</w:t>
      </w:r>
    </w:p>
    <w:p>
      <w:pPr>
        <w:shd w:fill="1B2A4A" w:val="clear"/>
        <w:spacing w:before="40" w:after="40"/>
        <w:ind w:left="1440"/>
      </w:pPr>
      <w:r>
        <w:rPr>
          <w:rFonts w:ascii="Arial" w:cs="Arial" w:eastAsia="Arial" w:hAnsi="Arial"/>
          <w:b/>
          <w:bCs/>
          <w:color w:val="FFFFFF"/>
          <w:sz w:val="20"/>
          <w:szCs w:val="20"/>
        </w:rPr>
        <w:t xml:space="preserve">Status:  </w:t>
      </w:r>
      <w:r>
        <w:rPr>
          <w:rFonts w:ascii="Arial" w:cs="Arial" w:eastAsia="Arial" w:hAnsi="Arial"/>
          <w:color w:val="D6E4F7"/>
          <w:sz w:val="20"/>
          <w:szCs w:val="20"/>
        </w:rPr>
        <w:t xml:space="preserve">Active</w:t>
      </w:r>
    </w:p>
    <w:p>
      <w:pPr>
        <w:shd w:fill="1B2A4A" w:val="clear"/>
        <w:spacing w:before="40" w:after="40"/>
        <w:ind w:left="1440"/>
      </w:pPr>
      <w:r>
        <w:rPr>
          <w:rFonts w:ascii="Arial" w:cs="Arial" w:eastAsia="Arial" w:hAnsi="Arial"/>
          <w:b/>
          <w:bCs/>
          <w:color w:val="FFFFFF"/>
          <w:sz w:val="20"/>
          <w:szCs w:val="20"/>
        </w:rPr>
        <w:t xml:space="preserve">Regulation:  </w:t>
      </w:r>
      <w:r>
        <w:rPr>
          <w:rFonts w:ascii="Arial" w:cs="Arial" w:eastAsia="Arial" w:hAnsi="Arial"/>
          <w:color w:val="D6E4F7"/>
          <w:sz w:val="20"/>
          <w:szCs w:val="20"/>
        </w:rPr>
        <w:t xml:space="preserve">NIS2 Directive (EU) 2022/2555, Articles 20 and 21</w:t>
      </w:r>
    </w:p>
    <w:p>
      <w:pPr>
        <w:shd w:fill="1B2A4A" w:val="clear"/>
        <w:spacing w:before="40" w:after="40"/>
        <w:ind w:left="1440"/>
      </w:pPr>
      <w:r>
        <w:rPr>
          <w:rFonts w:ascii="Arial" w:cs="Arial" w:eastAsia="Arial" w:hAnsi="Arial"/>
          <w:b/>
          <w:bCs/>
          <w:color w:val="FFFFFF"/>
          <w:sz w:val="20"/>
          <w:szCs w:val="20"/>
        </w:rPr>
        <w:t xml:space="preserve">Addresses Gaps:  </w:t>
      </w:r>
      <w:r>
        <w:rPr>
          <w:rFonts w:ascii="Arial" w:cs="Arial" w:eastAsia="Arial" w:hAnsi="Arial"/>
          <w:color w:val="D6E4F7"/>
          <w:sz w:val="20"/>
          <w:szCs w:val="20"/>
        </w:rPr>
        <w:t xml:space="preserve">NIS2-G01, NIS2-G03, ISO-G02, ISO-G04</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Governance Instrument establishes the formal governance framework required by Articles 20 and 21 of the NIS2 Directive (EU) 2022/2555 ('NIS2'). It creates the mechanisms through which [Company Name]'s management body approves and oversees the cybersecurity risk-management programme, demonstrates that management body members receive appropriate cybersecurity training, and evidences the effectiveness of cybersecurity measures in a form available for regulatory inspection.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NIS2 Article 20(1) makes management body members personally liable for failures of oversight. The formal approval and review processes in this document are the primary mechanism through which that liability obligation is discharged. Failure to maintain this instrument — or to execute the approval acts it defines — creates direct personal regulatory exposure for each management body member.</w:t>
            </w:r>
          </w:p>
        </w:tc>
      </w:tr>
    </w:tbl>
    <w:p>
      <w:pPr>
        <w:pStyle w:val="Heading1"/>
        <w:spacing w:before="360" w:after="120"/>
      </w:pPr>
      <w:r>
        <w:rPr>
          <w:rFonts w:ascii="Arial" w:cs="Arial" w:eastAsia="Arial" w:hAnsi="Arial"/>
          <w:b/>
          <w:bCs/>
          <w:color w:val="1B2A4A"/>
          <w:sz w:val="36"/>
          <w:szCs w:val="36"/>
        </w:rPr>
        <w:t xml:space="preserve">2.  Scope and Applicability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instrument applies to all members of the [Company Name] management body (Board of Directors, or equivalent governing body), the Chief Executive Officer, Chief Financial Officer, Chief Information Officer, Chief Information Security Officer, Chief People Officer, General Counsel, and any other executive who is a member of the management body as defined by NIS2.</w:t>
      </w:r>
    </w:p>
    <w:p>
      <w:pPr>
        <w:spacing w:before="60" w:after="0"/>
      </w:pPr>
      <w:r>
        <w:t xml:space="preserve"/>
      </w:r>
    </w:p>
    <w:p>
      <w:pPr>
        <w:spacing w:before="80" w:after="80"/>
      </w:pPr>
      <w:r>
        <w:rPr>
          <w:rFonts w:ascii="Arial" w:cs="Arial" w:eastAsia="Arial" w:hAnsi="Arial"/>
          <w:color w:val="333333"/>
          <w:sz w:val="22"/>
          <w:szCs w:val="22"/>
        </w:rPr>
        <w:t xml:space="preserve">It applies in addition to — and does not replace — any obligations already imposed by IMF-001, POL-010, SOP-010, or any other document in the IMF suite. The IMF suite constitutes the cybersecurity risk-management measures that this instrument governs.</w:t>
      </w:r>
    </w:p>
    <w:p>
      <w:pPr>
        <w:pStyle w:val="Heading1"/>
        <w:spacing w:before="360" w:after="120"/>
      </w:pPr>
      <w:r>
        <w:rPr>
          <w:rFonts w:ascii="Arial" w:cs="Arial" w:eastAsia="Arial" w:hAnsi="Arial"/>
          <w:b/>
          <w:bCs/>
          <w:color w:val="1B2A4A"/>
          <w:sz w:val="36"/>
          <w:szCs w:val="36"/>
        </w:rPr>
        <w:t xml:space="preserve">3.  Article 20 — Management Body Obligations</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3.1  Annual Programme Approval</w:t>
      </w:r>
    </w:p>
    <w:p>
      <w:pPr>
        <w:spacing w:before="80" w:after="80"/>
      </w:pPr>
      <w:r>
        <w:rPr>
          <w:rFonts w:ascii="Arial" w:cs="Arial" w:eastAsia="Arial" w:hAnsi="Arial"/>
          <w:color w:val="333333"/>
          <w:sz w:val="22"/>
          <w:szCs w:val="22"/>
        </w:rPr>
        <w:t xml:space="preserve">The management body shall formally approve the cybersecurity risk-management programme at least once per calendar year. Approval constitutes confirmation that the management body:</w:t>
      </w:r>
    </w:p>
    <w:p>
      <w:pPr>
        <w:pStyle w:val="ListParagraph"/>
        <w:numPr>
          <w:ilvl w:val="0"/>
          <w:numId w:val="2"/>
        </w:numPr>
        <w:spacing w:before="60" w:after="60"/>
      </w:pPr>
      <w:r>
        <w:rPr>
          <w:rFonts w:ascii="Arial" w:cs="Arial" w:eastAsia="Arial" w:hAnsi="Arial"/>
          <w:color w:val="333333"/>
          <w:sz w:val="22"/>
          <w:szCs w:val="22"/>
        </w:rPr>
        <w:t xml:space="preserve">has reviewed the Annual Programme Effectiveness Report (Section 4.2) and is satisfied that appropriate and proportionate risk-management measures are in place;</w:t>
      </w:r>
    </w:p>
    <w:p>
      <w:pPr>
        <w:pStyle w:val="ListParagraph"/>
        <w:numPr>
          <w:ilvl w:val="0"/>
          <w:numId w:val="2"/>
        </w:numPr>
        <w:spacing w:before="60" w:after="60"/>
      </w:pPr>
      <w:r>
        <w:rPr>
          <w:rFonts w:ascii="Arial" w:cs="Arial" w:eastAsia="Arial" w:hAnsi="Arial"/>
          <w:color w:val="333333"/>
          <w:sz w:val="22"/>
          <w:szCs w:val="22"/>
        </w:rPr>
        <w:t xml:space="preserve">is aware of the organisation's current risk posture, including open High and Critical risks, exceptions, and any incidents since the previous approval;</w:t>
      </w:r>
    </w:p>
    <w:p>
      <w:pPr>
        <w:pStyle w:val="ListParagraph"/>
        <w:numPr>
          <w:ilvl w:val="0"/>
          <w:numId w:val="2"/>
        </w:numPr>
        <w:spacing w:before="60" w:after="60"/>
      </w:pPr>
      <w:r>
        <w:rPr>
          <w:rFonts w:ascii="Arial" w:cs="Arial" w:eastAsia="Arial" w:hAnsi="Arial"/>
          <w:color w:val="333333"/>
          <w:sz w:val="22"/>
          <w:szCs w:val="22"/>
        </w:rPr>
        <w:t xml:space="preserve">approves the programme as constituting the 'cybersecurity risk-management measures' of [Company Name] for the purposes of NIS2 Article 21; and</w:t>
      </w:r>
    </w:p>
    <w:p>
      <w:pPr>
        <w:pStyle w:val="ListParagraph"/>
        <w:numPr>
          <w:ilvl w:val="0"/>
          <w:numId w:val="2"/>
        </w:numPr>
        <w:spacing w:before="60" w:after="60"/>
      </w:pPr>
      <w:r>
        <w:rPr>
          <w:rFonts w:ascii="Arial" w:cs="Arial" w:eastAsia="Arial" w:hAnsi="Arial"/>
          <w:color w:val="333333"/>
          <w:sz w:val="22"/>
          <w:szCs w:val="22"/>
        </w:rPr>
        <w:t xml:space="preserve">has considered any material changes to the threat environment, regulatory landscape, or organisational scope since the previous approval.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Attribute</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minimum. Extra-ordinary approval required within 30 days of: a material change to the regulatory or threat landscape; a P1 security incident; a significant NIS2-reportable incident; a merger, acquisition, or major system change materially affecting the programme.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Quorum</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management body (or quorum as defined by the governing instrument). No proxy.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Board/management body minutes confirming approval, referencing GOV-001 by document ID and version. Minutes must be retained for a minimum of 5 years and available for regulatory inspection within 3 business days of request.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Deferral</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the annual approval window lapses without a meeting, the CISO notifies the Board Chair and General Counsel within 5 business days. Approval must occur at the earliest available meeting and the reason for delay must be documented.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3.2  Ongoing Oversight Obligations</w:t>
      </w:r>
    </w:p>
    <w:p>
      <w:pPr>
        <w:spacing w:before="80" w:after="80"/>
      </w:pPr>
      <w:r>
        <w:rPr>
          <w:rFonts w:ascii="Arial" w:cs="Arial" w:eastAsia="Arial" w:hAnsi="Arial"/>
          <w:color w:val="333333"/>
          <w:sz w:val="22"/>
          <w:szCs w:val="22"/>
        </w:rPr>
        <w:t xml:space="preserve">Between annual approvals, the management body retains the following oversight obligations: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Receive CISO cybersecurity briefing — current risk posture, significant incidents, regulatory developments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at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minutes / CISO report filed in Board papers repository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open High and Critical risks from POL-010 Risk Register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(embedded in CISO briefing)</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 minutes — copy to Board Chair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any active exceptions under EXC-001 that are High or Critical residual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(embedded in CISO briefing)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 exception register extract in Board papers</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supply chain security posture — Tier A vendor status under POL-013</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Semi-annual</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Report in Board papers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Receive notification of any NIS2 significant incident within 24 hours of incident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events occur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 record in incident log (SOP-012)</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3.3  Management Body Cybersecurity Training</w:t>
      </w:r>
    </w:p>
    <w:p>
      <w:pPr>
        <w:spacing w:before="80" w:after="80"/>
      </w:pPr>
      <w:r>
        <w:rPr>
          <w:rFonts w:ascii="Arial" w:cs="Arial" w:eastAsia="Arial" w:hAnsi="Arial"/>
          <w:color w:val="333333"/>
          <w:sz w:val="22"/>
          <w:szCs w:val="22"/>
        </w:rPr>
        <w:t xml:space="preserve">NIS2 Article 20(2) requires that members of the management body complete cybersecurity training sufficient to enable them to identify risks and assess cybersecurity risk-management practices. This section defines the management body training programme.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Management body training is tracked separately from the general POL-020 training tiers and is not substituted by Tier 1 all-staff training. Completion records must be individually named, dated, and available for inspection.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Training Attribute</w:t>
            </w:r>
          </w:p>
        </w:tc>
        <w:tc>
          <w:tcPr>
            <w:tcW w:type="dxa" w:w="6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management body members; CEO; CFO; CIO; CISO; CPO; General Counsel; any executive with oversight responsibility under NIS2</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Format</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Assessed — completion alone is not sufficient. Assessment must test identification of risk scenarios, understanding of the organisation's risk posture, and the obligations imposed by NIS2. Minimum 60-minute assessed module per 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Content (minimum)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NIS2 Article 20 personal liability obligations; (b) [Company Name] cybersecurity risk posture and open significant risks; (c) AI governance and emerging threat landscape; (d) supply chain risk and Board-level indicators; (e) the organisation's incident response obligations including NIS2 Article 23 timelines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Frequency</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Onboarding training within 30 days of appointment to the management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Completion deadline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September each year for annual renewal. No extension except under EXC-001 with CISO approval.</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LMS completion record including: name, role, module name, completion date, assessment score, version of module. Retained minimum 5 years. Available for NIS2 supervisory inspection.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Failure to complete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notifies Board Chair and General Counsel at 30 days overdue. Overdue status included in next ISSG and Board papers.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management body member</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 onboarding cybersecurity training within 30 days of appointment. Until onboarding training is complete, the new member must not approve cybersecurity risk-management measures without a written briefing from the CISO.</w:t>
            </w:r>
          </w:p>
        </w:tc>
      </w:tr>
    </w:tbl>
    <w:p>
      <w:pPr>
        <w:pStyle w:val="Heading1"/>
        <w:spacing w:before="360" w:after="120"/>
      </w:pPr>
      <w:r>
        <w:rPr>
          <w:rFonts w:ascii="Arial" w:cs="Arial" w:eastAsia="Arial" w:hAnsi="Arial"/>
          <w:b/>
          <w:bCs/>
          <w:color w:val="1B2A4A"/>
          <w:sz w:val="36"/>
          <w:szCs w:val="36"/>
        </w:rPr>
        <w:t xml:space="preserve">4.  Article 21(f) — Programme Effectiveness Framework</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4.1  Effectiveness Assessment Approach</w:t>
      </w:r>
    </w:p>
    <w:p>
      <w:pPr>
        <w:spacing w:before="80" w:after="80"/>
      </w:pPr>
      <w:r>
        <w:rPr>
          <w:rFonts w:ascii="Arial" w:cs="Arial" w:eastAsia="Arial" w:hAnsi="Arial"/>
          <w:color w:val="333333"/>
          <w:sz w:val="22"/>
          <w:szCs w:val="22"/>
        </w:rPr>
        <w:t xml:space="preserve">NIS2 Article 21(f) requires policies and procedures to assess the effectiveness of cybersecurity risk-management measures. [Company Name] addresses this through a two-level framework: domain-level review (annual review within each policy) aggregating into a programme-level Annual Programme Effectiveness Report.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2200"/>
        <w:gridCol w:w="1560"/>
      </w:tblGrid>
      <w:tr>
        <w:trPr>
          <w:tblHeader/>
        </w:trPr>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4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Domain level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policy review as required by each POL document. Reviews assess: are the controls operating as designed? Have exceptions increased? Has the threat/regulatory landscape changed? Is the control still proportionate?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Completed annual review section in each policy document. Issues escalated to ISSG.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Policy Owner / ISSG</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Programme level</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Programme Effectiveness Report — aggregates domain-level outputs, KPIs/KRIs from Section 4.3, open risk and exception trends, incident volume and severity trends, training completion rates, and independent assurance findings. Presented to management body at annual approval meeting.</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Programme Effectiveness Report (controlled document, filed in Board papers with GOV-001 evidence pack)</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Body / CISO</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Annual Programme Effectiveness Report — Content Requirements</w:t>
      </w:r>
    </w:p>
    <w:p>
      <w:pPr>
        <w:spacing w:before="80" w:after="80"/>
      </w:pPr>
      <w:r>
        <w:rPr>
          <w:rFonts w:ascii="Arial" w:cs="Arial" w:eastAsia="Arial" w:hAnsi="Arial"/>
          <w:color w:val="333333"/>
          <w:sz w:val="22"/>
          <w:szCs w:val="22"/>
        </w:rPr>
        <w:t xml:space="preserve">The Annual Programme Effectiveness Report shall be prepared by the CISO, reviewed by the ISSG, and presented to the management body. It shall contain, at a minimum: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Executive Summary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Two-page maximum. Programme health RAG status. Three most significant risks. Three most significant developments since last report. CISO attestation that the programme constitutes appropriate and proportionate measures under NIS2 Art. 21.</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Risk Posture</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register summary from POL-010/SOP-010: total risks by severity, open High/Critical risks, trend vs. prior year, top 3 risks by inherent score. Treatment plan completion rate for due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Incident Summary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Volume by P-level, mean time to detect, mean time to contain, any NIS2-significant incidents, any regulatory notifications made. Trend vs. prior year.</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 Training and Awareness</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Completion rates by tier (including management body tier). Phishing simulation results trend. GxP training compliance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Exception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exceptions by residual risk level. Exceptions overdue for renewal. Any exception where risk has escalated since approval.</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Vendor Risk</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A and Tier B vendor assessment completion rate. Critical findings from assessments. Any vendor incidents affecting [Company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KPI/KRI 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metrics from Section 4.3.</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8. Independent Assurance</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Summary of penetration test findings, internal audit findings, external certifications (ISO 27001 surveillance, etc.). Remediation status of prior findings.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 Programme Changes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Material changes to the IMF suite since last report. New documents, amended policies, retired controls.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Forward Priorities</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CISO's top 3 priorities for the next 12 months. Budget implications if any.</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4.3  Programme KPIs and KRIs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200"/>
        <w:gridCol w:w="2000"/>
        <w:gridCol w:w="13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1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Mean Time to Detect (MTTD)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KRI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Average hours from incident occurrence to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&lt;4 hours (P1)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Mean Time to Contain (MTTC)</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KRI</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Average hours from detection to containment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&lt;8 hours (P1)</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SLA compliance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vulnerabilities remediated within POL-017 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SOP-017</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Critical/High patch timeliness</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Critical and High CVEs patched within SLA</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≥98% Critical, ≥95% High</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body training completion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named management body members with current-year assessed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 by 30 September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LMS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All-staff Tier 1 training completion</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staff with current-year Tier 1 training</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≥95% by deadline</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Phishing click rate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KRI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recipients clicking simulated phishing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SOP-020</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A vendor assessments current</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Tier A vendors with assessment within 12 months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 timeliness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quarterly access reviews completed within 10 working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SOP-008</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restore test success</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quarterly restore tests completed successfully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High/Critical exceptions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KRI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Count of open exceptions with High or Critical residual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 (target)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early warning timeliness</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KPI</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of NIS2-significant incidents with 24-hour early warning submitted on time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r>
    </w:tbl>
    <w:p>
      <w:pPr>
        <w:pStyle w:val="Heading1"/>
        <w:spacing w:before="360" w:after="120"/>
      </w:pPr>
      <w:r>
        <w:rPr>
          <w:rFonts w:ascii="Arial" w:cs="Arial" w:eastAsia="Arial" w:hAnsi="Arial"/>
          <w:b/>
          <w:bCs/>
          <w:color w:val="1B2A4A"/>
          <w:sz w:val="36"/>
          <w:szCs w:val="36"/>
        </w:rPr>
        <w:t xml:space="preserve">5.  IS Programme Assurance Framework</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5.1  Purpose</w:t>
      </w:r>
    </w:p>
    <w:p>
      <w:pPr>
        <w:spacing w:before="80" w:after="80"/>
      </w:pPr>
      <w:r>
        <w:rPr>
          <w:rFonts w:ascii="Arial" w:cs="Arial" w:eastAsia="Arial" w:hAnsi="Arial"/>
          <w:color w:val="333333"/>
          <w:sz w:val="22"/>
          <w:szCs w:val="22"/>
        </w:rPr>
        <w:t xml:space="preserve">Article 21(f) and ISO 27001 A.5.35 require independent review of the information security programme. This section defines the assurance activities, their owners, frequency, and the reporting chain to the management body.</w:t>
      </w:r>
    </w:p>
    <w:p>
      <w:pPr>
        <w:spacing w:before="60" w:after="0"/>
      </w:pPr>
      <w:r>
        <w:t xml:space="preserve"/>
      </w:r>
    </w:p>
    <w:p>
      <w:pPr>
        <w:pStyle w:val="Heading2"/>
        <w:spacing w:before="280" w:after="100"/>
      </w:pPr>
      <w:r>
        <w:rPr>
          <w:rFonts w:ascii="Arial" w:cs="Arial" w:eastAsia="Arial" w:hAnsi="Arial"/>
          <w:b/>
          <w:bCs/>
          <w:color w:val="2E5EA8"/>
          <w:sz w:val="28"/>
          <w:szCs w:val="28"/>
        </w:rPr>
        <w:t xml:space="preserve">5.2  Assurance Activities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00"/>
        <w:gridCol w:w="1600"/>
        <w:gridCol w:w="2200"/>
        <w:gridCol w:w="190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Provider</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c>
          <w:tcPr>
            <w:tcW w:type="dxa" w:w="19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Reported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External penetration 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perimeter, internet-facing applications, internal network (assumed-breach scenario), Tier 1 system interfaces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minimum; additional test after major infrastructure change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CREST-accredited third party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report with CVSS-scored findings, remediation timeline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ISSG → Board (summarised in Annual Effectiveness Report)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surveillance audit</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ISMS scope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(between certification renewals)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Accredited certification body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Non-conformity / observation report</w:t>
            </w:r>
          </w:p>
        </w:tc>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ISSG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recertification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ISMS scope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3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Accredited certification body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Certification decision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Board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IS audit</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Sample of 5 policies per year on a rolling cycle; 100% coverage over 3 years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(phased)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Audit or outsourced IS audit function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Findings report</w:t>
            </w:r>
          </w:p>
        </w:tc>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Audit Director → CISO → Board Audit Committee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IS audit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controls on GxP-classified systems — access, change, audit trail, backup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integrated with GxP compliance audit where possible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Compliance/QA with Information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IS audit findings report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Compliance/QA Director → CISO</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Threat intelligence programme review</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Currency and effectiveness of threat intelligence sources, ISAC participation, CISA KEV integration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as part of POL-010 review</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Information Security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memo filed with POL-010 annual review evidence</w:t>
            </w:r>
          </w:p>
        </w:tc>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ISSG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supervision self-assessment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Self-assessment against NIS2 Art. 20 and Art. 21(a)–(j) using GOV-001 as the checklist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before management body approval meeting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Self-assessment scorecard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Board (included in Annual Effectiveness Report)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5.3  Independent Assurance — Management Body Reporting</w:t>
      </w:r>
    </w:p>
    <w:p>
      <w:pPr>
        <w:spacing w:before="80" w:after="80"/>
      </w:pPr>
      <w:r>
        <w:rPr>
          <w:rFonts w:ascii="Arial" w:cs="Arial" w:eastAsia="Arial" w:hAnsi="Arial"/>
          <w:color w:val="333333"/>
          <w:sz w:val="22"/>
          <w:szCs w:val="22"/>
        </w:rPr>
        <w:t xml:space="preserve">The management body shall receive, at minimum, the following assurance communications directly (not only through the CISO):</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Annual external penetration test summary — top findings, remediation status, residual risk accepted.</w:t>
      </w:r>
    </w:p>
    <w:p>
      <w:pPr>
        <w:pStyle w:val="ListParagraph"/>
        <w:numPr>
          <w:ilvl w:val="0"/>
          <w:numId w:val="2"/>
        </w:numPr>
        <w:spacing w:before="60" w:after="60"/>
      </w:pPr>
      <w:r>
        <w:rPr>
          <w:rFonts w:ascii="Arial" w:cs="Arial" w:eastAsia="Arial" w:hAnsi="Arial"/>
          <w:color w:val="333333"/>
          <w:sz w:val="22"/>
          <w:szCs w:val="22"/>
        </w:rPr>
        <w:t xml:space="preserve">Any ISO 27001 non-conformity at certification audit or surveillance — within 10 business days of receipt.</w:t>
      </w:r>
    </w:p>
    <w:p>
      <w:pPr>
        <w:pStyle w:val="ListParagraph"/>
        <w:numPr>
          <w:ilvl w:val="0"/>
          <w:numId w:val="2"/>
        </w:numPr>
        <w:spacing w:before="60" w:after="60"/>
      </w:pPr>
      <w:r>
        <w:rPr>
          <w:rFonts w:ascii="Arial" w:cs="Arial" w:eastAsia="Arial" w:hAnsi="Arial"/>
          <w:color w:val="333333"/>
          <w:sz w:val="22"/>
          <w:szCs w:val="22"/>
        </w:rPr>
        <w:t xml:space="preserve">Any internal IS audit finding rated High or Critical — within 5 business days of issue.</w:t>
      </w:r>
    </w:p>
    <w:p>
      <w:pPr>
        <w:pStyle w:val="ListParagraph"/>
        <w:numPr>
          <w:ilvl w:val="0"/>
          <w:numId w:val="2"/>
        </w:numPr>
        <w:spacing w:before="60" w:after="60"/>
      </w:pPr>
      <w:r>
        <w:rPr>
          <w:rFonts w:ascii="Arial" w:cs="Arial" w:eastAsia="Arial" w:hAnsi="Arial"/>
          <w:color w:val="333333"/>
          <w:sz w:val="22"/>
          <w:szCs w:val="22"/>
        </w:rPr>
        <w:t xml:space="preserve">Annual Programme Effectiveness Report — including the NIS2 self-assessment scorecard.</w:t>
      </w:r>
    </w:p>
    <w:p>
      <w:pPr>
        <w:pStyle w:val="Heading1"/>
        <w:spacing w:before="360" w:after="120"/>
      </w:pPr>
      <w:r>
        <w:rPr>
          <w:rFonts w:ascii="Arial" w:cs="Arial" w:eastAsia="Arial" w:hAnsi="Arial"/>
          <w:b/>
          <w:bCs/>
          <w:color w:val="1B2A4A"/>
          <w:sz w:val="36"/>
          <w:szCs w:val="36"/>
        </w:rPr>
        <w:t xml:space="preserve">6.  Regulatory Authority Contact Register (REF-001)</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NIS2 Article 23 requires notification to the national CSIRT or national competent authority (NCA) for significant incidents. This section constitutes the Regulatory Authority and Information Sharing Contact Register (REF-001) for the IMF suite. It must be reviewed at least quarterly by the CISO and updated within 5 business days of any contact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contacts in this register must be verified with Legal and, where applicable, with the relevant authority's published contact details, before this document is approved. Placeholder entries are not acceptable in the live version of this register.</w:t>
            </w:r>
          </w:p>
        </w:tc>
      </w:tr>
    </w:tbl>
    <w:p>
      <w:pPr>
        <w:spacing w:before="60" w:after="0"/>
      </w:pPr>
      <w:r>
        <w:t xml:space="preserve"/>
      </w:r>
    </w:p>
    <w:tbl>
      <w:tblPr>
        <w:tblW w:type="dxa" w:w="16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500"/>
        <w:gridCol w:w="2200"/>
        <w:gridCol w:w="2000"/>
        <w:gridCol w:w="2500"/>
        <w:gridCol w:w="22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Authority / Body</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Jurisdiction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NIS2 Role</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Contact Type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Contact</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Secondary Contact</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Portal / Submission Route</w:t>
            </w:r>
          </w:p>
        </w:tc>
        <w:tc>
          <w:tcPr>
            <w:tcW w:type="dxa" w:w="22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SLA for [Company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[Member State National CSIRT]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[Primary EU jurisdiction]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23 early warning and incident notification recipient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 role, tel,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 role, tel, 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[URL of national incident reporting portal]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24h early warning; 72h notification; 1-month final report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[National Competent Authority (NCA)]</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[Primary EU jurisdiction]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supervisory authority for health sector essential entities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contact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 role, tel, email]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 role, tel, email]</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[URL]</w:t>
            </w:r>
          </w:p>
        </w:tc>
        <w:tc>
          <w:tcPr>
            <w:tcW w:type="dxa" w:w="2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 directed by NCA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UK ICO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(UK) Art. 33 personal data breach notification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breach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[DPA contact details from ICO 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https://ico.org.uk/make-a-complaint/data-security-concerns/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 from awareness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EU supervisory authority (lead)</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EU</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(EU) Art. 33 notification — lead supervisory authority if EU establishment</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breach notification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 SA — depends on establishment location]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 SA portal]</w:t>
            </w:r>
          </w:p>
        </w:tc>
        <w:tc>
          <w:tcPr>
            <w:tcW w:type="dxa" w:w="2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 from awareness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 HHS OCR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Breach Notification Rule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PHI breach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1-800-368-1019 / ocrportal.hhs.gov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Legal contact]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https://ocrportal.hhs.gov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 days (discovery); 10 business days (media notification if &gt;500 in state)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 FDA</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 GxP regulatory authority for drug/device GxP systems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incident; patient safety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[Assigned FDA contact via Legal]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[FDA contact portal]</w:t>
            </w:r>
          </w:p>
        </w:tc>
        <w:tc>
          <w:tcPr>
            <w:tcW w:type="dxa" w:w="2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 directed by Compliance/QA; assess within 24h of P1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 / MHRA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EU / UK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regulatory authority — EU and UK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incident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[EMA/MHRA contact per Compliance/QA]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[Compliance/QA Director]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[EMA/MHRA contact portal]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directed by Compliance/QA</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ENISA</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EU</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EU Agency — voluntary incident information sharing; ENISA vulnerability database</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sharing (voluntary)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enisa.europa.eu/topics/incident-reporting</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https://www.enisa.europa.eu</w:t>
            </w:r>
          </w:p>
        </w:tc>
        <w:tc>
          <w:tcPr>
            <w:tcW w:type="dxa" w:w="2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Voluntary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[Sector ISAC — e.g., H-ISAC for health]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Threat intelligence sharing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Threat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[H-ISAC member portal / duty analyst]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https://h-isac.org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Voluntary — threat intelligence sharing only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CISA (US)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CISA KEV source; voluntary incident reporting</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intelligence; voluntary incident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cisa.gov/report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https://www.cisa.gov/report</w:t>
            </w:r>
          </w:p>
        </w:tc>
        <w:tc>
          <w:tcPr>
            <w:tcW w:type="dxa" w:w="2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Voluntary (binding for critical infrastructure)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within 30 days of any material change to NIS2 obligations or transposing national law; within 30 days of any supervision exercise finding; within 30 days of any P1 incident or NIS2-reportable incident</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POL-010/SOP-010; POL-012/SOP-012; POL-020/SOP-020; EXC-001; RACI-001; PLAN-001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Supersedes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Nothing — first issue</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6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issue + 12 months]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GOV-001 v1.0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NIS2 GOVERNANCE INSTRUMENT  |  GOV-001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2026-03-08T12:57:13.365Z</dcterms:created>
  <dcterms:modified xsi:type="dcterms:W3CDTF">2026-03-08T12:57:13.365Z</dcterms:modified>
</cp:coreProperties>
</file>

<file path=docProps/custom.xml><?xml version="1.0" encoding="utf-8"?>
<Properties xmlns="http://schemas.openxmlformats.org/officeDocument/2006/custom-properties" xmlns:vt="http://schemas.openxmlformats.org/officeDocument/2006/docPropsVTypes"/>
</file>