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DATA CLASSIFICATION POLICY</w:t>
      </w:r>
    </w:p>
    <w:p>
      <w:pPr>
        <w:shd w:fill="1B2A4A" w:val="clear"/>
        <w:spacing w:before="40" w:after="0"/>
        <w:ind w:left="1440"/>
      </w:pPr>
      <w:r>
        <w:rPr>
          <w:rFonts w:ascii="Arial" w:cs="Arial" w:eastAsia="Arial" w:hAnsi="Arial"/>
          <w:i/>
          <w:iCs/>
          <w:color w:val="D6E4F7"/>
          <w:sz w:val="24"/>
          <w:szCs w:val="24"/>
        </w:rPr>
        <w:t xml:space="preserve">POL-001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POL-001</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Classification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Chief Information Officer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ISO/IEC 27001:2022, GDPR, HIPAA, CCPA, GxP, SOX</w:t>
            </w:r>
          </w:p>
        </w:tc>
      </w:tr>
    </w:tbl>
    <w:p>
      <w:pPr>
        <w:spacing w:before="16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mandatory requirements for the classification of all data assets owned, processed, stored, or transmitted by [Company Name]. It operationalises the Data Sensitivity axis of the classification schema defined in the Information Management Framework (IMF-001).</w:t>
      </w:r>
    </w:p>
    <w:p>
      <w:pPr>
        <w:spacing w:before="60" w:after="0"/>
      </w:pPr>
      <w:r>
        <w:t xml:space="preserve"/>
      </w:r>
    </w:p>
    <w:p>
      <w:pPr>
        <w:spacing w:before="80" w:after="80"/>
      </w:pPr>
      <w:r>
        <w:rPr>
          <w:rFonts w:ascii="Arial" w:cs="Arial" w:eastAsia="Arial" w:hAnsi="Arial"/>
          <w:color w:val="333333"/>
          <w:sz w:val="22"/>
          <w:szCs w:val="22"/>
        </w:rPr>
        <w:t xml:space="preserve">Data classification is the foundation of [Company Name]'s information risk management approach. Without it, controls cannot be proportionate to risk, regulatory obligations cannot be met, and accountability cannot be assigned. This Policy ensures that every data asset is labelled, handled, and protected in a manner commensurate with its sensitivity.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w:t>
      </w:r>
    </w:p>
    <w:p>
      <w:pPr>
        <w:pStyle w:val="ListParagraph"/>
        <w:numPr>
          <w:ilvl w:val="0"/>
          <w:numId w:val="2"/>
        </w:numPr>
        <w:spacing w:before="60" w:after="60"/>
      </w:pPr>
      <w:r>
        <w:rPr>
          <w:rFonts w:ascii="Arial" w:cs="Arial" w:eastAsia="Arial" w:hAnsi="Arial"/>
          <w:color w:val="333333"/>
          <w:sz w:val="22"/>
          <w:szCs w:val="22"/>
        </w:rPr>
        <w:t xml:space="preserve">All data created, collected, received, stored, processed, or transmitted by [Company Name] or on its behalf</w:t>
      </w:r>
    </w:p>
    <w:p>
      <w:pPr>
        <w:pStyle w:val="ListParagraph"/>
        <w:numPr>
          <w:ilvl w:val="0"/>
          <w:numId w:val="2"/>
        </w:numPr>
        <w:spacing w:before="60" w:after="60"/>
      </w:pPr>
      <w:r>
        <w:rPr>
          <w:rFonts w:ascii="Arial" w:cs="Arial" w:eastAsia="Arial" w:hAnsi="Arial"/>
          <w:color w:val="333333"/>
          <w:sz w:val="22"/>
          <w:szCs w:val="22"/>
        </w:rPr>
        <w:t xml:space="preserve">All employees, contractors, consultants, and third parties who handle [Company Name] data</w:t>
      </w:r>
    </w:p>
    <w:p>
      <w:pPr>
        <w:pStyle w:val="ListParagraph"/>
        <w:numPr>
          <w:ilvl w:val="0"/>
          <w:numId w:val="2"/>
        </w:numPr>
        <w:spacing w:before="60" w:after="60"/>
      </w:pPr>
      <w:r>
        <w:rPr>
          <w:rFonts w:ascii="Arial" w:cs="Arial" w:eastAsia="Arial" w:hAnsi="Arial"/>
          <w:color w:val="333333"/>
          <w:sz w:val="22"/>
          <w:szCs w:val="22"/>
        </w:rPr>
        <w:t xml:space="preserve">All environments in which company data resides: on-premises, cloud, hybrid, and endpoint devices</w:t>
      </w:r>
    </w:p>
    <w:p>
      <w:pPr>
        <w:pStyle w:val="ListParagraph"/>
        <w:numPr>
          <w:ilvl w:val="0"/>
          <w:numId w:val="2"/>
        </w:numPr>
        <w:spacing w:before="60" w:after="60"/>
      </w:pPr>
      <w:r>
        <w:rPr>
          <w:rFonts w:ascii="Arial" w:cs="Arial" w:eastAsia="Arial" w:hAnsi="Arial"/>
          <w:color w:val="333333"/>
          <w:sz w:val="22"/>
          <w:szCs w:val="22"/>
        </w:rPr>
        <w:t xml:space="preserve">All data formats: structured databases, unstructured files, emails, physical documents, and verbal communications where recorded</w:t>
      </w:r>
    </w:p>
    <w:p>
      <w:pPr>
        <w:spacing w:before="80" w:after="0"/>
      </w:pPr>
      <w:r>
        <w:t xml:space="preserve"/>
      </w:r>
    </w:p>
    <w:p>
      <w:pPr>
        <w:spacing w:before="80" w:after="80"/>
      </w:pPr>
      <w:r>
        <w:rPr>
          <w:rFonts w:ascii="Arial" w:cs="Arial" w:eastAsia="Arial" w:hAnsi="Arial"/>
          <w:color w:val="333333"/>
          <w:sz w:val="22"/>
          <w:szCs w:val="22"/>
        </w:rPr>
        <w:t xml:space="preserve">This Policy must be read in conjunction with POL-005 (System Classification Policy), POL-003 (Data Integrity Policy), and POL-004 (Privacy Policy).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Policy Statement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data assets at [Company Name] must be classified according to the sensitivity tiers defined in this Policy. Classification must be:</w:t>
      </w:r>
    </w:p>
    <w:p>
      <w:pPr>
        <w:pStyle w:val="ListParagraph"/>
        <w:numPr>
          <w:ilvl w:val="0"/>
          <w:numId w:val="2"/>
        </w:numPr>
        <w:spacing w:before="60" w:after="60"/>
      </w:pPr>
      <w:r>
        <w:rPr>
          <w:rFonts w:ascii="Arial" w:cs="Arial" w:eastAsia="Arial" w:hAnsi="Arial"/>
          <w:color w:val="333333"/>
          <w:sz w:val="22"/>
          <w:szCs w:val="22"/>
        </w:rPr>
        <w:t xml:space="preserve">Assigned at the point of creation or receipt</w:t>
      </w:r>
    </w:p>
    <w:p>
      <w:pPr>
        <w:pStyle w:val="ListParagraph"/>
        <w:numPr>
          <w:ilvl w:val="0"/>
          <w:numId w:val="2"/>
        </w:numPr>
        <w:spacing w:before="60" w:after="60"/>
      </w:pPr>
      <w:r>
        <w:rPr>
          <w:rFonts w:ascii="Arial" w:cs="Arial" w:eastAsia="Arial" w:hAnsi="Arial"/>
          <w:color w:val="333333"/>
          <w:sz w:val="22"/>
          <w:szCs w:val="22"/>
        </w:rPr>
        <w:t xml:space="preserve">Visible on the asset (via labelling, metadata, or document headers) wherever technically feasible</w:t>
      </w:r>
    </w:p>
    <w:p>
      <w:pPr>
        <w:pStyle w:val="ListParagraph"/>
        <w:numPr>
          <w:ilvl w:val="0"/>
          <w:numId w:val="2"/>
        </w:numPr>
        <w:spacing w:before="60" w:after="60"/>
      </w:pPr>
      <w:r>
        <w:rPr>
          <w:rFonts w:ascii="Arial" w:cs="Arial" w:eastAsia="Arial" w:hAnsi="Arial"/>
          <w:color w:val="333333"/>
          <w:sz w:val="22"/>
          <w:szCs w:val="22"/>
        </w:rPr>
        <w:t xml:space="preserve">Reviewed and reconfirmed at least annually by the designated Data Owner</w:t>
      </w:r>
    </w:p>
    <w:p>
      <w:pPr>
        <w:pStyle w:val="ListParagraph"/>
        <w:numPr>
          <w:ilvl w:val="0"/>
          <w:numId w:val="2"/>
        </w:numPr>
        <w:spacing w:before="60" w:after="60"/>
      </w:pPr>
      <w:r>
        <w:rPr>
          <w:rFonts w:ascii="Arial" w:cs="Arial" w:eastAsia="Arial" w:hAnsi="Arial"/>
          <w:color w:val="333333"/>
          <w:sz w:val="22"/>
          <w:szCs w:val="22"/>
        </w:rPr>
        <w:t xml:space="preserve">Escalated to a higher tier whenever the nature of the data changes</w:t>
      </w:r>
    </w:p>
    <w:p>
      <w:pPr>
        <w:spacing w:before="80" w:after="0"/>
      </w:pPr>
      <w:r>
        <w:t xml:space="preserve"/>
      </w:r>
    </w:p>
    <w:p>
      <w:pPr>
        <w:spacing w:before="80" w:after="80"/>
      </w:pPr>
      <w:r>
        <w:rPr>
          <w:rFonts w:ascii="Arial" w:cs="Arial" w:eastAsia="Arial" w:hAnsi="Arial"/>
          <w:color w:val="333333"/>
          <w:sz w:val="22"/>
          <w:szCs w:val="22"/>
        </w:rPr>
        <w:t xml:space="preserve">Where data of different sensitivity tiers is combined — for example, a report containing both Public and Sensitive Personal information — the entire asset must be classified at the highest tier present.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4.  Data Sensitivity Classification Tiers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[Company Name] data must be assigned to one of the following five tiers. Tiers are ordered from least to most sensitive.</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Tier 1 —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that has been formally approved for unrestricted external distribution.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Disclosure Risk</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None. Disclosure is intentional and expected.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Regulatory Sensitivity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None.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Examples</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Press releases, published annual reports, approved marketing materials, public website content, job postings.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Labelling Requirement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 label required on external-facing material. Internal documents classified Public must carry the label PUBLIC.</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Handling</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No restrictions on storage, transmission, or sharing. Standard IT security hygiene applies.</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Tier 2 — Business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General internal information intended for use within the company. Not approved for public disclosure but carrying no special regulatory obligation.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Disclosure Risk</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Low. Unauthorised disclosure is unlikely to cause material harm.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Regulatory Sensitivity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None specific. General duty of confidentiality applies.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Examples</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Internal memos, project plans, standard operating procedures, internal training materials, meeting minutes (non-executive), IT support tickets.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Labelling Requirement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documents must carry the label INTERNAL — BUSINESS USE.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Handling</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May be shared freely within the organisation. External sharing requires manager approval. Must not be posted publicly without authorisation. Encrypted in transit for external sharing.</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Tier 3 — 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whose unauthorised disclosure could cause reputational, financial, competitive, or operational harm to [Company Name].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Disclosure Risk</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Medium to High.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Regulatory Sensitivity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May attract regulatory scrutiny if disclosed (e.g., material non-public information under securities law).</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Examples</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Business strategies, financial forecasts, commercial contracts, M&amp;A target lists, pricing models, audit findings, board-level communications.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Labelling Requirement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documents must carry the label SENSITIVE — CONFIDENTIAL.</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Handling</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Access on a need-to-know basis only. External sharing requires Director-level approval and NDA in place. Encrypted at rest and in transit. Must not be stored on personal devices or unapproved cloud services.</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Tier 4 — Sensitive Personal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Personal data relating to identified or identifiable individuals, as defined under applicable privacy legislation (GDPR, HIPAA, CCPA). Subject to heightened regulatory obligation.</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Disclosure Risk</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High. Breach triggers regulatory notification obligations and significant reputational damage.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Regulatory Sensitivity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GDPR, HIPAA, CCPA, and all other applicable privacy regulations. Mandatory breach notification applies.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Examples</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Employee HR records, payroll data, patient data, clinical trial subject data, customer PII (names, addresses, contact details), genetic or biometric data, health records.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Labelling Requirement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documents must carry the label SENSITIVE PERSONAL — RESTRICTED. Systems must be flagged accordingly in the Asset Register.</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Handling</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Access strictly limited to authorised personnel with documented business need. Data minimisation principles apply. Pseudonymisation or anonymisation where feasible. Encrypted at rest and in transit using approved encryption standards. Cross-border transfer subject to Data Transfer Impact Assessment. Retention strictly governed by POL-002.</w:t>
            </w:r>
          </w:p>
        </w:tc>
      </w:tr>
    </w:tbl>
    <w:p>
      <w:pPr>
        <w:spacing w:before="120" w:after="0"/>
      </w:pPr>
      <w:r>
        <w:t xml:space="preserve"/>
      </w:r>
    </w:p>
    <w:p>
      <w:pPr>
        <w:pStyle w:val="Heading2"/>
        <w:spacing w:before="280" w:after="100"/>
      </w:pPr>
      <w:r>
        <w:rPr>
          <w:rFonts w:ascii="Arial" w:cs="Arial" w:eastAsia="Arial" w:hAnsi="Arial"/>
          <w:b/>
          <w:bCs/>
          <w:color w:val="2E5EA8"/>
          <w:sz w:val="28"/>
          <w:szCs w:val="28"/>
        </w:rPr>
        <w:t xml:space="preserve">Tier 5 — Highly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Definition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highest sensitivity tier. Information whose unauthorised disclosure could cause severe and potentially irreversible harm to [Company Name] or others.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Disclosure Risk</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Critical. Disclosure may constitute a criminal offence, regulatory breach, or catastrophic business loss.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Regulatory Sensitivity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May engage securities law, regulatory submission obligations, GxP data integrity requirements, or criminal statutes.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Examples</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Trade secrets, unpublished regulatory submissions (IND, NDA, BLA), cryptographic keys and credentials, M&amp;A transaction details, Board deliberation on material events, whistleblower identity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Labelling Requirement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documents must carry the label HIGHLY CONFIDENTIAL — RESTRICTED. Systems must be flagged in the Asset Register with enhanced monitoring enabled.</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Handling</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Access limited to named individuals on a documented need-to-know basis, approved by the Data Owner and CISO. Multi-factor authentication mandatory. End-to-end encryption required. Physical documents stored in locked, access-controlled environments. Printing restricted; printed copies tracked. Destruction via certified secure shredding only.</w:t>
            </w:r>
          </w:p>
        </w:tc>
      </w:tr>
    </w:tbl>
    <w:p>
      <w:r>
        <w:br w:type="page"/>
      </w:r>
    </w:p>
    <w:p>
      <w:pPr>
        <w:pStyle w:val="Heading1"/>
        <w:spacing w:before="360" w:after="120"/>
      </w:pPr>
      <w:r>
        <w:rPr>
          <w:rFonts w:ascii="Arial" w:cs="Arial" w:eastAsia="Arial" w:hAnsi="Arial"/>
          <w:b/>
          <w:bCs/>
          <w:color w:val="1B2A4A"/>
          <w:sz w:val="36"/>
          <w:szCs w:val="36"/>
        </w:rPr>
        <w:t xml:space="preserve">5.  Data Handling Requirements Summary</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following matrix summarises the minimum handling controls required per sensitivity tier. Subordinate Work Instructions provide step-by-step guidance for each control.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400"/>
        <w:gridCol w:w="1300"/>
        <w:gridCol w:w="1400"/>
        <w:gridCol w:w="17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13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Public</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Business Use</w:t>
            </w:r>
          </w:p>
        </w:tc>
        <w:tc>
          <w:tcPr>
            <w:tcW w:type="dxa" w:w="13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Sensitive</w:t>
            </w:r>
          </w:p>
        </w:tc>
        <w:tc>
          <w:tcPr>
            <w:tcW w:type="dxa" w:w="1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Sensitive Personal</w:t>
            </w:r>
          </w:p>
        </w:tc>
        <w:tc>
          <w:tcPr>
            <w:tcW w:type="dxa" w:w="1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Highly Confidential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Document Labelling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Optional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Required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Required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Access Control</w:t>
            </w:r>
          </w:p>
        </w:tc>
        <w:tc>
          <w:tcPr>
            <w:tcW w:type="dxa" w:w="13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None</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Standard IAM</w:t>
            </w:r>
          </w:p>
        </w:tc>
        <w:tc>
          <w:tcPr>
            <w:tcW w:type="dxa" w:w="13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Need-to-know</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Named individuals + approval</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Named individuals + CISO approval + MFA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Encryption at Rest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Not 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Recommended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Required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Required (approved algorithms only)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Encryption in Transit</w:t>
            </w:r>
          </w:p>
        </w:tc>
        <w:tc>
          <w:tcPr>
            <w:tcW w:type="dxa" w:w="13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Not required</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Required (external)</w:t>
            </w:r>
          </w:p>
        </w:tc>
        <w:tc>
          <w:tcPr>
            <w:tcW w:type="dxa" w:w="13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Required</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Required</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Required end-to-end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External Sharing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Unrestricted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Director approval + NDA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DPO + legal approval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CISO + General Counsel approval</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Cloud Storage</w:t>
            </w:r>
          </w:p>
        </w:tc>
        <w:tc>
          <w:tcPr>
            <w:tcW w:type="dxa" w:w="13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Approved services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Approved services</w:t>
            </w:r>
          </w:p>
        </w:tc>
        <w:tc>
          <w:tcPr>
            <w:tcW w:type="dxa" w:w="13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Approved services only</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Approved &amp; audited services only</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Prohibited without CISO sign-off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Printing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Unrestricted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Standard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Restricted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Restricted + tracking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Restricted + tracking + secure collection</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Retention / Disposal</w:t>
            </w:r>
          </w:p>
        </w:tc>
        <w:tc>
          <w:tcPr>
            <w:tcW w:type="dxa" w:w="13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Per POL-002</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Per POL-002</w:t>
            </w:r>
          </w:p>
        </w:tc>
        <w:tc>
          <w:tcPr>
            <w:tcW w:type="dxa" w:w="13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Per POL-002 + legal hold awareness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Per POL-002 + privacy regulation</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Per POL-002 + certified destruction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Breach Notification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Not applicable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IT team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CISO within 24 hrs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CISO + DPO within 1 hr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CISO + DPO + General Counsel within 1 hr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Owner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Business leader accountable for a defined data domain. Assigns and periodically reconfirms the classification of all data within their domain. Approves access requests above standard thresholds.</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Custodian (IT)</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IT or system function responsible for implementing the technical controls mandated by the classification assigned by the Data 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Security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Provides classification guidance, adjudicates disputes, maintains the classification standard, and monitors compliance.</w:t>
            </w:r>
          </w:p>
        </w:tc>
      </w:tr>
      <w:tr>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Protection Officer (DPO)</w:t>
            </w:r>
          </w:p>
        </w:tc>
        <w:tc>
          <w:tcPr>
            <w:tcW w:type="dxa" w:w="6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Advises on classification of personal data (Tier 4) and ensures compliance with privacy regulation requirements.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Personnel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Responsible for correctly labelling data they create, handling data in accordance with its classification, and reporting suspected misclassification or breaches.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Classification Process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Data classification must follow the process defined in SOP-001 (Data Classification Process). In summary:</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5500"/>
        <w:gridCol w:w="216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5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Identify — determine what data asset is being created or received, and what it contains.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Creator / Recipient</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2</w:t>
            </w:r>
          </w:p>
        </w:tc>
        <w:tc>
          <w:tcPr>
            <w:tcW w:type="dxa" w:w="5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Assess — evaluate the nature of the data against the tier definitions in Section 4. Where data spans multiple tiers, apply the highest.</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Owner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 — record the classification in the document header, file metadata, or system record as applicable.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Creator / Data Owner</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4</w:t>
            </w:r>
          </w:p>
        </w:tc>
        <w:tc>
          <w:tcPr>
            <w:tcW w:type="dxa" w:w="5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Apply Controls — implement the handling controls required for the assigned tier per Section 5.</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Custodian (IT) / Creator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Register — log the asset in the Corporate Asset Register with its classification and owner.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Custodian (IT)</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6</w:t>
            </w:r>
          </w:p>
        </w:tc>
        <w:tc>
          <w:tcPr>
            <w:tcW w:type="dxa" w:w="5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Review — reconfirm classification at least annually or when the nature of the data changes.</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Owner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8.  Reclassification and Declassification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Data may be reclassified upward at any time by the Data Owner without additional approval. Reclassification downward (to a less sensitive tier) requires:</w:t>
      </w:r>
    </w:p>
    <w:p>
      <w:pPr>
        <w:pStyle w:val="ListParagraph"/>
        <w:numPr>
          <w:ilvl w:val="0"/>
          <w:numId w:val="2"/>
        </w:numPr>
        <w:spacing w:before="60" w:after="60"/>
      </w:pPr>
      <w:r>
        <w:rPr>
          <w:rFonts w:ascii="Arial" w:cs="Arial" w:eastAsia="Arial" w:hAnsi="Arial"/>
          <w:color w:val="333333"/>
          <w:sz w:val="22"/>
          <w:szCs w:val="22"/>
        </w:rPr>
        <w:t xml:space="preserve">Written justification from the Data Owner</w:t>
      </w:r>
    </w:p>
    <w:p>
      <w:pPr>
        <w:pStyle w:val="ListParagraph"/>
        <w:numPr>
          <w:ilvl w:val="0"/>
          <w:numId w:val="2"/>
        </w:numPr>
        <w:spacing w:before="60" w:after="60"/>
      </w:pPr>
      <w:r>
        <w:rPr>
          <w:rFonts w:ascii="Arial" w:cs="Arial" w:eastAsia="Arial" w:hAnsi="Arial"/>
          <w:color w:val="333333"/>
          <w:sz w:val="22"/>
          <w:szCs w:val="22"/>
        </w:rPr>
        <w:t xml:space="preserve">Approval from Information Security</w:t>
      </w:r>
    </w:p>
    <w:p>
      <w:pPr>
        <w:pStyle w:val="ListParagraph"/>
        <w:numPr>
          <w:ilvl w:val="0"/>
          <w:numId w:val="2"/>
        </w:numPr>
        <w:spacing w:before="60" w:after="60"/>
      </w:pPr>
      <w:r>
        <w:rPr>
          <w:rFonts w:ascii="Arial" w:cs="Arial" w:eastAsia="Arial" w:hAnsi="Arial"/>
          <w:color w:val="333333"/>
          <w:sz w:val="22"/>
          <w:szCs w:val="22"/>
        </w:rPr>
        <w:t xml:space="preserve">For Tier 4 data: additional approval from the DPO</w:t>
      </w:r>
    </w:p>
    <w:p>
      <w:pPr>
        <w:pStyle w:val="ListParagraph"/>
        <w:numPr>
          <w:ilvl w:val="0"/>
          <w:numId w:val="2"/>
        </w:numPr>
        <w:spacing w:before="60" w:after="60"/>
      </w:pPr>
      <w:r>
        <w:rPr>
          <w:rFonts w:ascii="Arial" w:cs="Arial" w:eastAsia="Arial" w:hAnsi="Arial"/>
          <w:color w:val="333333"/>
          <w:sz w:val="22"/>
          <w:szCs w:val="22"/>
        </w:rPr>
        <w:t xml:space="preserve">For Tier 5 data: additional approval from the CISO</w:t>
      </w:r>
    </w:p>
    <w:p>
      <w:pPr>
        <w:spacing w:before="80" w:after="0"/>
      </w:pPr>
      <w:r>
        <w:t xml:space="preserve"/>
      </w:r>
    </w:p>
    <w:p>
      <w:pPr>
        <w:spacing w:before="80" w:after="80"/>
      </w:pPr>
      <w:r>
        <w:rPr>
          <w:rFonts w:ascii="Arial" w:cs="Arial" w:eastAsia="Arial" w:hAnsi="Arial"/>
          <w:color w:val="333333"/>
          <w:sz w:val="22"/>
          <w:szCs w:val="22"/>
        </w:rPr>
        <w:t xml:space="preserve">Declassification decisions and approvals must be recorded in the Corporate Asset Register with a timestamp and rationale.</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9.  Third Party Obligations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Third parties who receive or process [Company Name] data are required to handle that data in accordance with its classification, as specified in:</w:t>
      </w:r>
    </w:p>
    <w:p>
      <w:pPr>
        <w:pStyle w:val="ListParagraph"/>
        <w:numPr>
          <w:ilvl w:val="0"/>
          <w:numId w:val="2"/>
        </w:numPr>
        <w:spacing w:before="60" w:after="60"/>
      </w:pPr>
      <w:r>
        <w:rPr>
          <w:rFonts w:ascii="Arial" w:cs="Arial" w:eastAsia="Arial" w:hAnsi="Arial"/>
          <w:color w:val="333333"/>
          <w:sz w:val="22"/>
          <w:szCs w:val="22"/>
        </w:rPr>
        <w:t xml:space="preserve">The applicable Data Processing Agreement (DPA) or contract</w:t>
      </w:r>
    </w:p>
    <w:p>
      <w:pPr>
        <w:pStyle w:val="ListParagraph"/>
        <w:numPr>
          <w:ilvl w:val="0"/>
          <w:numId w:val="2"/>
        </w:numPr>
        <w:spacing w:before="60" w:after="60"/>
      </w:pPr>
      <w:r>
        <w:rPr>
          <w:rFonts w:ascii="Arial" w:cs="Arial" w:eastAsia="Arial" w:hAnsi="Arial"/>
          <w:color w:val="333333"/>
          <w:sz w:val="22"/>
          <w:szCs w:val="22"/>
        </w:rPr>
        <w:t xml:space="preserve">The Third Party and Vendor Risk Policy (POL-013)</w:t>
      </w:r>
    </w:p>
    <w:p>
      <w:pPr>
        <w:spacing w:before="80" w:after="0"/>
      </w:pPr>
      <w:r>
        <w:t xml:space="preserve"/>
      </w:r>
    </w:p>
    <w:p>
      <w:pPr>
        <w:spacing w:before="80" w:after="80"/>
      </w:pPr>
      <w:r>
        <w:rPr>
          <w:rFonts w:ascii="Arial" w:cs="Arial" w:eastAsia="Arial" w:hAnsi="Arial"/>
          <w:color w:val="333333"/>
          <w:sz w:val="22"/>
          <w:szCs w:val="22"/>
        </w:rPr>
        <w:t xml:space="preserve">Third parties must not reclassify company data or apply lesser controls than those specified. Compliance with classification requirements is subject to audit under POL-013.</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10.  Non-Compliance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Failure to comply with this Policy may result in:</w:t>
      </w:r>
    </w:p>
    <w:p>
      <w:pPr>
        <w:pStyle w:val="ListParagraph"/>
        <w:numPr>
          <w:ilvl w:val="0"/>
          <w:numId w:val="2"/>
        </w:numPr>
        <w:spacing w:before="60" w:after="60"/>
      </w:pPr>
      <w:r>
        <w:rPr>
          <w:rFonts w:ascii="Arial" w:cs="Arial" w:eastAsia="Arial" w:hAnsi="Arial"/>
          <w:color w:val="333333"/>
          <w:sz w:val="22"/>
          <w:szCs w:val="22"/>
        </w:rPr>
        <w:t xml:space="preserve">Disciplinary action up to and including termination of employment or contract</w:t>
      </w:r>
    </w:p>
    <w:p>
      <w:pPr>
        <w:pStyle w:val="ListParagraph"/>
        <w:numPr>
          <w:ilvl w:val="0"/>
          <w:numId w:val="2"/>
        </w:numPr>
        <w:spacing w:before="60" w:after="60"/>
      </w:pPr>
      <w:r>
        <w:rPr>
          <w:rFonts w:ascii="Arial" w:cs="Arial" w:eastAsia="Arial" w:hAnsi="Arial"/>
          <w:color w:val="333333"/>
          <w:sz w:val="22"/>
          <w:szCs w:val="22"/>
        </w:rPr>
        <w:t xml:space="preserve">Regulatory penalties and fines where a breach of applicable law has occurred</w:t>
      </w:r>
    </w:p>
    <w:p>
      <w:pPr>
        <w:pStyle w:val="ListParagraph"/>
        <w:numPr>
          <w:ilvl w:val="0"/>
          <w:numId w:val="2"/>
        </w:numPr>
        <w:spacing w:before="60" w:after="60"/>
      </w:pPr>
      <w:r>
        <w:rPr>
          <w:rFonts w:ascii="Arial" w:cs="Arial" w:eastAsia="Arial" w:hAnsi="Arial"/>
          <w:color w:val="333333"/>
          <w:sz w:val="22"/>
          <w:szCs w:val="22"/>
        </w:rPr>
        <w:t xml:space="preserve">Civil or criminal liability depending on the nature of the breach</w:t>
      </w:r>
    </w:p>
    <w:p>
      <w:pPr>
        <w:spacing w:before="80" w:after="0"/>
      </w:pPr>
      <w:r>
        <w:t xml:space="preserve"/>
      </w:r>
    </w:p>
    <w:p>
      <w:pPr>
        <w:spacing w:before="80" w:after="80"/>
      </w:pPr>
      <w:r>
        <w:rPr>
          <w:rFonts w:ascii="Arial" w:cs="Arial" w:eastAsia="Arial" w:hAnsi="Arial"/>
          <w:color w:val="333333"/>
          <w:sz w:val="22"/>
          <w:szCs w:val="22"/>
        </w:rPr>
        <w:t xml:space="preserve">Suspected non-compliance must be reported to Information Security immediately. All reports will be investigated in accordance with the Incident Response Policy (POL-012).</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11.  Policy Exceptions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Exceptions to this Policy may only be granted by the CISO in writing. All exceptions must:</w:t>
      </w:r>
    </w:p>
    <w:p>
      <w:pPr>
        <w:pStyle w:val="ListParagraph"/>
        <w:numPr>
          <w:ilvl w:val="0"/>
          <w:numId w:val="2"/>
        </w:numPr>
        <w:spacing w:before="60" w:after="60"/>
      </w:pPr>
      <w:r>
        <w:rPr>
          <w:rFonts w:ascii="Arial" w:cs="Arial" w:eastAsia="Arial" w:hAnsi="Arial"/>
          <w:color w:val="333333"/>
          <w:sz w:val="22"/>
          <w:szCs w:val="22"/>
        </w:rPr>
        <w:t xml:space="preserve">Document the specific requirement being excepted and the business justification</w:t>
      </w:r>
    </w:p>
    <w:p>
      <w:pPr>
        <w:pStyle w:val="ListParagraph"/>
        <w:numPr>
          <w:ilvl w:val="0"/>
          <w:numId w:val="2"/>
        </w:numPr>
        <w:spacing w:before="60" w:after="60"/>
      </w:pPr>
      <w:r>
        <w:rPr>
          <w:rFonts w:ascii="Arial" w:cs="Arial" w:eastAsia="Arial" w:hAnsi="Arial"/>
          <w:color w:val="333333"/>
          <w:sz w:val="22"/>
          <w:szCs w:val="22"/>
        </w:rPr>
        <w:t xml:space="preserve">Define compensating controls that mitigate the associated risk</w:t>
      </w:r>
    </w:p>
    <w:p>
      <w:pPr>
        <w:pStyle w:val="ListParagraph"/>
        <w:numPr>
          <w:ilvl w:val="0"/>
          <w:numId w:val="2"/>
        </w:numPr>
        <w:spacing w:before="60" w:after="60"/>
      </w:pPr>
      <w:r>
        <w:rPr>
          <w:rFonts w:ascii="Arial" w:cs="Arial" w:eastAsia="Arial" w:hAnsi="Arial"/>
          <w:color w:val="333333"/>
          <w:sz w:val="22"/>
          <w:szCs w:val="22"/>
        </w:rPr>
        <w:t xml:space="preserve">Specify an expiry date (maximum 12 months)</w:t>
      </w:r>
    </w:p>
    <w:p>
      <w:pPr>
        <w:pStyle w:val="ListParagraph"/>
        <w:numPr>
          <w:ilvl w:val="0"/>
          <w:numId w:val="2"/>
        </w:numPr>
        <w:spacing w:before="60" w:after="60"/>
      </w:pPr>
      <w:r>
        <w:rPr>
          <w:rFonts w:ascii="Arial" w:cs="Arial" w:eastAsia="Arial" w:hAnsi="Arial"/>
          <w:color w:val="333333"/>
          <w:sz w:val="22"/>
          <w:szCs w:val="22"/>
        </w:rPr>
        <w:t xml:space="preserve">Be recorded in the Information Risk Register</w:t>
      </w:r>
    </w:p>
    <w:p>
      <w:pPr>
        <w:spacing w:before="80" w:after="0"/>
      </w:pPr>
      <w:r>
        <w:t xml:space="preserve"/>
      </w:r>
    </w:p>
    <w:p>
      <w:pPr>
        <w:spacing w:before="80" w:after="80"/>
      </w:pPr>
      <w:r>
        <w:rPr>
          <w:rFonts w:ascii="Arial" w:cs="Arial" w:eastAsia="Arial" w:hAnsi="Arial"/>
          <w:color w:val="333333"/>
          <w:sz w:val="22"/>
          <w:szCs w:val="22"/>
        </w:rPr>
        <w:t xml:space="preserve">No exception may be granted that would cause [Company Name] to breach applicable law or regulatory obligation.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12.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Parent framework — defines classification schema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Governs system criticality classification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Retention and Disposal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Governs retention periods per classification tier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Governs data accuracy and ALCOA+ requirements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Privacy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Governs Tier 4 Sensitive Personal data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Governs IAM controls derived from classification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Governs third-party data handling obligations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SOP-001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Classification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Operationalises this Policy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All data classification exceptions — including reclassification to a lower tier — are governed by EXC-001; classification tier exceptions affect downstream control obligations across the IMF suite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WI-001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Classification Questionnaire</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Step-by-step classification tool</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13.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Asset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Any collection of data, in any format, that has value to [Company Name].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The business leader accountable for a defined data domain, including its classification and appropriate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IT or system function responsible for implementing technical controls on behalf of the Data Owner.</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Personal Data</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Any information relating to an identified or identifiable natural person, as defined under applicable privacy law.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Pseudonymisation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Processing of personal data such that it can no longer be attributed to a specific individual without the use of additional, separately held information.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Sensitivity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color w:val="333333"/>
                <w:sz w:val="20"/>
                <w:szCs w:val="20"/>
              </w:rPr>
              <w:t xml:space="preserve">The confidentiality risk associated with the unauthorised disclosure of a data asset.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Need-to-Know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principle that access to information is granted only to individuals who require it to perform a defined, legitimate business function.</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POL-001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DATA CLASSIFICATION POLICY  |  POL-001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2026-03-07T19:10:53.147Z</dcterms:created>
  <dcterms:modified xsi:type="dcterms:W3CDTF">2026-03-07T19:10:53.147Z</dcterms:modified>
</cp:coreProperties>
</file>

<file path=docProps/custom.xml><?xml version="1.0" encoding="utf-8"?>
<Properties xmlns="http://schemas.openxmlformats.org/officeDocument/2006/custom-properties" xmlns:vt="http://schemas.openxmlformats.org/officeDocument/2006/docPropsVTypes"/>
</file>