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DATA RETENTION AND DISPOSAL POLICY</w:t>
      </w:r>
    </w:p>
    <w:p>
      <w:pPr>
        <w:shd w:fill="1B2A4A" w:val="clear"/>
        <w:spacing w:before="40" w:after="0"/>
        <w:ind w:left="1440"/>
      </w:pPr>
      <w:r>
        <w:rPr>
          <w:rFonts w:ascii="Arial" w:cs="Arial" w:eastAsia="Arial" w:hAnsi="Arial"/>
          <w:i/>
          <w:iCs/>
          <w:color w:val="D6E4F7"/>
          <w:sz w:val="24"/>
          <w:szCs w:val="24"/>
        </w:rPr>
        <w:t xml:space="preserve">POL-002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POL-002</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Officer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Legal</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5(1)(e), SOX Section 802, 21 CFR Part 11, EU Annex 11, GxP, HIPAA, CCPA</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mandatory requirements for the retention and secure disposal of all data assets at [Company Name]. It ensures that data is kept for as long as it is required — by law, by regulation, or by legitimate business need — and is securely and verifiably destroyed at the end of that period.</w:t>
      </w:r>
    </w:p>
    <w:p>
      <w:pPr>
        <w:spacing w:before="60" w:after="0"/>
      </w:pPr>
      <w:r>
        <w:t xml:space="preserve"/>
      </w:r>
    </w:p>
    <w:p>
      <w:pPr>
        <w:spacing w:before="80" w:after="80"/>
      </w:pPr>
      <w:r>
        <w:rPr>
          <w:rFonts w:ascii="Arial" w:cs="Arial" w:eastAsia="Arial" w:hAnsi="Arial"/>
          <w:color w:val="333333"/>
          <w:sz w:val="22"/>
          <w:szCs w:val="22"/>
        </w:rPr>
        <w:t xml:space="preserve">Retaining data longer than necessary increases exposure to regulatory, legal, and reputational risk. Disposing of data too early creates compliance gaps, destroys evidence needed for regulatory inspections, and may constitute a breach of applicable law. This Policy sets the balance and provides a binding schedule that eliminates ambiguity.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GxP records have absolute minimum retention periods defined by regulation. These are non-negotiable floors — no business decision, cost pressure, or internal policy exception may override them.</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w:t>
      </w:r>
    </w:p>
    <w:p>
      <w:pPr>
        <w:pStyle w:val="ListParagraph"/>
        <w:numPr>
          <w:ilvl w:val="0"/>
          <w:numId w:val="2"/>
        </w:numPr>
        <w:spacing w:before="60" w:after="60"/>
      </w:pPr>
      <w:r>
        <w:rPr>
          <w:rFonts w:ascii="Arial" w:cs="Arial" w:eastAsia="Arial" w:hAnsi="Arial"/>
          <w:color w:val="333333"/>
          <w:sz w:val="22"/>
          <w:szCs w:val="22"/>
        </w:rPr>
        <w:t xml:space="preserve">All data assets at [Company Name] in any format — electronic, paper, and other physical media</w:t>
      </w:r>
    </w:p>
    <w:p>
      <w:pPr>
        <w:pStyle w:val="ListParagraph"/>
        <w:numPr>
          <w:ilvl w:val="0"/>
          <w:numId w:val="2"/>
        </w:numPr>
        <w:spacing w:before="60" w:after="60"/>
      </w:pPr>
      <w:r>
        <w:rPr>
          <w:rFonts w:ascii="Arial" w:cs="Arial" w:eastAsia="Arial" w:hAnsi="Arial"/>
          <w:color w:val="333333"/>
          <w:sz w:val="22"/>
          <w:szCs w:val="22"/>
        </w:rPr>
        <w:t xml:space="preserve">All systems that store, process, or archive company data</w:t>
      </w:r>
    </w:p>
    <w:p>
      <w:pPr>
        <w:pStyle w:val="ListParagraph"/>
        <w:numPr>
          <w:ilvl w:val="0"/>
          <w:numId w:val="2"/>
        </w:numPr>
        <w:spacing w:before="60" w:after="60"/>
      </w:pPr>
      <w:r>
        <w:rPr>
          <w:rFonts w:ascii="Arial" w:cs="Arial" w:eastAsia="Arial" w:hAnsi="Arial"/>
          <w:color w:val="333333"/>
          <w:sz w:val="22"/>
          <w:szCs w:val="22"/>
        </w:rPr>
        <w:t xml:space="preserve">All employees, contractors, and third parties who create, hold, or manage company data</w:t>
      </w:r>
    </w:p>
    <w:p>
      <w:pPr>
        <w:pStyle w:val="ListParagraph"/>
        <w:numPr>
          <w:ilvl w:val="0"/>
          <w:numId w:val="2"/>
        </w:numPr>
        <w:spacing w:before="60" w:after="60"/>
      </w:pPr>
      <w:r>
        <w:rPr>
          <w:rFonts w:ascii="Arial" w:cs="Arial" w:eastAsia="Arial" w:hAnsi="Arial"/>
          <w:color w:val="333333"/>
          <w:sz w:val="22"/>
          <w:szCs w:val="22"/>
        </w:rPr>
        <w:t xml:space="preserve">All geographic locations and legal entities within the [Company Name] corporate group</w:t>
      </w:r>
    </w:p>
    <w:p>
      <w:pPr>
        <w:spacing w:before="80" w:after="0"/>
      </w:pPr>
      <w:r>
        <w:t xml:space="preserve"/>
      </w:r>
    </w:p>
    <w:p>
      <w:pPr>
        <w:spacing w:before="80" w:after="80"/>
      </w:pPr>
      <w:r>
        <w:rPr>
          <w:rFonts w:ascii="Arial" w:cs="Arial" w:eastAsia="Arial" w:hAnsi="Arial"/>
          <w:color w:val="333333"/>
          <w:sz w:val="22"/>
          <w:szCs w:val="22"/>
        </w:rPr>
        <w:t xml:space="preserve">Third parties who hold [Company Name] data under contract are subject to the retention and disposal requirements specified in their Data Processing Agreement or Technical Agreement. The Data Owner retains accountability for those obligations.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Policy Statement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data assets must be:</w:t>
      </w:r>
    </w:p>
    <w:p>
      <w:pPr>
        <w:pStyle w:val="ListParagraph"/>
        <w:numPr>
          <w:ilvl w:val="0"/>
          <w:numId w:val="2"/>
        </w:numPr>
        <w:spacing w:before="60" w:after="60"/>
      </w:pPr>
      <w:r>
        <w:rPr>
          <w:rFonts w:ascii="Arial" w:cs="Arial" w:eastAsia="Arial" w:hAnsi="Arial"/>
          <w:color w:val="333333"/>
          <w:sz w:val="22"/>
          <w:szCs w:val="22"/>
        </w:rPr>
        <w:t xml:space="preserve">Assigned a retention period at the point of classification, in accordance with the retention schedule in Section 5</w:t>
      </w:r>
    </w:p>
    <w:p>
      <w:pPr>
        <w:pStyle w:val="ListParagraph"/>
        <w:numPr>
          <w:ilvl w:val="0"/>
          <w:numId w:val="2"/>
        </w:numPr>
        <w:spacing w:before="60" w:after="60"/>
      </w:pPr>
      <w:r>
        <w:rPr>
          <w:rFonts w:ascii="Arial" w:cs="Arial" w:eastAsia="Arial" w:hAnsi="Arial"/>
          <w:color w:val="333333"/>
          <w:sz w:val="22"/>
          <w:szCs w:val="22"/>
        </w:rPr>
        <w:t xml:space="preserve">Retained for no less than the minimum period specified — disposing of data before the minimum period is a compliance breach</w:t>
      </w:r>
    </w:p>
    <w:p>
      <w:pPr>
        <w:pStyle w:val="ListParagraph"/>
        <w:numPr>
          <w:ilvl w:val="0"/>
          <w:numId w:val="2"/>
        </w:numPr>
        <w:spacing w:before="60" w:after="60"/>
      </w:pPr>
      <w:r>
        <w:rPr>
          <w:rFonts w:ascii="Arial" w:cs="Arial" w:eastAsia="Arial" w:hAnsi="Arial"/>
          <w:color w:val="333333"/>
          <w:sz w:val="22"/>
          <w:szCs w:val="22"/>
        </w:rPr>
        <w:t xml:space="preserve">Retained for no longer than the maximum period specified — holding data beyond the maximum (without legal hold justification) is a regulatory breach under GDPR and other privacy laws</w:t>
      </w:r>
    </w:p>
    <w:p>
      <w:pPr>
        <w:pStyle w:val="ListParagraph"/>
        <w:numPr>
          <w:ilvl w:val="0"/>
          <w:numId w:val="2"/>
        </w:numPr>
        <w:spacing w:before="60" w:after="60"/>
      </w:pPr>
      <w:r>
        <w:rPr>
          <w:rFonts w:ascii="Arial" w:cs="Arial" w:eastAsia="Arial" w:hAnsi="Arial"/>
          <w:color w:val="333333"/>
          <w:sz w:val="22"/>
          <w:szCs w:val="22"/>
        </w:rPr>
        <w:t xml:space="preserve">Securely disposed of at the end of the retention period using approved methods defined in Section 7</w:t>
      </w:r>
    </w:p>
    <w:p>
      <w:pPr>
        <w:pStyle w:val="ListParagraph"/>
        <w:numPr>
          <w:ilvl w:val="0"/>
          <w:numId w:val="2"/>
        </w:numPr>
        <w:spacing w:before="60" w:after="60"/>
      </w:pPr>
      <w:r>
        <w:rPr>
          <w:rFonts w:ascii="Arial" w:cs="Arial" w:eastAsia="Arial" w:hAnsi="Arial"/>
          <w:color w:val="333333"/>
          <w:sz w:val="22"/>
          <w:szCs w:val="22"/>
        </w:rPr>
        <w:t xml:space="preserve">Subject to a legal hold process that suspends normal disposal obligations when litigation, investigation, or regulatory inspection is anticipated or active (Section 6)</w:t>
      </w:r>
    </w:p>
    <w:p>
      <w:pPr>
        <w:spacing w:before="80" w:after="0"/>
      </w:pPr>
      <w:r>
        <w:t xml:space="preserve"/>
      </w:r>
    </w:p>
    <w:p>
      <w:pPr>
        <w:spacing w:before="80" w:after="80"/>
      </w:pPr>
      <w:r>
        <w:rPr>
          <w:rFonts w:ascii="Arial" w:cs="Arial" w:eastAsia="Arial" w:hAnsi="Arial"/>
          <w:color w:val="333333"/>
          <w:sz w:val="22"/>
          <w:szCs w:val="22"/>
        </w:rPr>
        <w:t xml:space="preserve">Retention periods run from the date the record is closed, the transaction is complete, or the relevant triggering event occurs — not from the date the record was created, unless specified otherwise in Section 5.</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4.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Accountable for ensuring data in their domain is classified with a retention period and that disposal is triggered at the correct time. Approves retention exceptions within their domain.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technical retention controls (automated archival, deletion schedules, backup purging). Executes disposal actions and produces disposal certificates.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the legal hold process. Issues legal hold notices. Advises Data Owners on retention requirements arising from litigation, regulatory change, or inspection. Maintains the master legal hold register.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Oversees secure disposal standards. Approves third-party disposal vendors. Reviews and updates this Policy annually. Monitors compliance with retention schedules.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Accountable for GxP record retention compliance. Advises on regulatory minimum periods. Reviews retention schedule for regulatory accuracy annually.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Management (where designated)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Coordinates retention schedule application across the organisation. Manages physical records archiving and disposal logistics.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Retention Schedule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schedule defines minimum and maximum retention periods by data category and regulatory driver. Where multiple regulations apply to the same data type, the longest minimum period governs. Legal hold overrides all periods — see Section 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Retention periods shown are minimums required by regulation or policy. Data Owners may apply longer periods where a documented business justification exists and the DPO has confirmed no conflict with GDPR data minimisation obligations.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5.1  GxP and Regulated Research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400"/>
        <w:gridCol w:w="14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Driver</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Retention Period</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Event</w:t>
            </w:r>
          </w:p>
        </w:tc>
        <w:tc>
          <w:tcPr>
            <w:tcW w:type="dxa" w:w="14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Batch manufacturing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GMP (21 CFR 211.180)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year post-expiry of batch or 3 years post-manufacture (whichever is longer)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Batch release date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be available for regulatory inspection throughout retention period.</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Clinical trial records (master file)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ICH E6(R2) / 21 CFR 312</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15 years post-trial completion (or as specified in protocol)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Trial completion date</w:t>
            </w:r>
          </w:p>
        </w:tc>
        <w:tc>
          <w:tcPr>
            <w:tcW w:type="dxa" w:w="1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records: 21 CFR Part 11 compliant archive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Clinical trial — subject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 ICH E6(R2)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 years (EU trials) or as per protocol (minimum 15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Trial completion date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Pseudonymisation required; re-identification key held separately.</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Laboratory notebooks / raw data (GLP)</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GLP (OECD / 21 CFR 58)</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years post-study completion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Study completion date</w:t>
            </w:r>
          </w:p>
        </w:tc>
        <w:tc>
          <w:tcPr>
            <w:tcW w:type="dxa" w:w="1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Original or certified copy. Audit trail must be retained.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GMP validation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GMP / 21 CFR 211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product + 1 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Product discontinuation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Includes IQ/OQ/PQ documentation and change control records.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CSV / CSA validation documentation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 EU Annex 11</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system + 5 years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decommission</w:t>
            </w:r>
          </w:p>
        </w:tc>
        <w:tc>
          <w:tcPr>
            <w:tcW w:type="dxa" w:w="1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validation lifecycle documentation must be retained.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submissions (IND, NDA, BLA, MAA)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 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approval + 5 years (minimum)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Approval granted or withdrawn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Includes all correspondence, amendments, and agency responses.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Adverse event / pharmacovigilance records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314.81 / EU DIR 2001/83</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years (EU); 5 years (US) post-marketing approval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 grant date</w:t>
            </w:r>
          </w:p>
        </w:tc>
        <w:tc>
          <w:tcPr>
            <w:tcW w:type="dxa" w:w="1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Longer period may apply — confirm with Regulatory Affairs.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(GxP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 EU Annex 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as the record to which the audit trail relates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record type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must be retained alongside the original record.</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5.2  Financial and SOX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Driver</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Retention Period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Audited financial statements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Section 802 / Companies 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year end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workpapers and supporting records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 PCAOB</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completion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General ledger, accounts payable/receivable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 local tax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(US); varies by jurisdiction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year end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Payroll records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Jurisdiction-specific (typically FLSA / local law)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Employment end or year 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Tax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IRS / HMRC / local tax authority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(US); 6 years (UK); varies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year end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and committee minutes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Companies Act / Corporations law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Permanent</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meeting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Contracts and agreements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Commercial law / SOX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post-expiry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 expiry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ITGC evidence (SOX controls)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 PCAOB</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 testing completion</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5.3  Human Resources and Employment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Driver</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Retention Period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Employee personnel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Employment law / GDPR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post-employment end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Employment end date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Recruitment records (unsuccessful candidates)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 Equal opportunities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months (EU); 1 year (US)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Decision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Health and safety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OSHA / local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5–30 years (varies by type)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Incident/record date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and competency records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 local law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years post-employment end (GxP staff: life of employment + 5 years)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Employment end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Disciplinary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Employment law / GDPR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 years post-resolution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Resolution date</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5.4  General Corporate and Operational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Driver</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Retention Period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governance documents (Articles, share 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Companies 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Permanent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creation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Insurance policies and claims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Commercial / legal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post-policy expiry</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expiry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IP records (patents, trademarks)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IP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IP + 7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IP expiry or disposal</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Correspondence (material business)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SOX</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correspondence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system logs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 SOX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year minimum (Tier 1: 2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creation date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system logs (GxP audit trail)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associated record type</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associated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records (non-regulated)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 post-project close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closure date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Supplier / vendor contracts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Commercial law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post-expiry</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 expiry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processing agreements (DPAs)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relationship + 5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Relationship end</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5.5  Privacy and Data Subject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Driver</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Retention Period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of processing activities (ROPA)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 of processing + 3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cessation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request records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 CCPA</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years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Request completion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Consent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 of consent + 3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Consent withdrawal or expiry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records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35</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years post-processing cessation</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cessation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notification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33–34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date</w:t>
            </w:r>
          </w:p>
        </w:tc>
      </w:tr>
    </w:tbl>
    <w:p>
      <w:r>
        <w:br w:type="page"/>
      </w:r>
    </w:p>
    <w:p>
      <w:pPr>
        <w:pStyle w:val="Heading1"/>
        <w:spacing w:before="360" w:after="120"/>
      </w:pPr>
      <w:r>
        <w:rPr>
          <w:rFonts w:ascii="Arial" w:cs="Arial" w:eastAsia="Arial" w:hAnsi="Arial"/>
          <w:b/>
          <w:bCs/>
          <w:color w:val="1B2A4A"/>
          <w:sz w:val="36"/>
          <w:szCs w:val="36"/>
        </w:rPr>
        <w:t xml:space="preserve">6.  Legal Hold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legal hold is a directive that suspends normal data disposal obligations for specified data assets or categories. It is triggered when litigation, a regulatory investigation, a regulatory inspection, or any other legal proceeding is anticipated, threatened, or active.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6.1  Triggering a Legal Hold</w:t>
      </w:r>
    </w:p>
    <w:p>
      <w:pPr>
        <w:spacing w:before="80" w:after="80"/>
      </w:pPr>
      <w:r>
        <w:rPr>
          <w:rFonts w:ascii="Arial" w:cs="Arial" w:eastAsia="Arial" w:hAnsi="Arial"/>
          <w:color w:val="333333"/>
          <w:sz w:val="22"/>
          <w:szCs w:val="22"/>
        </w:rPr>
        <w:t xml:space="preserve">Legal holds are triggered by Legal / Compliance and must be issued in writing. Triggers include:</w:t>
      </w:r>
    </w:p>
    <w:p>
      <w:pPr>
        <w:pStyle w:val="ListParagraph"/>
        <w:numPr>
          <w:ilvl w:val="0"/>
          <w:numId w:val="2"/>
        </w:numPr>
        <w:spacing w:before="60" w:after="60"/>
      </w:pPr>
      <w:r>
        <w:rPr>
          <w:rFonts w:ascii="Arial" w:cs="Arial" w:eastAsia="Arial" w:hAnsi="Arial"/>
          <w:color w:val="333333"/>
          <w:sz w:val="22"/>
          <w:szCs w:val="22"/>
        </w:rPr>
        <w:t xml:space="preserve">Receipt of a litigation claim, demand letter, or regulatory investigation notice</w:t>
      </w:r>
    </w:p>
    <w:p>
      <w:pPr>
        <w:pStyle w:val="ListParagraph"/>
        <w:numPr>
          <w:ilvl w:val="0"/>
          <w:numId w:val="2"/>
        </w:numPr>
        <w:spacing w:before="60" w:after="60"/>
      </w:pPr>
      <w:r>
        <w:rPr>
          <w:rFonts w:ascii="Arial" w:cs="Arial" w:eastAsia="Arial" w:hAnsi="Arial"/>
          <w:color w:val="333333"/>
          <w:sz w:val="22"/>
          <w:szCs w:val="22"/>
        </w:rPr>
        <w:t xml:space="preserve">Internal identification of circumstances likely to result in litigation or regulatory action</w:t>
      </w:r>
    </w:p>
    <w:p>
      <w:pPr>
        <w:pStyle w:val="ListParagraph"/>
        <w:numPr>
          <w:ilvl w:val="0"/>
          <w:numId w:val="2"/>
        </w:numPr>
        <w:spacing w:before="60" w:after="60"/>
      </w:pPr>
      <w:r>
        <w:rPr>
          <w:rFonts w:ascii="Arial" w:cs="Arial" w:eastAsia="Arial" w:hAnsi="Arial"/>
          <w:color w:val="333333"/>
          <w:sz w:val="22"/>
          <w:szCs w:val="22"/>
        </w:rPr>
        <w:t xml:space="preserve">Notification of a regulatory inspection (GxP, SOX, privacy authority)</w:t>
      </w:r>
    </w:p>
    <w:p>
      <w:pPr>
        <w:pStyle w:val="ListParagraph"/>
        <w:numPr>
          <w:ilvl w:val="0"/>
          <w:numId w:val="2"/>
        </w:numPr>
        <w:spacing w:before="60" w:after="60"/>
      </w:pPr>
      <w:r>
        <w:rPr>
          <w:rFonts w:ascii="Arial" w:cs="Arial" w:eastAsia="Arial" w:hAnsi="Arial"/>
          <w:color w:val="333333"/>
          <w:sz w:val="22"/>
          <w:szCs w:val="22"/>
        </w:rPr>
        <w:t xml:space="preserve">A data breach triggering regulatory investigation</w:t>
      </w:r>
    </w:p>
    <w:p>
      <w:pPr>
        <w:pStyle w:val="ListParagraph"/>
        <w:numPr>
          <w:ilvl w:val="0"/>
          <w:numId w:val="2"/>
        </w:numPr>
        <w:spacing w:before="60" w:after="60"/>
      </w:pPr>
      <w:r>
        <w:rPr>
          <w:rFonts w:ascii="Arial" w:cs="Arial" w:eastAsia="Arial" w:hAnsi="Arial"/>
          <w:color w:val="333333"/>
          <w:sz w:val="22"/>
          <w:szCs w:val="22"/>
        </w:rPr>
        <w:t xml:space="preserve">A court order or equivalent legal directive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6.2  Legal Hold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4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6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4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 issues a written Legal Hold Notice identifying: the scope of data covered, the relevant systems and custodians, the reason for the hold, and the anticipated duration.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named Data Owners and Data Custodians acknowledge receipt of the Legal Hold Notice in writing within 2 business days.</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suspends automated deletion schedules, backup purging, and archival processes for all data within scope of the hold.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 records the hold in the Legal Hold Register, including all in-scope custodians and systems.</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 reviews active holds quarterly and confirms whether each remains necessary.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When the hold is lifted, Legal / Compliance issues a written release notice. Normal retention and disposal obligations resume — data that has exceeded its retention period must be disposed of promptly.</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Deleting or destroying data subject to a legal hold — even accidentally — may constitute spoliation of evidence and carry severe legal consequences. If in doubt, contact Legal before disposing of any data.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Secure Data Disposal</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Data disposal must be secure, verifiable, and proportionate to the sensitivity of the data being destroyed. The following standards apply.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Approved Disposal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Sensitivity Tier</w:t>
            </w:r>
          </w:p>
        </w:tc>
        <w:tc>
          <w:tcPr>
            <w:tcW w:type="dxa" w:w="5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Approved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data — standard storage (HDD, SSD, USB)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NIST 800-88 compliant overwriting (minimum 3-pass) or degaussing. Certificate of destruction required.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data — standard storage (HDD, SSD, USB)</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3–5</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Physical destruction (shredding/disintegration to NIST 800-88 standards) by approved vendor. Certificate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 SaaS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Cryptographic erasure (key destruction) where overwriting is not possible. Vendor confirmation of deletion in writing required. Confirm DPA obligations met.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media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method as primary data per sensitivity tier. Backup purge schedule must align with retention schedule.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Paper documents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Cross-cut shredding (minimum DIN 66399 P-3 level).</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Paper documents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3–5</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Cross-cut shredding to DIN 66399 P-5 level by approved vendor. Certificate of destruction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Physical devices (servers, workstations)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Degaussing + physical destruction or NIST 800-88 overwrite before any physical disposal or return to vendor. Certificate required.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records — electronic</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not be destroyed before regulatory minimum retention period. Post-retention: same as electronic data by sensitivity tier. Disposal must be documented in the audit trail.</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Disposal Evidence</w:t>
      </w:r>
    </w:p>
    <w:p>
      <w:pPr>
        <w:spacing w:before="80" w:after="80"/>
      </w:pPr>
      <w:r>
        <w:rPr>
          <w:rFonts w:ascii="Arial" w:cs="Arial" w:eastAsia="Arial" w:hAnsi="Arial"/>
          <w:color w:val="333333"/>
          <w:sz w:val="22"/>
          <w:szCs w:val="22"/>
        </w:rPr>
        <w:t xml:space="preserve">A disposal certificate or equivalent written record must be produced for all data disposed of at Tier 3 or above, and for all GxP records regardless of sensitivity tier. Disposal records must be retained for 7 years.</w:t>
      </w:r>
    </w:p>
    <w:p>
      <w:pPr>
        <w:spacing w:before="60" w:after="0"/>
      </w:pPr>
      <w:r>
        <w:t xml:space="preserve"/>
      </w:r>
    </w:p>
    <w:p>
      <w:pPr>
        <w:spacing w:before="80" w:after="80"/>
      </w:pPr>
      <w:r>
        <w:rPr>
          <w:rFonts w:ascii="Arial" w:cs="Arial" w:eastAsia="Arial" w:hAnsi="Arial"/>
          <w:color w:val="333333"/>
          <w:sz w:val="22"/>
          <w:szCs w:val="22"/>
        </w:rPr>
        <w:t xml:space="preserve">Disposal certificates must include: date of disposal, description of data/media disposed of, method of disposal, name of person or vendor who carried out disposal, and signature or digital confirmation.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7.3  Third-Party Disposal Vendors</w:t>
      </w:r>
    </w:p>
    <w:p>
      <w:pPr>
        <w:spacing w:before="80" w:after="80"/>
      </w:pPr>
      <w:r>
        <w:rPr>
          <w:rFonts w:ascii="Arial" w:cs="Arial" w:eastAsia="Arial" w:hAnsi="Arial"/>
          <w:color w:val="333333"/>
          <w:sz w:val="22"/>
          <w:szCs w:val="22"/>
        </w:rPr>
        <w:t xml:space="preserve">Third parties engaged to carry out data disposal must be pre-approved by Information Security and must provide: evidence of appropriate security certification (e.g., NAID AAA, ISO 27001), contractual agreement to [Company Name]'s disposal standards, and a certificate of destruction for each disposal event.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Requests to retain data beyond its maximum retention period (excluding legal holds) or to dispose of data before its minimum retention period must be submitted to Information Security in writing. The request must include:</w:t>
      </w:r>
    </w:p>
    <w:p>
      <w:pPr>
        <w:pStyle w:val="ListParagraph"/>
        <w:numPr>
          <w:ilvl w:val="0"/>
          <w:numId w:val="2"/>
        </w:numPr>
        <w:spacing w:before="60" w:after="60"/>
      </w:pPr>
      <w:r>
        <w:rPr>
          <w:rFonts w:ascii="Arial" w:cs="Arial" w:eastAsia="Arial" w:hAnsi="Arial"/>
          <w:color w:val="333333"/>
          <w:sz w:val="22"/>
          <w:szCs w:val="22"/>
        </w:rPr>
        <w:t xml:space="preserve">The data asset and classification</w:t>
      </w:r>
    </w:p>
    <w:p>
      <w:pPr>
        <w:pStyle w:val="ListParagraph"/>
        <w:numPr>
          <w:ilvl w:val="0"/>
          <w:numId w:val="2"/>
        </w:numPr>
        <w:spacing w:before="60" w:after="60"/>
      </w:pPr>
      <w:r>
        <w:rPr>
          <w:rFonts w:ascii="Arial" w:cs="Arial" w:eastAsia="Arial" w:hAnsi="Arial"/>
          <w:color w:val="333333"/>
          <w:sz w:val="22"/>
          <w:szCs w:val="22"/>
        </w:rPr>
        <w:t xml:space="preserve">The applicable retention period and the requested deviation</w:t>
      </w:r>
    </w:p>
    <w:p>
      <w:pPr>
        <w:pStyle w:val="ListParagraph"/>
        <w:numPr>
          <w:ilvl w:val="0"/>
          <w:numId w:val="2"/>
        </w:numPr>
        <w:spacing w:before="60" w:after="60"/>
      </w:pPr>
      <w:r>
        <w:rPr>
          <w:rFonts w:ascii="Arial" w:cs="Arial" w:eastAsia="Arial" w:hAnsi="Arial"/>
          <w:color w:val="333333"/>
          <w:sz w:val="22"/>
          <w:szCs w:val="22"/>
        </w:rPr>
        <w:t xml:space="preserve">The business or legal justification</w:t>
      </w:r>
    </w:p>
    <w:p>
      <w:pPr>
        <w:pStyle w:val="ListParagraph"/>
        <w:numPr>
          <w:ilvl w:val="0"/>
          <w:numId w:val="2"/>
        </w:numPr>
        <w:spacing w:before="60" w:after="60"/>
      </w:pPr>
      <w:r>
        <w:rPr>
          <w:rFonts w:ascii="Arial" w:cs="Arial" w:eastAsia="Arial" w:hAnsi="Arial"/>
          <w:color w:val="333333"/>
          <w:sz w:val="22"/>
          <w:szCs w:val="22"/>
        </w:rPr>
        <w:t xml:space="preserve">Confirmation from Legal / Compliance that the deviation does not breach applicable law</w:t>
      </w:r>
    </w:p>
    <w:p>
      <w:pPr>
        <w:spacing w:before="80" w:after="0"/>
      </w:pPr>
      <w:r>
        <w:t xml:space="preserve"/>
      </w:r>
    </w:p>
    <w:p>
      <w:pPr>
        <w:spacing w:before="80" w:after="80"/>
      </w:pPr>
      <w:r>
        <w:rPr>
          <w:rFonts w:ascii="Arial" w:cs="Arial" w:eastAsia="Arial" w:hAnsi="Arial"/>
          <w:color w:val="333333"/>
          <w:sz w:val="22"/>
          <w:szCs w:val="22"/>
        </w:rPr>
        <w:t xml:space="preserve">Exceptions require approval from the Data Owner, Information Security, and Legal / Compliance. No exception may result in disposal of GxP records before the regulatory minimum period, or in retention of personal data beyond what is justifiable under GDPR's data minimisation principle.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Non-Compliance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Non-compliance with this Policy may result in regulatory fines, legal liability, or disciplinary action. Specific risks include:</w:t>
      </w:r>
    </w:p>
    <w:p>
      <w:pPr>
        <w:pStyle w:val="ListParagraph"/>
        <w:numPr>
          <w:ilvl w:val="0"/>
          <w:numId w:val="2"/>
        </w:numPr>
        <w:spacing w:before="60" w:after="60"/>
      </w:pPr>
      <w:r>
        <w:rPr>
          <w:rFonts w:ascii="Arial" w:cs="Arial" w:eastAsia="Arial" w:hAnsi="Arial"/>
          <w:color w:val="333333"/>
          <w:sz w:val="22"/>
          <w:szCs w:val="22"/>
        </w:rPr>
        <w:t xml:space="preserve">Premature disposal of GxP records: potential regulatory action by FDA, EMA, or equivalent authority, including warning letters, import alerts, or marketing authorisation suspension</w:t>
      </w:r>
    </w:p>
    <w:p>
      <w:pPr>
        <w:pStyle w:val="ListParagraph"/>
        <w:numPr>
          <w:ilvl w:val="0"/>
          <w:numId w:val="2"/>
        </w:numPr>
        <w:spacing w:before="60" w:after="60"/>
      </w:pPr>
      <w:r>
        <w:rPr>
          <w:rFonts w:ascii="Arial" w:cs="Arial" w:eastAsia="Arial" w:hAnsi="Arial"/>
          <w:color w:val="333333"/>
          <w:sz w:val="22"/>
          <w:szCs w:val="22"/>
        </w:rPr>
        <w:t xml:space="preserve">Premature disposal of SOX records: potential SEC enforcement action and criminal liability under Sarbanes-Oxley Section 802</w:t>
      </w:r>
    </w:p>
    <w:p>
      <w:pPr>
        <w:pStyle w:val="ListParagraph"/>
        <w:numPr>
          <w:ilvl w:val="0"/>
          <w:numId w:val="2"/>
        </w:numPr>
        <w:spacing w:before="60" w:after="60"/>
      </w:pPr>
      <w:r>
        <w:rPr>
          <w:rFonts w:ascii="Arial" w:cs="Arial" w:eastAsia="Arial" w:hAnsi="Arial"/>
          <w:color w:val="333333"/>
          <w:sz w:val="22"/>
          <w:szCs w:val="22"/>
        </w:rPr>
        <w:t xml:space="preserve">Over-retention of personal data: regulatory fines under GDPR (up to 4% of global annual turnover) and equivalent privacy authorities</w:t>
      </w:r>
    </w:p>
    <w:p>
      <w:pPr>
        <w:pStyle w:val="ListParagraph"/>
        <w:numPr>
          <w:ilvl w:val="0"/>
          <w:numId w:val="2"/>
        </w:numPr>
        <w:spacing w:before="60" w:after="60"/>
      </w:pPr>
      <w:r>
        <w:rPr>
          <w:rFonts w:ascii="Arial" w:cs="Arial" w:eastAsia="Arial" w:hAnsi="Arial"/>
          <w:color w:val="333333"/>
          <w:sz w:val="22"/>
          <w:szCs w:val="22"/>
        </w:rPr>
        <w:t xml:space="preserve">Disposal of data subject to legal hold: potential contempt of court or spoliation sanctions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 tier determines retention schedule row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record integrity must be maintained throughout retention period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 exceptions (early disposal or extended retention) are governed by EXC-001; statutory retention obligations may make certain exceptions non-approvable; DPO and Legal review required for GDPR-scoped retention exceptions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data minimisation principle constrains maximum retention of personal data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decommissioning triggers data disposal obligations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events may trigger legal hold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disposal vendor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(planned)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Cryptographic Erasure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Destruction of encryption keys such that encrypted data is rendered permanently unreadable, used where physical overwriting of cloud-stored data is not possible.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Disposal Certificate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evidence confirming that a data asset or storage medium has been destroyed in accordance with approved methods, including date, method, and responsible party.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formal directive suspending normal data disposal obligations for specified data pending or in anticipation of litigation, regulatory investigation, or inspection.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defined timeframe during which a data asset must be kept. Divided into a minimum (regulatory floor) and maximum (regulatory ceiling or business policy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Trigger 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event that starts the clock on a retention period — typically record closure, transaction completion, employment end, or equivalent.</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POL-002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DATA RETENTION AND DISPOSAL POLICY  |  POL-002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2026-03-07T19:10:53.639Z</dcterms:created>
  <dcterms:modified xsi:type="dcterms:W3CDTF">2026-03-07T19:10:53.640Z</dcterms:modified>
</cp:coreProperties>
</file>

<file path=docProps/custom.xml><?xml version="1.0" encoding="utf-8"?>
<Properties xmlns="http://schemas.openxmlformats.org/officeDocument/2006/custom-properties" xmlns:vt="http://schemas.openxmlformats.org/officeDocument/2006/docPropsVTypes"/>
</file>