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CHANGE MANAGEMENT POLICY</w:t>
      </w:r>
    </w:p>
    <w:p>
      <w:pPr>
        <w:shd w:fill="1B2A4A" w:val="clear"/>
        <w:spacing w:before="40" w:after="0"/>
        <w:ind w:left="1440"/>
      </w:pPr>
      <w:r>
        <w:rPr>
          <w:rFonts w:ascii="Arial" w:cs="Arial" w:eastAsia="Arial" w:hAnsi="Arial"/>
          <w:i/>
          <w:iCs/>
          <w:color w:val="D6E4F7"/>
          <w:sz w:val="24"/>
          <w:szCs w:val="24"/>
        </w:rPr>
        <w:t xml:space="preserve">POL-007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POL-007</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Officer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IT / Quality Assurance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GAMP 5 (2022), GxP, SOX (ITGC), ISO/IEC 27001:2022, ITIL 4</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mandatory requirements for the planning, assessment, authorisation, testing, implementation, and documentation of all changes to [Company Name]'s information systems, infrastructure, and technology environment.</w:t>
      </w:r>
    </w:p>
    <w:p>
      <w:pPr>
        <w:spacing w:before="60" w:after="0"/>
      </w:pPr>
      <w:r>
        <w:t xml:space="preserve"/>
      </w:r>
    </w:p>
    <w:p>
      <w:pPr>
        <w:spacing w:before="80" w:after="80"/>
      </w:pPr>
      <w:r>
        <w:rPr>
          <w:rFonts w:ascii="Arial" w:cs="Arial" w:eastAsia="Arial" w:hAnsi="Arial"/>
          <w:color w:val="333333"/>
          <w:sz w:val="22"/>
          <w:szCs w:val="22"/>
        </w:rPr>
        <w:t xml:space="preserve">Change is the most common cause of system outages, data integrity failures, security incidents, and regulatory non-compliance. This Policy manages that risk by requiring that all changes — regardless of their apparent simplicity — are assessed, authorised, and documented before implementation, and that the impact on validated system status is considered for every change to a regulated system.</w:t>
      </w:r>
    </w:p>
    <w:p>
      <w:pPr>
        <w:spacing w:before="60" w:after="0"/>
      </w:pPr>
      <w:r>
        <w:t xml:space="preserve"/>
      </w:r>
    </w:p>
    <w:p>
      <w:pPr>
        <w:spacing w:before="80" w:after="80"/>
      </w:pPr>
      <w:r>
        <w:rPr>
          <w:rFonts w:ascii="Arial" w:cs="Arial" w:eastAsia="Arial" w:hAnsi="Arial"/>
          <w:color w:val="333333"/>
          <w:sz w:val="22"/>
          <w:szCs w:val="22"/>
        </w:rPr>
        <w:t xml:space="preserve">Critically, the rigour of change controls scales with the criticality and regulatory status of the affected system. A change to an internally developed GxP system that creates electronic records has fundamentally different implications from a content update to an internal wiki. This Policy applies proportionate controls — high rigour where the risk is high, lean controls where the risk is low — using the system classification framework established in POL-005 as the governing input.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The change management process does not exist to slow down technology delivery. It exists to prevent uncontrolled change from creating outages, security incidents, and regulatory failures that are significantly more disruptive than the change process itself. For GxP systems, uncontrolled change can render a system unvalidated and halt regulated operations until re-validation is complete.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changes to:</w:t>
      </w:r>
    </w:p>
    <w:p>
      <w:pPr>
        <w:pStyle w:val="ListParagraph"/>
        <w:numPr>
          <w:ilvl w:val="0"/>
          <w:numId w:val="2"/>
        </w:numPr>
        <w:spacing w:before="60" w:after="60"/>
      </w:pPr>
      <w:r>
        <w:rPr>
          <w:rFonts w:ascii="Arial" w:cs="Arial" w:eastAsia="Arial" w:hAnsi="Arial"/>
          <w:color w:val="333333"/>
          <w:sz w:val="22"/>
          <w:szCs w:val="22"/>
        </w:rPr>
        <w:t xml:space="preserve">Software and applications — including new deployments, version upgrades, patches, configuration changes, and retirement</w:t>
      </w:r>
    </w:p>
    <w:p>
      <w:pPr>
        <w:pStyle w:val="ListParagraph"/>
        <w:numPr>
          <w:ilvl w:val="0"/>
          <w:numId w:val="2"/>
        </w:numPr>
        <w:spacing w:before="60" w:after="60"/>
      </w:pPr>
      <w:r>
        <w:rPr>
          <w:rFonts w:ascii="Arial" w:cs="Arial" w:eastAsia="Arial" w:hAnsi="Arial"/>
          <w:color w:val="333333"/>
          <w:sz w:val="22"/>
          <w:szCs w:val="22"/>
        </w:rPr>
        <w:t xml:space="preserve">Infrastructure — servers, networks, storage, cloud environments, and security controls</w:t>
      </w:r>
    </w:p>
    <w:p>
      <w:pPr>
        <w:pStyle w:val="ListParagraph"/>
        <w:numPr>
          <w:ilvl w:val="0"/>
          <w:numId w:val="2"/>
        </w:numPr>
        <w:spacing w:before="60" w:after="60"/>
      </w:pPr>
      <w:r>
        <w:rPr>
          <w:rFonts w:ascii="Arial" w:cs="Arial" w:eastAsia="Arial" w:hAnsi="Arial"/>
          <w:color w:val="333333"/>
          <w:sz w:val="22"/>
          <w:szCs w:val="22"/>
        </w:rPr>
        <w:t xml:space="preserve">Validated systems — any change to a GxP-validated system (Track A per POL-006) regardless of the perceived impact of the change</w:t>
      </w:r>
    </w:p>
    <w:p>
      <w:pPr>
        <w:pStyle w:val="ListParagraph"/>
        <w:numPr>
          <w:ilvl w:val="0"/>
          <w:numId w:val="2"/>
        </w:numPr>
        <w:spacing w:before="60" w:after="60"/>
      </w:pPr>
      <w:r>
        <w:rPr>
          <w:rFonts w:ascii="Arial" w:cs="Arial" w:eastAsia="Arial" w:hAnsi="Arial"/>
          <w:color w:val="333333"/>
          <w:sz w:val="22"/>
          <w:szCs w:val="22"/>
        </w:rPr>
        <w:t xml:space="preserve">SOX in-scope systems — any change with a potential effect on ITGC effectiveness</w:t>
      </w:r>
    </w:p>
    <w:p>
      <w:pPr>
        <w:pStyle w:val="ListParagraph"/>
        <w:numPr>
          <w:ilvl w:val="0"/>
          <w:numId w:val="2"/>
        </w:numPr>
        <w:spacing w:before="60" w:after="60"/>
      </w:pPr>
      <w:r>
        <w:rPr>
          <w:rFonts w:ascii="Arial" w:cs="Arial" w:eastAsia="Arial" w:hAnsi="Arial"/>
          <w:color w:val="333333"/>
          <w:sz w:val="22"/>
          <w:szCs w:val="22"/>
        </w:rPr>
        <w:t xml:space="preserve">Data and database changes — schema changes, data migrations, and bulk data modifications in production</w:t>
      </w:r>
    </w:p>
    <w:p>
      <w:pPr>
        <w:pStyle w:val="ListParagraph"/>
        <w:numPr>
          <w:ilvl w:val="0"/>
          <w:numId w:val="2"/>
        </w:numPr>
        <w:spacing w:before="60" w:after="60"/>
      </w:pPr>
      <w:r>
        <w:rPr>
          <w:rFonts w:ascii="Arial" w:cs="Arial" w:eastAsia="Arial" w:hAnsi="Arial"/>
          <w:color w:val="333333"/>
          <w:sz w:val="22"/>
          <w:szCs w:val="22"/>
        </w:rPr>
        <w:t xml:space="preserve">Third-party and SaaS systems — vendor-initiated changes, updates, and configuration changes where [Company Name] has control or must be notified</w:t>
      </w:r>
    </w:p>
    <w:p>
      <w:pPr>
        <w:spacing w:before="80" w:after="0"/>
      </w:pPr>
      <w:r>
        <w:t xml:space="preserve"/>
      </w:r>
    </w:p>
    <w:p>
      <w:pPr>
        <w:spacing w:before="80" w:after="80"/>
      </w:pPr>
      <w:r>
        <w:rPr>
          <w:rFonts w:ascii="Arial" w:cs="Arial" w:eastAsia="Arial" w:hAnsi="Arial"/>
          <w:color w:val="333333"/>
          <w:sz w:val="22"/>
          <w:szCs w:val="22"/>
        </w:rPr>
        <w:t xml:space="preserve">Routine operational activities that are fully documented in an approved Standard Operating Procedure and carried out in strict accordance with that procedure (e.g., scheduled patching within an approved maintenance window, approved account provisioning per access management procedures) may be classified as pre-approved Standard Changes (see Section 5) and are exempt from individual change request approval, but must still be logged.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Change Types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changes are classified into one of four types. The type determines the approval process and documentation requirements. The change requester proposes the type; the Change Advisory Board (or delegated approver) confirms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32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Examples</w:t>
            </w:r>
          </w:p>
        </w:tc>
        <w:tc>
          <w:tcPr>
            <w:tcW w:type="dxa" w:w="32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Route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pre-approved, low-risk, repeatable change that follows a documented procedure. Fully pre-assessed and authorised in advance. Individual change request approval is not required — but execution must be logged.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Scheduled OS patching per approved window, approved user account provisioning, standard certificate renewal, approved firewall rule additions within defined policy.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Pre-approved by Change Advisory Board (CAB). Individual executions logged, not approved individually. Periodic review of Standard Change catalogue.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planned change with sufficient lead time for assessment, testing, approval, and scheduling. The standard path for all non-emergency, non-pre-approved changes.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software deployment, system upgrade, configuration change, network design change, new integration, database schema change, GxP system update.</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change request with risk and impact assessment. Approval per Section 6 based on system classification tier and regulatory flags. Implementation only after approval.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change that must be implemented with urgency to resolve a critical system failure, address an active security vulnerability being exploited, or prevent imminent significant harm. Speed is prioritised but documentation cannot be eliminated.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security patch for actively exploited vulnerability, critical system recovery action, urgent fix for production-stopping defect in a Tier 1 system.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Verbal or written approval from CISO and CIO (or designated deputies) before implementation. Full retrospective documentation and formal CAB review within 48 hours. For GxP systems: Compliance / QA notified immediately.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Change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low-risk, low-impact change to a Tier 3 or Tier 4 non-regulated system that does not affect security controls, data flows, integrations, or system functionality materially.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Content updates to internal wikis, non-functional UI changes, low-risk SaaS configuration adjustments that do not affect data storage or sharing.</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approval. Logged in change register. No CAB review required.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For GxP systems (Track A under POL-006): there is no Minor Change category. Every change — however apparently trivial — must be assessed for impact on validated status and processed as at minimum a Normal Change. A configuration change that 'just enables a new user field' may directly affect audit trail completeness or electronic signature functionality.</w:t>
            </w:r>
          </w:p>
        </w:tc>
      </w:tr>
    </w:tbl>
    <w:p>
      <w:r>
        <w:br w:type="page"/>
      </w:r>
    </w:p>
    <w:p>
      <w:pPr>
        <w:pStyle w:val="Heading1"/>
        <w:spacing w:before="360" w:after="120"/>
      </w:pPr>
      <w:r>
        <w:rPr>
          <w:rFonts w:ascii="Arial" w:cs="Arial" w:eastAsia="Arial" w:hAnsi="Arial"/>
          <w:b/>
          <w:bCs/>
          <w:color w:val="1B2A4A"/>
          <w:sz w:val="36"/>
          <w:szCs w:val="36"/>
        </w:rPr>
        <w:t xml:space="preserve">4.  Change Risk and Impact Assessment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Normal and Emergency Change must be accompanied by a risk and impact assessment. The depth of assessment scales with the system's classification tier and regulatory flags.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Standard Impact Assessment (All Normal Changes)</w:t>
      </w:r>
    </w:p>
    <w:p>
      <w:pPr>
        <w:spacing w:before="80" w:after="80"/>
      </w:pPr>
      <w:r>
        <w:rPr>
          <w:rFonts w:ascii="Arial" w:cs="Arial" w:eastAsia="Arial" w:hAnsi="Arial"/>
          <w:color w:val="333333"/>
          <w:sz w:val="22"/>
          <w:szCs w:val="22"/>
        </w:rPr>
        <w:t xml:space="preserve">All Normal Change requests must address:</w:t>
      </w:r>
    </w:p>
    <w:p>
      <w:pPr>
        <w:pStyle w:val="ListParagraph"/>
        <w:numPr>
          <w:ilvl w:val="0"/>
          <w:numId w:val="2"/>
        </w:numPr>
        <w:spacing w:before="60" w:after="60"/>
      </w:pPr>
      <w:r>
        <w:rPr>
          <w:rFonts w:ascii="Arial" w:cs="Arial" w:eastAsia="Arial" w:hAnsi="Arial"/>
          <w:color w:val="333333"/>
          <w:sz w:val="22"/>
          <w:szCs w:val="22"/>
        </w:rPr>
        <w:t xml:space="preserve">Technical impact: what systems, interfaces, data, and users are affected? Are there dependencies on other systems that may be disrupted?</w:t>
      </w:r>
    </w:p>
    <w:p>
      <w:pPr>
        <w:pStyle w:val="ListParagraph"/>
        <w:numPr>
          <w:ilvl w:val="0"/>
          <w:numId w:val="2"/>
        </w:numPr>
        <w:spacing w:before="60" w:after="60"/>
      </w:pPr>
      <w:r>
        <w:rPr>
          <w:rFonts w:ascii="Arial" w:cs="Arial" w:eastAsia="Arial" w:hAnsi="Arial"/>
          <w:color w:val="333333"/>
          <w:sz w:val="22"/>
          <w:szCs w:val="22"/>
        </w:rPr>
        <w:t xml:space="preserve">Service impact: what is the expected downtime or degradation? During what hours will this occur?</w:t>
      </w:r>
    </w:p>
    <w:p>
      <w:pPr>
        <w:pStyle w:val="ListParagraph"/>
        <w:numPr>
          <w:ilvl w:val="0"/>
          <w:numId w:val="2"/>
        </w:numPr>
        <w:spacing w:before="60" w:after="60"/>
      </w:pPr>
      <w:r>
        <w:rPr>
          <w:rFonts w:ascii="Arial" w:cs="Arial" w:eastAsia="Arial" w:hAnsi="Arial"/>
          <w:color w:val="333333"/>
          <w:sz w:val="22"/>
          <w:szCs w:val="22"/>
        </w:rPr>
        <w:t xml:space="preserve">Security impact: does the change affect access controls, encryption, firewall rules, authentication, or logging?</w:t>
      </w:r>
    </w:p>
    <w:p>
      <w:pPr>
        <w:pStyle w:val="ListParagraph"/>
        <w:numPr>
          <w:ilvl w:val="0"/>
          <w:numId w:val="2"/>
        </w:numPr>
        <w:spacing w:before="60" w:after="60"/>
      </w:pPr>
      <w:r>
        <w:rPr>
          <w:rFonts w:ascii="Arial" w:cs="Arial" w:eastAsia="Arial" w:hAnsi="Arial"/>
          <w:color w:val="333333"/>
          <w:sz w:val="22"/>
          <w:szCs w:val="22"/>
        </w:rPr>
        <w:t xml:space="preserve">Data impact: does the change affect data storage, format, volume, backup, or retention?</w:t>
      </w:r>
    </w:p>
    <w:p>
      <w:pPr>
        <w:pStyle w:val="ListParagraph"/>
        <w:numPr>
          <w:ilvl w:val="0"/>
          <w:numId w:val="2"/>
        </w:numPr>
        <w:spacing w:before="60" w:after="60"/>
      </w:pPr>
      <w:r>
        <w:rPr>
          <w:rFonts w:ascii="Arial" w:cs="Arial" w:eastAsia="Arial" w:hAnsi="Arial"/>
          <w:color w:val="333333"/>
          <w:sz w:val="22"/>
          <w:szCs w:val="22"/>
        </w:rPr>
        <w:t xml:space="preserve">Rollback plan: how will the change be reversed if it causes an incident? What is the rollback trigger criteria?</w:t>
      </w:r>
    </w:p>
    <w:p>
      <w:pPr>
        <w:pStyle w:val="ListParagraph"/>
        <w:numPr>
          <w:ilvl w:val="0"/>
          <w:numId w:val="2"/>
        </w:numPr>
        <w:spacing w:before="60" w:after="60"/>
      </w:pPr>
      <w:r>
        <w:rPr>
          <w:rFonts w:ascii="Arial" w:cs="Arial" w:eastAsia="Arial" w:hAnsi="Arial"/>
          <w:color w:val="333333"/>
          <w:sz w:val="22"/>
          <w:szCs w:val="22"/>
        </w:rPr>
        <w:t xml:space="preserve">Test plan: what testing will be performed before and after implementation to confirm the change is successful?</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4.2  GxP Validation Impact Assessment (Track A Systems)</w:t>
      </w:r>
    </w:p>
    <w:p>
      <w:pPr>
        <w:spacing w:before="80" w:after="80"/>
      </w:pPr>
      <w:r>
        <w:rPr>
          <w:rFonts w:ascii="Arial" w:cs="Arial" w:eastAsia="Arial" w:hAnsi="Arial"/>
          <w:color w:val="333333"/>
          <w:sz w:val="22"/>
          <w:szCs w:val="22"/>
        </w:rPr>
        <w:t xml:space="preserve">For every change to a GxP-validated system, a validation impact assessment must be completed in addition to the standard impact assessment: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Question</w:t>
            </w:r>
          </w:p>
        </w:tc>
        <w:tc>
          <w:tcPr>
            <w:tcW w:type="dxa" w:w="6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Response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any functionality tested in the current OQ or PQ?</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re-testing of affected test cases required. Identify test cases from current validation protocols.</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audit trail configuration, fields captured, or audit trail accessibility?</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immediate escalation to Compliance / QA. Audit trail changes carry the highest regulatory risk. Re-validation of affected audit trail functionality required before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electronic signature functionality or the link between signature and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Compliance / QA approval required before implementation. Re-testing of electronic signature functionality required.</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user access controls, authentication methods, or session management?</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assess impact on Part 11 / Annex 11 compliance. Re-testing of access control functionality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change affect data storage, format, encryption, or backup?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assess impact on ALCOA+ (particularly Enduring and Available). Backup validation may be required.</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the change vendor-initiated (e.g., a SaaS platform update)?</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vendor must provide advance notice, release notes, and evidence that their testing covers validated functionality. [Company Name] Compliance / QA reviews vendor evidence and determines whether additional site-specific testing is required.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validation impact assessment determines whether the change can proceed as a Normal Change with post-implementation verification, or whether the system must be taken out of GxP use while re-validation activities are completed. A system cannot be used for GxP activities after an un-assessed change.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SOX ITGC Impact Assessment (Track B Systems)</w:t>
      </w:r>
    </w:p>
    <w:p>
      <w:pPr>
        <w:spacing w:before="80" w:after="80"/>
      </w:pPr>
      <w:r>
        <w:rPr>
          <w:rFonts w:ascii="Arial" w:cs="Arial" w:eastAsia="Arial" w:hAnsi="Arial"/>
          <w:color w:val="333333"/>
          <w:sz w:val="22"/>
          <w:szCs w:val="22"/>
        </w:rPr>
        <w:t xml:space="preserve">For changes to SOX-scoped systems, the impact on ITGC effectiveness must be assessed:</w:t>
      </w:r>
    </w:p>
    <w:p>
      <w:pPr>
        <w:pStyle w:val="ListParagraph"/>
        <w:numPr>
          <w:ilvl w:val="0"/>
          <w:numId w:val="2"/>
        </w:numPr>
        <w:spacing w:before="60" w:after="60"/>
      </w:pPr>
      <w:r>
        <w:rPr>
          <w:rFonts w:ascii="Arial" w:cs="Arial" w:eastAsia="Arial" w:hAnsi="Arial"/>
          <w:color w:val="333333"/>
          <w:sz w:val="22"/>
          <w:szCs w:val="22"/>
        </w:rPr>
        <w:t xml:space="preserve">Does the change affect any controls included in the current SOX ITGC testing scope?</w:t>
      </w:r>
    </w:p>
    <w:p>
      <w:pPr>
        <w:pStyle w:val="ListParagraph"/>
        <w:numPr>
          <w:ilvl w:val="0"/>
          <w:numId w:val="2"/>
        </w:numPr>
        <w:spacing w:before="60" w:after="60"/>
      </w:pPr>
      <w:r>
        <w:rPr>
          <w:rFonts w:ascii="Arial" w:cs="Arial" w:eastAsia="Arial" w:hAnsi="Arial"/>
          <w:color w:val="333333"/>
          <w:sz w:val="22"/>
          <w:szCs w:val="22"/>
        </w:rPr>
        <w:t xml:space="preserve">Does the change affect financial data flows, interfaces, or reporting outputs?</w:t>
      </w:r>
    </w:p>
    <w:p>
      <w:pPr>
        <w:pStyle w:val="ListParagraph"/>
        <w:numPr>
          <w:ilvl w:val="0"/>
          <w:numId w:val="2"/>
        </w:numPr>
        <w:spacing w:before="60" w:after="60"/>
      </w:pPr>
      <w:r>
        <w:rPr>
          <w:rFonts w:ascii="Arial" w:cs="Arial" w:eastAsia="Arial" w:hAnsi="Arial"/>
          <w:color w:val="333333"/>
          <w:sz w:val="22"/>
          <w:szCs w:val="22"/>
        </w:rPr>
        <w:t xml:space="preserve">Will the change require the ITGC control documentation to be updated?</w:t>
      </w:r>
    </w:p>
    <w:p>
      <w:pPr>
        <w:spacing w:before="80" w:after="80"/>
      </w:pPr>
      <w:r>
        <w:rPr>
          <w:rFonts w:ascii="Arial" w:cs="Arial" w:eastAsia="Arial" w:hAnsi="Arial"/>
          <w:color w:val="333333"/>
          <w:sz w:val="22"/>
          <w:szCs w:val="22"/>
        </w:rPr>
        <w:t xml:space="preserve">Compliance / QA must be notified of changes to SOX-scoped systems that affect ITGC effectiveness. The external auditor may need to be informed of significant changes to in-scope systems.</w:t>
      </w:r>
    </w:p>
    <w:p>
      <w:r>
        <w:br w:type="page"/>
      </w:r>
    </w:p>
    <w:p>
      <w:pPr>
        <w:pStyle w:val="Heading1"/>
        <w:spacing w:before="360" w:after="120"/>
      </w:pPr>
      <w:r>
        <w:rPr>
          <w:rFonts w:ascii="Arial" w:cs="Arial" w:eastAsia="Arial" w:hAnsi="Arial"/>
          <w:b/>
          <w:bCs/>
          <w:color w:val="1B2A4A"/>
          <w:sz w:val="36"/>
          <w:szCs w:val="36"/>
        </w:rPr>
        <w:t xml:space="preserve">5.  Standard Change Catalogue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Standard Changes are pre-approved changes that may be executed without individual change request approval. To qualify as a Standard Change, a change type must meet all of the following criteria:</w:t>
      </w:r>
    </w:p>
    <w:p>
      <w:pPr>
        <w:pStyle w:val="ListParagraph"/>
        <w:numPr>
          <w:ilvl w:val="0"/>
          <w:numId w:val="2"/>
        </w:numPr>
        <w:spacing w:before="60" w:after="60"/>
      </w:pPr>
      <w:r>
        <w:rPr>
          <w:rFonts w:ascii="Arial" w:cs="Arial" w:eastAsia="Arial" w:hAnsi="Arial"/>
          <w:color w:val="333333"/>
          <w:sz w:val="22"/>
          <w:szCs w:val="22"/>
        </w:rPr>
        <w:t xml:space="preserve">It is a well-defined, documented procedure with clear steps and known outcomes</w:t>
      </w:r>
    </w:p>
    <w:p>
      <w:pPr>
        <w:pStyle w:val="ListParagraph"/>
        <w:numPr>
          <w:ilvl w:val="0"/>
          <w:numId w:val="2"/>
        </w:numPr>
        <w:spacing w:before="60" w:after="60"/>
      </w:pPr>
      <w:r>
        <w:rPr>
          <w:rFonts w:ascii="Arial" w:cs="Arial" w:eastAsia="Arial" w:hAnsi="Arial"/>
          <w:color w:val="333333"/>
          <w:sz w:val="22"/>
          <w:szCs w:val="22"/>
        </w:rPr>
        <w:t xml:space="preserve">It has been assessed as low risk to service availability, security, data integrity, and regulatory compliance</w:t>
      </w:r>
    </w:p>
    <w:p>
      <w:pPr>
        <w:pStyle w:val="ListParagraph"/>
        <w:numPr>
          <w:ilvl w:val="0"/>
          <w:numId w:val="2"/>
        </w:numPr>
        <w:spacing w:before="60" w:after="60"/>
      </w:pPr>
      <w:r>
        <w:rPr>
          <w:rFonts w:ascii="Arial" w:cs="Arial" w:eastAsia="Arial" w:hAnsi="Arial"/>
          <w:color w:val="333333"/>
          <w:sz w:val="22"/>
          <w:szCs w:val="22"/>
        </w:rPr>
        <w:t xml:space="preserve">It has been successfully executed multiple times without incident</w:t>
      </w:r>
    </w:p>
    <w:p>
      <w:pPr>
        <w:pStyle w:val="ListParagraph"/>
        <w:numPr>
          <w:ilvl w:val="0"/>
          <w:numId w:val="2"/>
        </w:numPr>
        <w:spacing w:before="60" w:after="60"/>
      </w:pPr>
      <w:r>
        <w:rPr>
          <w:rFonts w:ascii="Arial" w:cs="Arial" w:eastAsia="Arial" w:hAnsi="Arial"/>
          <w:color w:val="333333"/>
          <w:sz w:val="22"/>
          <w:szCs w:val="22"/>
        </w:rPr>
        <w:t xml:space="preserve">It is performed within a defined scope (e.g., approved systems, approved time windows, approved parameters only)</w:t>
      </w:r>
    </w:p>
    <w:p>
      <w:pPr>
        <w:pStyle w:val="ListParagraph"/>
        <w:numPr>
          <w:ilvl w:val="0"/>
          <w:numId w:val="2"/>
        </w:numPr>
        <w:spacing w:before="60" w:after="60"/>
      </w:pPr>
      <w:r>
        <w:rPr>
          <w:rFonts w:ascii="Arial" w:cs="Arial" w:eastAsia="Arial" w:hAnsi="Arial"/>
          <w:color w:val="333333"/>
          <w:sz w:val="22"/>
          <w:szCs w:val="22"/>
        </w:rPr>
        <w:t xml:space="preserve">No GxP-validated functionality or SOX ITGC controls are affected</w:t>
      </w:r>
    </w:p>
    <w:p>
      <w:pPr>
        <w:spacing w:before="80" w:after="0"/>
      </w:pPr>
      <w:r>
        <w:t xml:space="preserve"/>
      </w:r>
    </w:p>
    <w:p>
      <w:pPr>
        <w:spacing w:before="80" w:after="80"/>
      </w:pPr>
      <w:r>
        <w:rPr>
          <w:rFonts w:ascii="Arial" w:cs="Arial" w:eastAsia="Arial" w:hAnsi="Arial"/>
          <w:color w:val="333333"/>
          <w:sz w:val="22"/>
          <w:szCs w:val="22"/>
        </w:rPr>
        <w:t xml:space="preserve">The Standard Change catalogue is maintained by Information Security / IT and reviewed by the CAB at least quarterly. New Standard Change types may only be added following a formal CAB approval. Standard Changes must be logged at execution — the pre-approval does not eliminate the need for a record.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Change Approval Authority Matrix</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approval authority for Normal Changes is determined by the criticality tier and regulatory flags of the primary system affected. Where a change affects multiple systems at different tiers, the highest tier governs.</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00"/>
        <w:gridCol w:w="13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 Impact</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Impact</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Authority</w:t>
            </w:r>
          </w:p>
        </w:tc>
        <w:tc>
          <w:tcPr>
            <w:tcW w:type="dxa" w:w="1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CAB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A — GxP
(any criticality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System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must approve all changes with any validation impact. For Major Impact changes: Compliance / QA issues new release decision post-implementation.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(for validation impact) + System Owner + Information Security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for all Normal Changes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B — SOX
(non-GxP)</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 — standard ITGC impact assessment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 Compliance / QA notified if ITGC-affecting.</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for changes affecting ITGC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C — Tier 1 (no regulatory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 + CIO for Tier 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C — Tier 2 (no regulatory flag)</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D — Tier 3 (no regulatory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D — Tier 4 (no regulatory flag)</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(any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(verbal/written before implementation)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notified immediately for GxP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(pre-implementation) + CAB retrospective review within 48 hours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Retrospective — mandatory within 48 hours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Change Advisory Board (CAB)</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Change Advisory Board is the governance body responsible for reviewing, approving, and overseeing Normal Changes in scope for CAB review (per Section 6). The CAB meets on a regular cadence and provides a forward-look change schedule to minimise conflicts and co-ordinate implementation windows.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CAB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Member</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in CAB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Chair: Information Security or IT Service 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Facilitates meetings. Maintains change register. Manages Standard Change catalogue. Reports CAB metrics to ISSG.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Owners (affected systems)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Provides system context and approves changes to their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(for Track A/B changes)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validation and ITGC impact assessments. Issues release decisions. Attends all meetings where GxP or SOX systems are on the agenda.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security impact of all changes. Approves changes affecting security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Provides technical implementation input. Confirms rollback feasibility.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stakeholders (as needed)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Attends for changes with significant business impact in their domain.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CAB Meeting Cadence</w:t>
      </w:r>
    </w:p>
    <w:p>
      <w:pPr>
        <w:spacing w:before="80" w:after="80"/>
      </w:pPr>
      <w:r>
        <w:rPr>
          <w:rFonts w:ascii="Arial" w:cs="Arial" w:eastAsia="Arial" w:hAnsi="Arial"/>
          <w:color w:val="333333"/>
          <w:sz w:val="22"/>
          <w:szCs w:val="22"/>
        </w:rPr>
        <w:t xml:space="preserve">The CAB meets weekly under normal operations. The weekly CAB reviews all Normal Changes submitted since the previous meeting, approves or defers them, and maintains the forward change schedule.</w:t>
      </w:r>
    </w:p>
    <w:p>
      <w:pPr>
        <w:spacing w:before="60" w:after="0"/>
      </w:pPr>
      <w:r>
        <w:t xml:space="preserve"/>
      </w:r>
    </w:p>
    <w:p>
      <w:pPr>
        <w:spacing w:before="80" w:after="80"/>
      </w:pPr>
      <w:r>
        <w:rPr>
          <w:rFonts w:ascii="Arial" w:cs="Arial" w:eastAsia="Arial" w:hAnsi="Arial"/>
          <w:color w:val="333333"/>
          <w:sz w:val="22"/>
          <w:szCs w:val="22"/>
        </w:rPr>
        <w:t xml:space="preserve">An Emergency CAB (ECAB) consisting of the CAB Chair, CISO, and CIO (or designated deputies) is convened on demand for Emergency Changes that cannot wait for the weekly meeting. Emergency CAB decisions are documented within 4 hours of the decision and presented at the next weekly CAB.</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Change Process — Normal Change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Raise Change Request</w:t>
            </w:r>
          </w:p>
          <w:p>
            <w:pPr>
              <w:spacing w:before="0" w:after="0"/>
            </w:pPr>
            <w:r>
              <w:rPr>
                <w:rFonts w:ascii="Arial" w:cs="Arial" w:eastAsia="Arial" w:hAnsi="Arial"/>
                <w:color w:val="444444"/>
                <w:sz w:val="20"/>
                <w:szCs w:val="20"/>
              </w:rPr>
              <w:t xml:space="preserve">The requester submits a Change Request (CR) via the ITSM system. Mandatory fields:
• System(s) affected with their POL-005 classification tier and regulatory flags
• Description of the change and reason for it
• Proposed implementation date and time window
• Standard impact assessment (Section 4.1)
• For Track A: validation impact assessment (Section 4.2)
• For Track B: ITGC impact assessment (Section 4.3)
• Test plan
• Rollback plan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Change Requester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Technical Review</w:t>
            </w:r>
          </w:p>
          <w:p>
            <w:pPr>
              <w:spacing w:before="0" w:after="0"/>
            </w:pPr>
            <w:r>
              <w:rPr>
                <w:rFonts w:ascii="Arial" w:cs="Arial" w:eastAsia="Arial" w:hAnsi="Arial"/>
                <w:color w:val="444444"/>
                <w:sz w:val="20"/>
                <w:szCs w:val="20"/>
              </w:rPr>
              <w:t xml:space="preserve">Information Security and the relevant Data Custodian (IT) review the change request for technical completeness and feasibility:
• Is the impact assessment complete and accurate?
• Is the rollback plan feasible?
• Are there scheduling conflicts with other approved changes?
• Are there infrastructure or capacity implications?
• For GxP systems: is the validation impact assessment complete?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Testing in Non-Production Environment</w:t>
            </w:r>
          </w:p>
          <w:p>
            <w:pPr>
              <w:spacing w:before="0" w:after="0"/>
            </w:pPr>
            <w:r>
              <w:rPr>
                <w:rFonts w:ascii="Arial" w:cs="Arial" w:eastAsia="Arial" w:hAnsi="Arial"/>
                <w:color w:val="444444"/>
                <w:sz w:val="20"/>
                <w:szCs w:val="20"/>
              </w:rPr>
              <w:t xml:space="preserve">Before CAB approval, all Normal Changes to Track A, B, and C systems must be tested in a non-production environment that accurately reflects the production configuration:
• The test environment must be representative of production — a materially different test environment invalidates the testing
• For Track A: testing must follow the validation impact assessment conclusions — critical requirements must be retested if the change affects them
• Test outcomes must be documented: pass/fail for each test, any anomalies, and confirmation that the rollback procedure has been tested
• For Track D: testing may be conducted in the production environment for changes with no data loss risk, with the System Owner's explicit approval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System Owner / Compliance / QA (Track 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CAB Review and Approval</w:t>
            </w:r>
          </w:p>
          <w:p>
            <w:pPr>
              <w:spacing w:before="0" w:after="0"/>
            </w:pPr>
            <w:r>
              <w:rPr>
                <w:rFonts w:ascii="Arial" w:cs="Arial" w:eastAsia="Arial" w:hAnsi="Arial"/>
                <w:color w:val="444444"/>
                <w:sz w:val="20"/>
                <w:szCs w:val="20"/>
              </w:rPr>
              <w:t xml:space="preserve">The CAB reviews the change request, test evidence, and all impact assessments:
• For Track A: Compliance / QA confirms the validation impact assessment is complete and approves the change to proceed (and issues the release decision approach if Major Impact)
• The CAB approves, defers (pending additional information or testing), or rejects the change
• If approved: a formal implementation window is scheduled
• If deferred: the requester addresses the CAB's questions and resubmits
• Changes approved by CAB are logged in the change register with approval date and approvers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CAB / 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Implementation</w:t>
            </w:r>
          </w:p>
          <w:p>
            <w:pPr>
              <w:spacing w:before="0" w:after="0"/>
            </w:pPr>
            <w:r>
              <w:rPr>
                <w:rFonts w:ascii="Arial" w:cs="Arial" w:eastAsia="Arial" w:hAnsi="Arial"/>
                <w:color w:val="444444"/>
                <w:sz w:val="20"/>
                <w:szCs w:val="20"/>
              </w:rPr>
              <w:t xml:space="preserve">The change is implemented in the approved implementation window:
• Implementation must follow the documented implementation procedure — no in-flight improvisation
• A peer reviewer must be available during implementation of changes to Tier 1 systems and all Track A systems — two-person confirmation for critical steps
• Progress is logged in the ITSM system in real time
• If unexpected issues arise during implementation: the pre-defined rollback criteria must be assessed immediately. If rollback criteria are met, implement rollback and raise a new CR to address the root cause before reattempting
• Implementation completion is confirmed in the ITSM system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System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Post-Implementation Verification (PIV)</w:t>
            </w:r>
          </w:p>
          <w:p>
            <w:pPr>
              <w:spacing w:before="0" w:after="0"/>
            </w:pPr>
            <w:r>
              <w:rPr>
                <w:rFonts w:ascii="Arial" w:cs="Arial" w:eastAsia="Arial" w:hAnsi="Arial"/>
                <w:color w:val="444444"/>
                <w:sz w:val="20"/>
                <w:szCs w:val="20"/>
              </w:rPr>
              <w:t xml:space="preserve">After implementation, the System Owner and Data Custodian (IT) execute the post-implementation verification:
• Confirm the system is functioning as expected post-change
• Confirm no unintended side effects on adjacent systems or integrations
• For Track A: Compliance / QA confirms the post-implementation state meets the validated specification. For Minor Impact changes: PIV confirmation closes the CR. For Major Impact changes: this feeds into the new release decision
• PIV results are documented in the ITSM system and the CR is closed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Data Custodian (IT) / Compliance / QA (Track 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Release Decision Update (Track A, Major Impact only)</w:t>
            </w:r>
          </w:p>
          <w:p>
            <w:pPr>
              <w:spacing w:before="0" w:after="0"/>
            </w:pPr>
            <w:r>
              <w:rPr>
                <w:rFonts w:ascii="Arial" w:cs="Arial" w:eastAsia="Arial" w:hAnsi="Arial"/>
                <w:color w:val="444444"/>
                <w:sz w:val="20"/>
                <w:szCs w:val="20"/>
              </w:rPr>
              <w:t xml:space="preserve">Where the validation impact assessment classified the change as Major Impact:
• Compliance / QA reviews all re-testing evidence and confirms the system remains in a validated state
• A new or updated release decision is issued and added to the Validation Master File
• The VMF, URS, and qualification protocols are updated to reflect the change
• Until the release decision is issued, the system must not be used for GxP activities affected by the change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w:t>
            </w:r>
          </w:p>
        </w:tc>
      </w:tr>
    </w:tbl>
    <w:p>
      <w:r>
        <w:br w:type="page"/>
      </w:r>
    </w:p>
    <w:p>
      <w:pPr>
        <w:pStyle w:val="Heading1"/>
        <w:spacing w:before="360" w:after="120"/>
      </w:pPr>
      <w:r>
        <w:rPr>
          <w:rFonts w:ascii="Arial" w:cs="Arial" w:eastAsia="Arial" w:hAnsi="Arial"/>
          <w:b/>
          <w:bCs/>
          <w:color w:val="1B2A4A"/>
          <w:sz w:val="36"/>
          <w:szCs w:val="36"/>
        </w:rPr>
        <w:t xml:space="preserve">9.  Emergency Change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Emergency Changes are implemented under time pressure, but must still be managed in a controlled manner. The following is mandatory regardless of urgency.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1400"/>
        <w:gridCol w:w="2660"/>
      </w:tblGrid>
      <w:tr>
        <w:trPr>
          <w:tblHeader/>
        </w:trPr>
        <w:tc>
          <w:tcPr>
            <w:tcW w:type="dxa" w:w="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4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Timing</w:t>
            </w:r>
          </w:p>
        </w:tc>
        <w:tc>
          <w:tcPr>
            <w:tcW w:type="dxa" w:w="2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Obtain verbal or written approval from CISO and CIO (or designated deputies) before implementation commences. Document the approval (date, time, method, names).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implementation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Requester</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Track A systems: notify Compliance / QA immediately. QA determines whether the system must be taken out of GxP use during and after the change, pending assessment.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Immediately upon identification</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Requester / System 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the change. Document each step in the ITSM system in real time. Log any deviations from the intended implementation.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During implementation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Post-implementation verification: confirm the emergency is resolved and the system is functioning. Document outcomes.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2 hours</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Raise a formal Change Request in the ITSM system retrospectively. Include full impact assessment, implementation record, and PIV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4 hours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Requester</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CAB (ECAB) retrospective review: CAB Chair, CISO, and CIO review the emergency change, confirm controls were adequate, and add the change to the change register.</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48 hours</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CAB Chair / CISO / CIO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Track A systems: Compliance / QA completes the validation impact assessment retrospectively and determines whether re-validation is required. Until this is complete, the GxP use status of the system remains under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5 business days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Emergency Changes are the highest-risk change type. Regulators and auditors scrutinise them closely — particularly emergency changes to GxP and SOX systems. The retrospective documentation must be as rigorous as the prospective documentation would have been for a Normal Change. 'We fixed it quickly' is not a substitute for controlled process.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Change Freeze Periods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Change freeze periods are designated windows during which Normal Changes are suspended. Emergency Changes may still be implemented during a freeze period, with escalated approval. Freeze periods are published in advance via the IT change calendar.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Freeze Period Type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c>
          <w:tcPr>
            <w:tcW w:type="dxa" w:w="3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Is Frozen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close freeze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SOX-relevant: end of each financial quarter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Typically 2 weeks surrounding the quarter-end close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to SOX in-scope systems. Emergency changes: CISO + CFO approval.</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inspection freeze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Announced GxP, SOX, or privacy regulatory inspection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From 2 weeks before inspection until inspection close</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to systems in inspection scope. Emergency changes: CISO + Compliance / QA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High-risk deployment freeze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or CAB discretion for major infrastructure changes or migrations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defined for the specific deployment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that could interfere with the major deployment. CAB manages exceptions.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Holiday freeze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public holiday periods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 defined in IT change calendar</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Non-critical Normal Changes. Emergency changes proceed per standard emergency process.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Approves Standard Change catalogue changes. Participates in ECAB. Accountable for overall change management programme effectiveness.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Emergency Changes. Reviews security impact of all changes. Participates in ECAB. Escalates changes with major security impact to 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CAB Chair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Typically Information Security or IT Service Manager. Facilitates weekly CAB. Maintains change register. Reports CAB metrics. Manages Standard Change catalogue.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changes to their system. Provides business context for impact assessment. Confirms post-implementation verification. Ensures Track assignment is current.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and approves validation impact assessments for Track A systems. Issues release decisions. Participates in CAB for all Track A and B agenda items. Manages GxP use status of systems under change.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Executes changes. Documents implementation steps. Executes rollback where triggered. Provides test environment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security impact of all changes. Approves changes affecting security controls. Maintains Standard Change catalogue security assessment.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employee may raise a change request. Responsible for completing the CR accurately, obtaining necessary technical input, and following up on CAB outcomes.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Uncontrolled change to GxP systems is the leading cause of data integrity failures — this Policy prevents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tier and regulatory flags determine change type eligibility and approval authority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assignment per POL-006 determines validation impact assessment requirements; change impact on validation status assessed per Section 4.3 of POL-006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access controls and user permissions governed by POL-008 access review requirements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privileged access configurations require PAM oversight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risk mitigations are implemented via POL-007 change management; risk treatment plan reference numbers are recorded in change requests to create a traceable link between identified risks and their remediation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freeze periods and rollback planning coordinate with BC/DR plan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Failed changes that cause service disruption or data integrity issues may trigger incident response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emergency fixes applied during operational incidents are POL-007 emergency changes; Incident ID and Problem Record ID are referenced in the change record; GxP system fixes require validation impact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incidents may be caused by uncontrolled change — DIRA updated to reflect new controls post-incident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exceptions have a 3-month maximum duration under EXC-001; exceptions enabling uncontrolled changes to GxP systems are non-approvable per EXC-001 Section 5; all change management exceptions require CISO approval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CAB membership and change approval accountability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Advisory Board (CAB)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governance body that reviews, approves, and schedules Normal Changes. Includes technical, quality, security, and business stakeholders.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Freeze Period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designated period during which Normal Changes are suspended to protect system stability during critical business or regulatory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change that must be implemented urgently to resolve a critical failure or active security threat, with retrospective documentation and CAB review.</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Change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low-risk change to a non-regulated Tier 3/4 system that requires System Owner approval only. Not applicable to Track A (GxP)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planned change following the full change request, assessment, approval, testing, and implementation process.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Post-Implementation Verification (PIV)</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confirmation that a change has been implemented successfully and that the system is operating as expected post-change.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Release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formal written approval from Compliance / QA confirming that a GxP system (or functionality affected by a change) is in a validated state and approved for GxP use.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Rollback Plan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procedure for reversing a change if it causes adverse effects, including the criteria that trigger rollback.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pre-approved, repeatable, low-risk change type authorised in advance by the CAB. Individual instances are logged but do not require separate CAB approval.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Impact Assessment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evaluation — required for all changes to Track A GxP systems — of whether and how the change affects the system's validated status.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POL-007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CHANGE MANAGEMENT POLICY  |  POL-007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2026-03-07T19:10:56.112Z</dcterms:created>
  <dcterms:modified xsi:type="dcterms:W3CDTF">2026-03-07T19:10:56.113Z</dcterms:modified>
</cp:coreProperties>
</file>

<file path=docProps/custom.xml><?xml version="1.0" encoding="utf-8"?>
<Properties xmlns="http://schemas.openxmlformats.org/officeDocument/2006/custom-properties" xmlns:vt="http://schemas.openxmlformats.org/officeDocument/2006/docPropsVTypes"/>
</file>