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PRIVILEGED ACCESS MANAGEMENT POLICY</w:t>
      </w:r>
    </w:p>
    <w:p>
      <w:pPr>
        <w:shd w:fill="1B2A4A" w:val="clear"/>
        <w:spacing w:before="40" w:after="0"/>
        <w:ind w:left="1440"/>
      </w:pPr>
      <w:r>
        <w:rPr>
          <w:rFonts w:ascii="Arial" w:cs="Arial" w:eastAsia="Arial" w:hAnsi="Arial"/>
          <w:i/>
          <w:iCs/>
          <w:color w:val="D6E4F7"/>
          <w:sz w:val="24"/>
          <w:szCs w:val="24"/>
        </w:rPr>
        <w:t xml:space="preserve">POL-009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POL-009</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Sensitive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Security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Sensitive — restricted to CISO, CIO, Information Security, Compliance / QA, and designated System Owners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 — Access Control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Security Officer (CISO)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SOX (ITGC), HIPAA Security Rule, ISO/IEC 27001:2022 (A.5.18, A.8.2), CIS Controls v8 (Control 5), NIST SP 800-53 (AC-2, AC-6, AC-17)</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This document is classified Sensitive. Its contents — including the list of privileged account types, PAM tooling, and break-glass procedures — must not be shared beyond the roles listed above. Distribution by email is prohibited. Access this document only through the approved document management system.</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Privileged access is the greatest single source of systemic risk in any IT environment. A privileged account — one with administrative, root, superuser, or system-level permissions — can bypass normal access controls, disable audit trails, delete or modify records at scale, and act across multiple systems simultaneously. The compromise or misuse of a privileged account is therefore qualitatively different from the compromise of a standard user account.</w:t>
      </w:r>
    </w:p>
    <w:p>
      <w:pPr>
        <w:spacing w:before="60" w:after="0"/>
      </w:pPr>
      <w:r>
        <w:t xml:space="preserve"/>
      </w:r>
    </w:p>
    <w:p>
      <w:pPr>
        <w:spacing w:before="80" w:after="80"/>
      </w:pPr>
      <w:r>
        <w:rPr>
          <w:rFonts w:ascii="Arial" w:cs="Arial" w:eastAsia="Arial" w:hAnsi="Arial"/>
          <w:color w:val="333333"/>
          <w:sz w:val="22"/>
          <w:szCs w:val="22"/>
        </w:rPr>
        <w:t xml:space="preserve">This Policy establishes mandatory controls for all privileged identities at [Company Name] — human administrators, service accounts, system accounts, and API credentials with elevated permissions. It supplements POL-008 (Access Control Policy), which governs standard user access. Where this Policy imposes more stringent requirements than POL-008, this Policy takes precedence.</w:t>
      </w:r>
    </w:p>
    <w:p>
      <w:pPr>
        <w:spacing w:before="60" w:after="0"/>
      </w:pPr>
      <w:r>
        <w:t xml:space="preserve"/>
      </w:r>
    </w:p>
    <w:p>
      <w:pPr>
        <w:spacing w:before="80" w:after="80"/>
      </w:pPr>
      <w:r>
        <w:rPr>
          <w:rFonts w:ascii="Arial" w:cs="Arial" w:eastAsia="Arial" w:hAnsi="Arial"/>
          <w:color w:val="333333"/>
          <w:sz w:val="22"/>
          <w:szCs w:val="22"/>
        </w:rPr>
        <w:t xml:space="preserve">For GxP-validated systems (Track A per POL-006): privileged access controls are additionally a regulatory concern. Any privileged action on a GxP system — including changes to audit trail configuration, user access settings, or system configuration — is a change event under POL-007 and must be managed accordingly. Uncontrolled privileged access to a GxP system can compromise the validated state of that system and trigger re-validation obligations.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Policy applies to all privileged accounts — not only IT administrators. A laboratory scientist with administrative access to a LIMS is a privileged user for the purposes of this Policy. A finance manager with system administrator rights in the ERP is a privileged user. Privileged status is determined by the permissions held, not by job title.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privileged identities and all systems classified under POL-005. The scope includes:</w:t>
      </w:r>
    </w:p>
    <w:p>
      <w:pPr>
        <w:pStyle w:val="ListParagraph"/>
        <w:numPr>
          <w:ilvl w:val="0"/>
          <w:numId w:val="2"/>
        </w:numPr>
        <w:spacing w:before="60" w:after="60"/>
      </w:pPr>
      <w:r>
        <w:rPr>
          <w:rFonts w:ascii="Arial" w:cs="Arial" w:eastAsia="Arial" w:hAnsi="Arial"/>
          <w:color w:val="333333"/>
          <w:sz w:val="22"/>
          <w:szCs w:val="22"/>
        </w:rPr>
        <w:t xml:space="preserve">Human privileged users: IT administrators, system administrators, database administrators, network administrators, security administrators, and any end-user granted administrative rights on a system</w:t>
      </w:r>
    </w:p>
    <w:p>
      <w:pPr>
        <w:pStyle w:val="ListParagraph"/>
        <w:numPr>
          <w:ilvl w:val="0"/>
          <w:numId w:val="2"/>
        </w:numPr>
        <w:spacing w:before="60" w:after="60"/>
      </w:pPr>
      <w:r>
        <w:rPr>
          <w:rFonts w:ascii="Arial" w:cs="Arial" w:eastAsia="Arial" w:hAnsi="Arial"/>
          <w:color w:val="333333"/>
          <w:sz w:val="22"/>
          <w:szCs w:val="22"/>
        </w:rPr>
        <w:t xml:space="preserve">Service accounts: non-human accounts used by applications, automated processes, or integrations to access systems, databases, or APIs</w:t>
      </w:r>
    </w:p>
    <w:p>
      <w:pPr>
        <w:pStyle w:val="ListParagraph"/>
        <w:numPr>
          <w:ilvl w:val="0"/>
          <w:numId w:val="2"/>
        </w:numPr>
        <w:spacing w:before="60" w:after="60"/>
      </w:pPr>
      <w:r>
        <w:rPr>
          <w:rFonts w:ascii="Arial" w:cs="Arial" w:eastAsia="Arial" w:hAnsi="Arial"/>
          <w:color w:val="333333"/>
          <w:sz w:val="22"/>
          <w:szCs w:val="22"/>
        </w:rPr>
        <w:t xml:space="preserve">System accounts: built-in operating system or application accounts (e.g., root, Administrator, sa) with elevated permissions</w:t>
      </w:r>
    </w:p>
    <w:p>
      <w:pPr>
        <w:pStyle w:val="ListParagraph"/>
        <w:numPr>
          <w:ilvl w:val="0"/>
          <w:numId w:val="2"/>
        </w:numPr>
        <w:spacing w:before="60" w:after="60"/>
      </w:pPr>
      <w:r>
        <w:rPr>
          <w:rFonts w:ascii="Arial" w:cs="Arial" w:eastAsia="Arial" w:hAnsi="Arial"/>
          <w:color w:val="333333"/>
          <w:sz w:val="22"/>
          <w:szCs w:val="22"/>
        </w:rPr>
        <w:t xml:space="preserve">Emergency / break-glass accounts: accounts held in reserve for use only when normal privileged access mechanisms fail</w:t>
      </w:r>
    </w:p>
    <w:p>
      <w:pPr>
        <w:pStyle w:val="ListParagraph"/>
        <w:numPr>
          <w:ilvl w:val="0"/>
          <w:numId w:val="2"/>
        </w:numPr>
        <w:spacing w:before="60" w:after="60"/>
      </w:pPr>
      <w:r>
        <w:rPr>
          <w:rFonts w:ascii="Arial" w:cs="Arial" w:eastAsia="Arial" w:hAnsi="Arial"/>
          <w:color w:val="333333"/>
          <w:sz w:val="22"/>
          <w:szCs w:val="22"/>
        </w:rPr>
        <w:t xml:space="preserve">Third-party privileged accounts: vendor or consultant accounts with administrative access to any [Company Name] system</w:t>
      </w:r>
    </w:p>
    <w:p>
      <w:pPr>
        <w:spacing w:before="60" w:after="0"/>
      </w:pPr>
      <w:r>
        <w:t xml:space="preserve"/>
      </w:r>
    </w:p>
    <w:p>
      <w:pPr>
        <w:spacing w:before="80" w:after="80"/>
      </w:pPr>
      <w:r>
        <w:rPr>
          <w:rFonts w:ascii="Arial" w:cs="Arial" w:eastAsia="Arial" w:hAnsi="Arial"/>
          <w:color w:val="333333"/>
          <w:sz w:val="22"/>
          <w:szCs w:val="22"/>
        </w:rPr>
        <w:t xml:space="preserve">The controls in this Policy scale with the criticality tier and regulatory flags of the systems being accessed. Section 5 defines the specific requirements per tier. The most stringent controls apply to Tier 1 systems and all GxP-flagged and SOX-scoped systems.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Core Principles for Privileged Access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Separation of Privileged and Standard 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Human users who hold both standard and privileged access must use separate accounts for standard work and privileged tasks. Privileged accounts must not be used for email, web browsing, or any non-administrative activity. Separate account naming convention required (e.g., [username]-admin).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Just-in-Time (JIT) Access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Tier 1 production systems is not persistent. It is activated for a specific session, for a specific purpose, for a defined time window, and automatically expires at the end of the window. JIT access reduces the standing attack surface — a compromised credential that is not active cannot be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Just-Enough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accounts carry only the permissions required for the specific administrative function. A database administrator does not receive operating system administrative rights. An application administrator does not receive database administrator rights unless both are required for their specific function.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Standing Privileged Access to Production GxP Systems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production GxP systems must be activated through the PAM platform for each session. No human privileged account may have persistent, always-on access to a GxP production system. This prevents undetected privileged activity between sessions and supports audit trail completeness.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Sessions Are Logged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privileged session — on every system at every tier — must generate an audit log entry recording the account used, the system accessed, the start time, the end time, and where technically feasible, the commands or actions executed.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Privileged Sharing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accounts are never shared. Each privileged account is assigned to a single named individual (for human accounts) or a single defined process (for service accounts). This applies without exception across all tiers.</w:t>
            </w:r>
          </w:p>
        </w:tc>
      </w:tr>
    </w:tbl>
    <w:p>
      <w:r>
        <w:br w:type="page"/>
      </w:r>
    </w:p>
    <w:p>
      <w:pPr>
        <w:pStyle w:val="Heading1"/>
        <w:spacing w:before="360" w:after="120"/>
      </w:pPr>
      <w:r>
        <w:rPr>
          <w:rFonts w:ascii="Arial" w:cs="Arial" w:eastAsia="Arial" w:hAnsi="Arial"/>
          <w:b/>
          <w:bCs/>
          <w:color w:val="1B2A4A"/>
          <w:sz w:val="36"/>
          <w:szCs w:val="36"/>
        </w:rPr>
        <w:t xml:space="preserve">4.  Privileged Account Inventory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Information Security maintains a Privileged Account Inventory — the authoritative register of all privileged accounts across all in-scope systems. The Inventory must be accurate, current, and used as the basis for privileged access reviews.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Inventory Field</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name /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account identifier in the target system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type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Human (administrator), service account, system account, break-glass, or third-party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accessed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 on which this account holds privileged access, with POL-005 tier and regulatory flags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human accounts: the named individual. For service accounts: the owning application/process and the responsible System Owner. For third-party accounts: vendor name and internal Sponsor.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specific permissions held (e.g., OS admin, DB admin, application admin, specific elevated role)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type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Persistent, JIT, or break-glass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access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and time of last login (from audit log or PAM platform)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date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last privileged access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justification for the privileged access</w:t>
            </w:r>
          </w:p>
        </w:tc>
      </w:tr>
    </w:tbl>
    <w:p>
      <w:pPr>
        <w:spacing w:before="80" w:after="0"/>
      </w:pPr>
      <w:r>
        <w:t xml:space="preserve"/>
      </w:r>
    </w:p>
    <w:p>
      <w:pPr>
        <w:spacing w:before="80" w:after="80"/>
      </w:pPr>
      <w:r>
        <w:rPr>
          <w:rFonts w:ascii="Arial" w:cs="Arial" w:eastAsia="Arial" w:hAnsi="Arial"/>
          <w:color w:val="333333"/>
          <w:sz w:val="22"/>
          <w:szCs w:val="22"/>
        </w:rPr>
        <w:t xml:space="preserve">The Inventory is reviewed and reconciled against each system's actual privileged account list at least quarterly for Tier 1 and GxP/SOX systems, and at least semi-annually for Tier 2/3 systems. Accounts discovered in a system that are not in the Inventory are treated as unauthorised and immediately investigated.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Privileged Access Requirements by System Tier</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requirements apply based on the primary system's POL-005 classification. Where a system carries both a criticality tier and a regulatory flag, the most stringent applicable row governs.</w:t>
      </w:r>
    </w:p>
    <w:p>
      <w:pPr>
        <w:spacing w:before="8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1400"/>
        <w:gridCol w:w="13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1 / GxP-Flagged</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2 (incl. SOX)</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3</w:t>
            </w:r>
          </w:p>
        </w:tc>
        <w:tc>
          <w:tcPr>
            <w:tcW w:type="dxa" w:w="1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Separate admin account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MFA method for privileged access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Hardware security key (FIDO2) required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FIDO2 or TOTP authenticator</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TOTP authenticator</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approved MFA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access (no persistent standing privileged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via PAM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via PAM 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 persistent permitted with quarterly review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all sessions recorded and retained 1 year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for SOX-scoped; recommended others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review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platform required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Dual approval for critical changes (e.g., audit trail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two named privileged users must approve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for SOX ITGC-affecting changes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sessions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 mandatory; sessions supervised or time-boxed to 4 hours maximum</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 mandatory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 required</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third-party access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requirement (POL-007)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actions that modify system configuration, audit trail settings, or user access require a POL-007 change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affecting ITGC controls require POL-007 record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changes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For GxP systems: any privileged action that modifies audit trail configuration, access control settings, or system configuration parameters is a change under POL-007 — regardless of how minor it appears. There is no 'quick fix' exception for GxP systems. The change record is what allows the action to be traced in an audit trail review (SOP-003) and explained to an inspector.</w:t>
            </w:r>
          </w:p>
        </w:tc>
      </w:tr>
    </w:tbl>
    <w:p>
      <w:r>
        <w:br w:type="page"/>
      </w:r>
    </w:p>
    <w:p>
      <w:pPr>
        <w:pStyle w:val="Heading1"/>
        <w:spacing w:before="360" w:after="120"/>
      </w:pPr>
      <w:r>
        <w:rPr>
          <w:rFonts w:ascii="Arial" w:cs="Arial" w:eastAsia="Arial" w:hAnsi="Arial"/>
          <w:b/>
          <w:bCs/>
          <w:color w:val="1B2A4A"/>
          <w:sz w:val="36"/>
          <w:szCs w:val="36"/>
        </w:rPr>
        <w:t xml:space="preserve">6.  Service Account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Service accounts represent one of the most frequently exploited categories of privileged identity. They are often overprivileged (granted broad access for convenience), undermanaged (no owner accountable for them), and long-lived (credentials rarely rotated). This Policy imposes specific controls to address each of these risks.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purpose per service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service account must serve a single, defined application or process. Service accounts must not be reused across applications. If an application is retired, its service account must be deleted.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ownership</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service account must have a named System Owner who is accountable for its permissions, credential rotation, and decommissioning. Ownerless service accounts must not exist. If a service account's owner leaves, a new owner must be assigned within 5 business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Least privilege for service 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must be granted only the permissions required for the specific process they serve. Service accounts must not be granted domain administrator, enterprise administrator, or equivalent global administrator permissions unless no alternative is technically feasible — and only with CISO approval and compensating controls.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interactive login for service accounts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must be configured to prevent interactive login (keyboard-based login at a terminal). If a service account is found to have been used for interactive login, this is treated as a security incident per POL-012.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 credentials (passwords, API keys, certificates) must be stored in the approved PAM platform or secrets management system — not hardcoded in scripts, configuration files, or source code. Credentials must be rotated at least annually for Tier 3/4 systems, every 90 days for Tier 2, and every 90 days or on each use (JIT credential issue) for Tier 1 and GxP systems.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 review</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are included in the privileged access review cadence per Section 5. For each review, the System Owner confirms: the account is still needed; the credentials are rotated per schedule; the permissions remain appropriate; and no interactive logins have occurred since the last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Decommissioning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When an application or integration is decommissioned, its service account(s) must be disabled within 24 hours and deleted within 30 days. Credentials for decommissioned service accounts must be revoked immediately.</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6.1  API Keys and Tokens</w:t>
      </w:r>
    </w:p>
    <w:p>
      <w:pPr>
        <w:spacing w:before="80" w:after="80"/>
      </w:pPr>
      <w:r>
        <w:rPr>
          <w:rFonts w:ascii="Arial" w:cs="Arial" w:eastAsia="Arial" w:hAnsi="Arial"/>
          <w:color w:val="333333"/>
          <w:sz w:val="22"/>
          <w:szCs w:val="22"/>
        </w:rPr>
        <w:t xml:space="preserve">API keys, bearer tokens, and OAuth credentials used to access systems with elevated permissions are governed as service accounts under this Policy. The following additional controls apply:</w:t>
      </w:r>
    </w:p>
    <w:p>
      <w:pPr>
        <w:pStyle w:val="ListParagraph"/>
        <w:numPr>
          <w:ilvl w:val="0"/>
          <w:numId w:val="2"/>
        </w:numPr>
        <w:spacing w:before="60" w:after="60"/>
      </w:pPr>
      <w:r>
        <w:rPr>
          <w:rFonts w:ascii="Arial" w:cs="Arial" w:eastAsia="Arial" w:hAnsi="Arial"/>
          <w:color w:val="333333"/>
          <w:sz w:val="22"/>
          <w:szCs w:val="22"/>
        </w:rPr>
        <w:t xml:space="preserve">API keys with privileged access must be stored exclusively in the approved secrets management platform — never in environment variables, CI/CD pipeline configuration, or source code repositories</w:t>
      </w:r>
    </w:p>
    <w:p>
      <w:pPr>
        <w:pStyle w:val="ListParagraph"/>
        <w:numPr>
          <w:ilvl w:val="0"/>
          <w:numId w:val="2"/>
        </w:numPr>
        <w:spacing w:before="60" w:after="60"/>
      </w:pPr>
      <w:r>
        <w:rPr>
          <w:rFonts w:ascii="Arial" w:cs="Arial" w:eastAsia="Arial" w:hAnsi="Arial"/>
          <w:color w:val="333333"/>
          <w:sz w:val="22"/>
          <w:szCs w:val="22"/>
        </w:rPr>
        <w:t xml:space="preserve">API keys must be scoped to the minimum permissions required for the specific integration</w:t>
      </w:r>
    </w:p>
    <w:p>
      <w:pPr>
        <w:pStyle w:val="ListParagraph"/>
        <w:numPr>
          <w:ilvl w:val="0"/>
          <w:numId w:val="2"/>
        </w:numPr>
        <w:spacing w:before="60" w:after="60"/>
      </w:pPr>
      <w:r>
        <w:rPr>
          <w:rFonts w:ascii="Arial" w:cs="Arial" w:eastAsia="Arial" w:hAnsi="Arial"/>
          <w:color w:val="333333"/>
          <w:sz w:val="22"/>
          <w:szCs w:val="22"/>
        </w:rPr>
        <w:t xml:space="preserve">API keys must have an expiry date not exceeding 12 months for Tier 1/2 and GxP systems, and 24 months for Tier 3/4</w:t>
      </w:r>
    </w:p>
    <w:p>
      <w:pPr>
        <w:pStyle w:val="ListParagraph"/>
        <w:numPr>
          <w:ilvl w:val="0"/>
          <w:numId w:val="2"/>
        </w:numPr>
        <w:spacing w:before="60" w:after="60"/>
      </w:pPr>
      <w:r>
        <w:rPr>
          <w:rFonts w:ascii="Arial" w:cs="Arial" w:eastAsia="Arial" w:hAnsi="Arial"/>
          <w:color w:val="333333"/>
          <w:sz w:val="22"/>
          <w:szCs w:val="22"/>
        </w:rPr>
        <w:t xml:space="preserve">All API calls from privileged API keys must be logged and includable in access review and audit trail analysis</w:t>
      </w:r>
    </w:p>
    <w:p>
      <w:pPr>
        <w:pStyle w:val="ListParagraph"/>
        <w:numPr>
          <w:ilvl w:val="0"/>
          <w:numId w:val="2"/>
        </w:numPr>
        <w:spacing w:before="60" w:after="60"/>
      </w:pPr>
      <w:r>
        <w:rPr>
          <w:rFonts w:ascii="Arial" w:cs="Arial" w:eastAsia="Arial" w:hAnsi="Arial"/>
          <w:color w:val="333333"/>
          <w:sz w:val="22"/>
          <w:szCs w:val="22"/>
        </w:rPr>
        <w:t xml:space="preserve">Discovery of an API key stored outside the approved secrets management platform is a security incident per POL-012</w:t>
      </w:r>
    </w:p>
    <w:p>
      <w:r>
        <w:br w:type="page"/>
      </w:r>
    </w:p>
    <w:p>
      <w:pPr>
        <w:pStyle w:val="Heading1"/>
        <w:spacing w:before="360" w:after="120"/>
      </w:pPr>
      <w:r>
        <w:rPr>
          <w:rFonts w:ascii="Arial" w:cs="Arial" w:eastAsia="Arial" w:hAnsi="Arial"/>
          <w:b/>
          <w:bCs/>
          <w:color w:val="1B2A4A"/>
          <w:sz w:val="36"/>
          <w:szCs w:val="36"/>
        </w:rPr>
        <w:t xml:space="preserve">7.  Emergency (Break-Glass) Access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Break-glass accounts are reserved for use only when normal privileged access mechanisms are unavailable — typically during a major incident where the PAM platform itself or the identity provider is unavailable. They represent a controlled safety valve, not an alternative to the normal PAM process.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Break-Glass Account Configuration</w:t>
      </w:r>
    </w:p>
    <w:p>
      <w:pPr>
        <w:pStyle w:val="ListParagraph"/>
        <w:numPr>
          <w:ilvl w:val="0"/>
          <w:numId w:val="2"/>
        </w:numPr>
        <w:spacing w:before="60" w:after="60"/>
      </w:pPr>
      <w:r>
        <w:rPr>
          <w:rFonts w:ascii="Arial" w:cs="Arial" w:eastAsia="Arial" w:hAnsi="Arial"/>
          <w:color w:val="333333"/>
          <w:sz w:val="22"/>
          <w:szCs w:val="22"/>
        </w:rPr>
        <w:t xml:space="preserve">Each Tier 1 system and each GxP-flagged system must have at least one break-glass account documented in the Privileged Account Inventory</w:t>
      </w:r>
    </w:p>
    <w:p>
      <w:pPr>
        <w:pStyle w:val="ListParagraph"/>
        <w:numPr>
          <w:ilvl w:val="0"/>
          <w:numId w:val="2"/>
        </w:numPr>
        <w:spacing w:before="60" w:after="60"/>
      </w:pPr>
      <w:r>
        <w:rPr>
          <w:rFonts w:ascii="Arial" w:cs="Arial" w:eastAsia="Arial" w:hAnsi="Arial"/>
          <w:color w:val="333333"/>
          <w:sz w:val="22"/>
          <w:szCs w:val="22"/>
        </w:rPr>
        <w:t xml:space="preserve">Break-glass credentials are stored in a physical sealed envelope in a controlled, access-logged physical location (e.g., the CISO's safe or an equivalent security-controlled cabinet). Electronic storage of break-glass credentials in any online system defeats their purpose.</w:t>
      </w:r>
    </w:p>
    <w:p>
      <w:pPr>
        <w:pStyle w:val="ListParagraph"/>
        <w:numPr>
          <w:ilvl w:val="0"/>
          <w:numId w:val="2"/>
        </w:numPr>
        <w:spacing w:before="60" w:after="60"/>
      </w:pPr>
      <w:r>
        <w:rPr>
          <w:rFonts w:ascii="Arial" w:cs="Arial" w:eastAsia="Arial" w:hAnsi="Arial"/>
          <w:color w:val="333333"/>
          <w:sz w:val="22"/>
          <w:szCs w:val="22"/>
        </w:rPr>
        <w:t xml:space="preserve">Break-glass account credentials must be unique, complex, and rotated immediately after any use and at least annually regardless of use</w:t>
      </w:r>
    </w:p>
    <w:p>
      <w:pPr>
        <w:pStyle w:val="ListParagraph"/>
        <w:numPr>
          <w:ilvl w:val="0"/>
          <w:numId w:val="2"/>
        </w:numPr>
        <w:spacing w:before="60" w:after="60"/>
      </w:pPr>
      <w:r>
        <w:rPr>
          <w:rFonts w:ascii="Arial" w:cs="Arial" w:eastAsia="Arial" w:hAnsi="Arial"/>
          <w:color w:val="333333"/>
          <w:sz w:val="22"/>
          <w:szCs w:val="22"/>
        </w:rPr>
        <w:t xml:space="preserve">Break-glass accounts must have the minimum permissions required to restore normal operations — they are not all-powerful superuser accounts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7.2  Break-Glass Usage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Obtain CISO Authorisation</w:t>
            </w:r>
          </w:p>
          <w:p>
            <w:pPr>
              <w:spacing w:before="0" w:after="0"/>
            </w:pPr>
            <w:r>
              <w:rPr>
                <w:rFonts w:ascii="Arial" w:cs="Arial" w:eastAsia="Arial" w:hAnsi="Arial"/>
                <w:color w:val="444444"/>
                <w:sz w:val="20"/>
                <w:szCs w:val="20"/>
              </w:rPr>
              <w:t xml:space="preserve">Before the sealed envelope is opened, verbal or written authorisation must be obtained from the CISO (or designated deputy). The authorisation must include: the reason for break-glass access, the system(s) to be accessed, and the named individual who will use the account. Authorisation is logged immediately.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Requesting engineer / CISO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Open Sealed Envelope Under Witness</w:t>
            </w:r>
          </w:p>
          <w:p>
            <w:pPr>
              <w:spacing w:before="0" w:after="0"/>
            </w:pPr>
            <w:r>
              <w:rPr>
                <w:rFonts w:ascii="Arial" w:cs="Arial" w:eastAsia="Arial" w:hAnsi="Arial"/>
                <w:color w:val="444444"/>
                <w:sz w:val="20"/>
                <w:szCs w:val="20"/>
              </w:rPr>
              <w:t xml:space="preserve">The sealed envelope is opened by the authorised user in the presence of a second named witness (Information Security or another senior IT staff member). The opening is recorded: date, time, opener, witness. The envelope seal breach itself is the evidence of use — the physical record is important.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Authorised user / Witness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Execute with Minimum Actions</w:t>
            </w:r>
          </w:p>
          <w:p>
            <w:pPr>
              <w:spacing w:before="0" w:after="0"/>
            </w:pPr>
            <w:r>
              <w:rPr>
                <w:rFonts w:ascii="Arial" w:cs="Arial" w:eastAsia="Arial" w:hAnsi="Arial"/>
                <w:color w:val="444444"/>
                <w:sz w:val="20"/>
                <w:szCs w:val="20"/>
              </w:rPr>
              <w:t xml:space="preserve">The break-glass user performs only the actions necessary to resolve the immediate emergency. All actions must be documented in real time (date, time, system, action taken). For GxP systems: the actions constitute a POL-007 emergency change and must be documented retrospectively as such within 4 hours.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Authorised user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Rotate Credentials Immediately</w:t>
            </w:r>
          </w:p>
          <w:p>
            <w:pPr>
              <w:spacing w:before="0" w:after="0"/>
            </w:pPr>
            <w:r>
              <w:rPr>
                <w:rFonts w:ascii="Arial" w:cs="Arial" w:eastAsia="Arial" w:hAnsi="Arial"/>
                <w:color w:val="444444"/>
                <w:sz w:val="20"/>
                <w:szCs w:val="20"/>
              </w:rPr>
              <w:t xml:space="preserve">As soon as the emergency is resolved, the break-glass credentials are changed. A new sealed envelope is prepared and placed in the controlled location. The Privileged Account Inventory is updated with the rotation date. The used credential is permanently retired.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Post-Use Review</w:t>
            </w:r>
          </w:p>
          <w:p>
            <w:pPr>
              <w:spacing w:before="0" w:after="0"/>
            </w:pPr>
            <w:r>
              <w:rPr>
                <w:rFonts w:ascii="Arial" w:cs="Arial" w:eastAsia="Arial" w:hAnsi="Arial"/>
                <w:color w:val="444444"/>
                <w:sz w:val="20"/>
                <w:szCs w:val="20"/>
              </w:rPr>
              <w:t xml:space="preserve">Within 48 hours of break-glass use: CISO reviews the session log and all actions taken. For GxP systems: Compliance / QA reviews the actions for impact on validated state. For any system: a root-cause assessment of why normal access was unavailable must be documented and any resilience gaps addressed.
All break-glass uses are reported at the next ISSG meeting regardless of tier.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Compliance / QA (GxP)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Break-glass access must never be used as a workaround for normal change management, as a way to avoid the JIT access process, or as a convenience mechanism. Each use is an exceptional event and is treated as such. Patterns of break-glass usage indicate a failure in normal privileged access controls and will be investigated.</w:t>
            </w:r>
          </w:p>
        </w:tc>
      </w:tr>
    </w:tbl>
    <w:p>
      <w:r>
        <w:br w:type="page"/>
      </w:r>
    </w:p>
    <w:p>
      <w:pPr>
        <w:pStyle w:val="Heading1"/>
        <w:spacing w:before="360" w:after="120"/>
      </w:pPr>
      <w:r>
        <w:rPr>
          <w:rFonts w:ascii="Arial" w:cs="Arial" w:eastAsia="Arial" w:hAnsi="Arial"/>
          <w:b/>
          <w:bCs/>
          <w:color w:val="1B2A4A"/>
          <w:sz w:val="36"/>
          <w:szCs w:val="36"/>
        </w:rPr>
        <w:t xml:space="preserve">8.  Third-Party Privileged Access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Third-party vendors and consultants occasionally require privileged access for installation, maintenance, upgrade, or troubleshooting activities. This access carries the same risks as internal privileged access and is subject to equivalently stringent controls.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 accounts 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accounts are issued to named individuals — not to 'Vendor X Admin'. Each individual from a third party with privileged access has their own account. Shared vendor privileged accounts are prohibited on all tiers.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Time-limited activation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access is activated for a specific maintenance window only. Access is not persistent. The session begins and ends within the agreed window. If the work is not completed within the window, a new access request and approval are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supervision (Tier 1 / GxP)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Tier 1 and all GxP-flagged systems: a named [Company Name] employee must be present (physically or via screen-share) during any third-party privileged session. Third-party vendors must not be left unattended with privileged access to these systems. Session recording is also mandatory per Section 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change record requirement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third-party privileged action on a GxP system that modifies configuration, audit trail settings, or user access is a change under POL-007 and requires a change record. The vendor must provide a record of actions taken; [Company Name] Compliance / QA reviews these records as part of the change close-out.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revocation on completion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credentials are revoked at the end of the engagement, not at the end of the contract. If a vendor's engineer changes, the previous engineer's access is revoked within 24 hours.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Pre-access documentation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any third-party privileged access session: the purpose, scope, and expected actions must be documented. For GxP systems: this documentation forms part of the POL-007 change record. For SOX systems: it contributes to ITGC change management evidence.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Privileged Access Reviews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Privileged access reviews are separate from and in addition to the standard access reviews under POL-008. They are conducted at higher frequency, with deeper scrutiny, and with CISO oversight.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32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Component</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Reviewer</w:t>
            </w:r>
          </w:p>
        </w:tc>
        <w:tc>
          <w:tcPr>
            <w:tcW w:type="dxa" w:w="32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Human privileged accounts
(Tier 1 / GxP / SOX)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CISO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list from PAM platform or system. Confirm each account is still needed, still assigned to the right individual, and credentials are current. Session log summary reviewed for anomalies.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Human privileged accounts
(Tier 2, non-SOX)</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list. Confirm continued business need. Any inactive accounts (no sessions in past 90 days) queried with System 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Human privileged accounts
(Tier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list. Confirm continued business need.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(all tiers)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 inventory confirmed against system. Confirm owner, purpose, credential rotation date, last access date. Ownerless accounts investigated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Break-glass accounts
(all tiers)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sealed envelopes are intact (or recently rotated if used). Confirm credentials are current. Confirm access level is minimum necessary.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accounts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for active engagements; immediately on engagement end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Sponsor</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all active third-party privileged accounts are for current, active engagements. Revoke any for completed engagements.</w:t>
            </w:r>
          </w:p>
        </w:tc>
      </w:tr>
    </w:tbl>
    <w:p>
      <w:pPr>
        <w:spacing w:before="80" w:after="0"/>
      </w:pPr>
      <w:r>
        <w:t xml:space="preserve"/>
      </w:r>
    </w:p>
    <w:p>
      <w:pPr>
        <w:spacing w:before="80" w:after="80"/>
      </w:pPr>
      <w:r>
        <w:rPr>
          <w:rFonts w:ascii="Arial" w:cs="Arial" w:eastAsia="Arial" w:hAnsi="Arial"/>
          <w:color w:val="333333"/>
          <w:sz w:val="22"/>
          <w:szCs w:val="22"/>
        </w:rPr>
        <w:t xml:space="preserve">Review records must be documented and retained for 3 years for non-GxP/non-SOX systems, 7 years for SOX-scoped systems, and per the applicable GxP retention period for GxP systems. SOX ITGC privileged access review evidence is produced for annual SOX testing.</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Privileged Access Monitoring and Alerting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Privileged activity must be monitored in near real-time for Tier 1 and GxP/SOX systems. Information Security defines and maintains a set of alert conditions that indicate potential misuse or compromise of privileged accounts: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Alert Condition</w:t>
            </w:r>
          </w:p>
        </w:tc>
        <w:tc>
          <w:tcPr>
            <w:tcW w:type="dxa" w:w="6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outside approved business hours or approved maintenance window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alert to CISO and relevant System Owner. Session reviewed within 1 hour.</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Failed privileged login attempts (≥3 consecutive)</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locked. CISO notified. Event investigated within 4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a GxP system outside a logged change event or approved maintenance window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Treated as a potential POL-007 and SOP-003 violation. System Owner and Compliance / QA notified immediately. Session recorded reviewed.</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 used for interactive login</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Treated as security incident per POL-012. Account suspended. Investigated within 4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Break-glass account accessed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notified immediately regardless of whether pre-authorisation was obtained. Review initiated per Section 7.2 Step 5.</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session duration exceeds approved window</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terminated if technically feasible. CISO and System Owner notified.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change on any Tier 1 or GxP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Treated as Critical priority event. DIO and Compliance / QA notified immediately. POL-007 change record and SOP-003 incident review initiated.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Authorises break-glass use. Approves exceptions. Reviews monthly privileged access review results. Receives all critical PAM alerts. Approves new privileged account types.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Manages PAM platform. Maintains Privileged Account Inventory. Executes privileged access reviews. Monitors privileged session alerts. Revokes privileged access on departure.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service accounts for their systems. Confirms continued business need for privileged accounts on their systems. Documents all privileged actions taken during maintenance.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privileged access events on GxP systems for impact on validated state and audit trail completeness. Receives break-glass use notifications for GxP systems. Confirms POL-007 change records for GxP privileged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Holds privileged access to implement technical changes. Uses only JIT access on Tier 1 and GxP systems. Documents all actions during privileged sessions.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Users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privileged accounts only for authorised administrative tasks. Never share privileged credentials. Report any suspected compromise of privileged credentials immediately to CISO. Complete mandatory PAM training annually.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for all access control — this Policy supplements POL-008 for privileged identities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GxP audit trail configuration is the highest-risk vector for data integrity compromise; this Policy directly mitigates that risk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criticality tier and regulatory flags determine the privileged access controls required under Section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controls for GxP systems must be captured in URS and tested in OQ; this Policy defines those controls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actions on GxP systems that modify configuration, audit trail, or access settings are POL-007 change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privileged accounts are Critical IS risks per POL-010; the PAM controls in this Policy are primary mitigations for the IS Operational risk category; break-glass usage patterns are IS risk signals tracked in the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privileged accounts, break-glass misuse, and service account interactive login events are security incidents per POL-012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session events are the highest-risk audit trail category; session recording complements the event-level audit trail; privileged access review evidence is sourced from POL-014 audit trail records; PAM alerts feed the SIEM monitoring programme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access requirements in Section 8; vendor session supervision and POL-007 change record obligations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(SOP-003 Section 7) includes review of privileged access events; alerts from Section 10 may trigger SOP-003 incident process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exceptions are high-risk — exceptions to PAM session recording for Tier 1/GxP systems require CISO approval and real-time session supervision as compensating controls; 3-month maximum duration per EXC-001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accountability mapping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Break-Glass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reserved account stored offline for use only when normal privileged access mechanisms are unavailable. Each use is an exceptional event requiring CISO authorisation.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(Just-in-Time) Access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privileged access model where elevated permissions are activated for a specific session, for a defined time window, and automatically expire at the end of the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platform — the approved tooling used to manage, vault, monitor, and record privileged sessions.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account that holds administrative, root, superuser, system-level, or otherwise elevated permissions beyond those of a standard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non-human account used by an application, automated process, or integration to access systems, databases, or APIs.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technical capture of the content and/or actions of a privileged session, retained for audit and forensic purposes.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Standing Privileged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privileged account that is permanently active, without time-limiting or JIT controls. Prohibited for Tier 1 and GxP systems under this Policy.</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POL-009 v1.0 DRAFT  |  [Company Name]  |  SENSITIVE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PRIVILEGED ACCESS MANAGEMENT POLICY  |  POL-009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2026-03-07T19:10:57.117Z</dcterms:created>
  <dcterms:modified xsi:type="dcterms:W3CDTF">2026-03-07T19:10:57.118Z</dcterms:modified>
</cp:coreProperties>
</file>

<file path=docProps/custom.xml><?xml version="1.0" encoding="utf-8"?>
<Properties xmlns="http://schemas.openxmlformats.org/officeDocument/2006/custom-properties" xmlns:vt="http://schemas.openxmlformats.org/officeDocument/2006/docPropsVTypes"/>
</file>