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INCIDENT RESPONSE POLICY</w:t>
      </w:r>
    </w:p>
    <w:p>
      <w:pPr>
        <w:shd w:fill="1B2A4A" w:val="clear"/>
        <w:spacing w:before="40" w:after="0"/>
        <w:ind w:left="1440"/>
      </w:pPr>
      <w:r>
        <w:rPr>
          <w:rFonts w:ascii="Arial" w:cs="Arial" w:eastAsia="Arial" w:hAnsi="Arial"/>
          <w:i/>
          <w:iCs/>
          <w:color w:val="D6E4F7"/>
          <w:sz w:val="24"/>
          <w:szCs w:val="24"/>
        </w:rPr>
        <w:t xml:space="preserve">POL-012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POL-012</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Security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Security Officer (CISO)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ISO/IEC 27001:2022 (A.5.24–A.5.28), GDPR Art. 33–34, HIPAA Breach Notification Rule (45 CFR §164.400–414), 21 CFR Part 11, EU Annex 11, SOX, NIST SP 800-61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This Policy must be reviewed and exercised annually. Key contact details, notification timelines, and regulatory authority details in Section 8 must be confirmed current at each review. Out-of-date incident response plans are a regulatory finding in their own right.</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framework for [Company Name]'s response to information security incidents. An information security incident is any event that — actually or potentially — compromises the confidentiality, integrity, or availability of information or systems in a way that causes, or could cause, harm to [Company Name], its customers, data subjects, or regulated activities.</w:t>
      </w:r>
    </w:p>
    <w:p>
      <w:pPr>
        <w:spacing w:before="60" w:after="0"/>
      </w:pPr>
      <w:r>
        <w:t xml:space="preserve"/>
      </w:r>
    </w:p>
    <w:p>
      <w:pPr>
        <w:spacing w:before="80" w:after="80"/>
      </w:pPr>
      <w:r>
        <w:rPr>
          <w:rFonts w:ascii="Arial" w:cs="Arial" w:eastAsia="Arial" w:hAnsi="Arial"/>
          <w:color w:val="333333"/>
          <w:sz w:val="22"/>
          <w:szCs w:val="22"/>
        </w:rPr>
        <w:t xml:space="preserve">The purpose of an effective incident response programme is not merely to restore systems. It is to contain damage quickly, preserve evidence that regulators and investigators will need, understand what happened and why so it cannot recur, and meet the notification obligations that arise under GDPR, HIPAA, GxP regulations, and SOX. Each of these objectives creates different pressures on incident response timing — and this Policy explicitly sequences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Critical sequencing principle: when an incident occurs, there is tension between the security team's instinct to contain and restore quickly and the regulatory requirement to preserve evidence. Both are correct imperatives — but evidence preservation must not be sacrificed for speed of recovery. Forensic images must be taken before systems are restored. Audit trail records must be extracted before drives are wiped. The sequence in this Policy reflects this priority: Detect → Triage → Contain+Preserve → Eradicate → Recover → Review.</w:t>
            </w:r>
          </w:p>
        </w:tc>
      </w:tr>
    </w:tbl>
    <w:p>
      <w:pPr>
        <w:spacing w:before="80" w:after="0"/>
      </w:pPr>
      <w:r>
        <w:t xml:space="preserve"/>
      </w:r>
    </w:p>
    <w:p>
      <w:pPr>
        <w:spacing w:before="80" w:after="80"/>
      </w:pPr>
      <w:r>
        <w:rPr>
          <w:rFonts w:ascii="Arial" w:cs="Arial" w:eastAsia="Arial" w:hAnsi="Arial"/>
          <w:color w:val="333333"/>
          <w:sz w:val="22"/>
          <w:szCs w:val="22"/>
        </w:rPr>
        <w:t xml:space="preserve">This Policy covers the following incident types, each of which is governed by specific requirements detailed in Section 6:</w:t>
      </w:r>
    </w:p>
    <w:p>
      <w:pPr>
        <w:pStyle w:val="ListParagraph"/>
        <w:numPr>
          <w:ilvl w:val="0"/>
          <w:numId w:val="2"/>
        </w:numPr>
        <w:spacing w:before="60" w:after="60"/>
      </w:pPr>
      <w:r>
        <w:rPr>
          <w:rFonts w:ascii="Arial" w:cs="Arial" w:eastAsia="Arial" w:hAnsi="Arial"/>
          <w:color w:val="333333"/>
          <w:sz w:val="22"/>
          <w:szCs w:val="22"/>
        </w:rPr>
        <w:t xml:space="preserve">Information security incidents: cyberattack, ransomware, unauthorised access, data exfiltration, malware, phishing compromise</w:t>
      </w:r>
    </w:p>
    <w:p>
      <w:pPr>
        <w:pStyle w:val="ListParagraph"/>
        <w:numPr>
          <w:ilvl w:val="0"/>
          <w:numId w:val="2"/>
        </w:numPr>
        <w:spacing w:before="60" w:after="60"/>
      </w:pPr>
      <w:r>
        <w:rPr>
          <w:rFonts w:ascii="Arial" w:cs="Arial" w:eastAsia="Arial" w:hAnsi="Arial"/>
          <w:color w:val="333333"/>
          <w:sz w:val="22"/>
          <w:szCs w:val="22"/>
        </w:rPr>
        <w:t xml:space="preserve">Data integrity incidents: unauthorised modification of GxP records, audit trail manipulation, system misconfiguration affecting validated state (governed additionally by SOP-003)</w:t>
      </w:r>
    </w:p>
    <w:p>
      <w:pPr>
        <w:pStyle w:val="ListParagraph"/>
        <w:numPr>
          <w:ilvl w:val="0"/>
          <w:numId w:val="2"/>
        </w:numPr>
        <w:spacing w:before="60" w:after="60"/>
      </w:pPr>
      <w:r>
        <w:rPr>
          <w:rFonts w:ascii="Arial" w:cs="Arial" w:eastAsia="Arial" w:hAnsi="Arial"/>
          <w:color w:val="333333"/>
          <w:sz w:val="22"/>
          <w:szCs w:val="22"/>
        </w:rPr>
        <w:t xml:space="preserve">Personal data breaches: incidents involving loss, unauthorised access to, or corruption of personal data triggering GDPR and/or HIPAA notification obligations</w:t>
      </w:r>
    </w:p>
    <w:p>
      <w:pPr>
        <w:pStyle w:val="ListParagraph"/>
        <w:numPr>
          <w:ilvl w:val="0"/>
          <w:numId w:val="2"/>
        </w:numPr>
        <w:spacing w:before="60" w:after="60"/>
      </w:pPr>
      <w:r>
        <w:rPr>
          <w:rFonts w:ascii="Arial" w:cs="Arial" w:eastAsia="Arial" w:hAnsi="Arial"/>
          <w:color w:val="333333"/>
          <w:sz w:val="22"/>
          <w:szCs w:val="22"/>
        </w:rPr>
        <w:t xml:space="preserve">Service availability incidents: unplanned outages of Tier 1 or Tier 2 systems that meet the incident threshold — governed additionally by POL-011</w:t>
      </w:r>
    </w:p>
    <w:p>
      <w:pPr>
        <w:pStyle w:val="ListParagraph"/>
        <w:numPr>
          <w:ilvl w:val="0"/>
          <w:numId w:val="2"/>
        </w:numPr>
        <w:spacing w:before="60" w:after="60"/>
      </w:pPr>
      <w:r>
        <w:rPr>
          <w:rFonts w:ascii="Arial" w:cs="Arial" w:eastAsia="Arial" w:hAnsi="Arial"/>
          <w:color w:val="333333"/>
          <w:sz w:val="22"/>
          <w:szCs w:val="22"/>
        </w:rPr>
        <w:t xml:space="preserve">Insider threat incidents: deliberate misuse of authorised access, including privileged access abuse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information security incidents affecting any [Company Name] system, data asset, or technology infrastructure, regardless of where it is hosted. This includes on-premises systems, cloud-hosted platforms, third-party SaaS, and systems operated by vendors on [Company Name]'s behalf. Incidents affecting third-party systems that hold [Company Name] data or have access to [Company Name] networks are in scope.</w:t>
      </w:r>
    </w:p>
    <w:p>
      <w:pPr>
        <w:spacing w:before="60" w:after="0"/>
      </w:pPr>
      <w:r>
        <w:t xml:space="preserve"/>
      </w:r>
    </w:p>
    <w:p>
      <w:pPr>
        <w:spacing w:before="80" w:after="80"/>
      </w:pPr>
      <w:r>
        <w:rPr>
          <w:rFonts w:ascii="Arial" w:cs="Arial" w:eastAsia="Arial" w:hAnsi="Arial"/>
          <w:color w:val="333333"/>
          <w:sz w:val="22"/>
          <w:szCs w:val="22"/>
        </w:rPr>
        <w:t xml:space="preserve">All employees, contractors, and third parties are obligated to report suspected incidents per Section 3. The incident response process itself is executed by the Incident Response Team (IRT) defined in Section 4.</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Incident Reporting — Universal Obligation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individual with access to [Company Name] systems has an immediate, unconditional obligation to report any suspected security incident. There is no minimum threshold of certainty required before reporting — if something seems wrong, it must be reported. The cost of reporting a false alarm is negligible; the cost of a delayed incident report can be catastrophic.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Reporting Channel</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Contact</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Hotline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[PHONE 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verbal report — 24/7</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Email</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security-incident@[company].com</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report with evidence attachments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[PHONE / PORTAL]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report for suspected system anomalies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escalation</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above channels unavailable — manager escalates immediately</w:t>
            </w:r>
          </w:p>
        </w:tc>
      </w:tr>
    </w:tbl>
    <w:p>
      <w:pPr>
        <w:spacing w:before="80" w:after="0"/>
      </w:pPr>
      <w:r>
        <w:t xml:space="preserve"/>
      </w:r>
    </w:p>
    <w:p>
      <w:pPr>
        <w:spacing w:before="80" w:after="80"/>
      </w:pPr>
      <w:r>
        <w:rPr>
          <w:rFonts w:ascii="Arial" w:cs="Arial" w:eastAsia="Arial" w:hAnsi="Arial"/>
          <w:color w:val="333333"/>
          <w:sz w:val="22"/>
          <w:szCs w:val="22"/>
        </w:rPr>
        <w:t xml:space="preserve">Reports must include as much of the following as is available at the time of reporting. Do not delay reporting to gather more information:</w:t>
      </w:r>
    </w:p>
    <w:p>
      <w:pPr>
        <w:pStyle w:val="ListParagraph"/>
        <w:numPr>
          <w:ilvl w:val="0"/>
          <w:numId w:val="2"/>
        </w:numPr>
        <w:spacing w:before="60" w:after="60"/>
      </w:pPr>
      <w:r>
        <w:rPr>
          <w:rFonts w:ascii="Arial" w:cs="Arial" w:eastAsia="Arial" w:hAnsi="Arial"/>
          <w:color w:val="333333"/>
          <w:sz w:val="22"/>
          <w:szCs w:val="22"/>
        </w:rPr>
        <w:t xml:space="preserve">What happened — describe what was observed, not an interpretation of cause</w:t>
      </w:r>
    </w:p>
    <w:p>
      <w:pPr>
        <w:pStyle w:val="ListParagraph"/>
        <w:numPr>
          <w:ilvl w:val="0"/>
          <w:numId w:val="2"/>
        </w:numPr>
        <w:spacing w:before="60" w:after="60"/>
      </w:pPr>
      <w:r>
        <w:rPr>
          <w:rFonts w:ascii="Arial" w:cs="Arial" w:eastAsia="Arial" w:hAnsi="Arial"/>
          <w:color w:val="333333"/>
          <w:sz w:val="22"/>
          <w:szCs w:val="22"/>
        </w:rPr>
        <w:t xml:space="preserve">When it was first noticed — date and time as precisely as possible</w:t>
      </w:r>
    </w:p>
    <w:p>
      <w:pPr>
        <w:pStyle w:val="ListParagraph"/>
        <w:numPr>
          <w:ilvl w:val="0"/>
          <w:numId w:val="2"/>
        </w:numPr>
        <w:spacing w:before="60" w:after="60"/>
      </w:pPr>
      <w:r>
        <w:rPr>
          <w:rFonts w:ascii="Arial" w:cs="Arial" w:eastAsia="Arial" w:hAnsi="Arial"/>
          <w:color w:val="333333"/>
          <w:sz w:val="22"/>
          <w:szCs w:val="22"/>
        </w:rPr>
        <w:t xml:space="preserve">Which systems, data, or users appear to be involved</w:t>
      </w:r>
    </w:p>
    <w:p>
      <w:pPr>
        <w:pStyle w:val="ListParagraph"/>
        <w:numPr>
          <w:ilvl w:val="0"/>
          <w:numId w:val="2"/>
        </w:numPr>
        <w:spacing w:before="60" w:after="60"/>
      </w:pPr>
      <w:r>
        <w:rPr>
          <w:rFonts w:ascii="Arial" w:cs="Arial" w:eastAsia="Arial" w:hAnsi="Arial"/>
          <w:color w:val="333333"/>
          <w:sz w:val="22"/>
          <w:szCs w:val="22"/>
        </w:rPr>
        <w:t xml:space="preserve">Any actions already taken — including any systems powered off, credentials changed, or files deleted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Incident reporters are protected from retaliation. No employee, contractor, or third party will be penalised for reporting a suspected incident in good faith, even if the investigation concludes no incident occurred. Failure to report a known or suspected incident is a disciplinary matter.</w:t>
            </w:r>
          </w:p>
        </w:tc>
      </w:tr>
    </w:tbl>
    <w:p>
      <w:r>
        <w:br w:type="page"/>
      </w:r>
    </w:p>
    <w:p>
      <w:pPr>
        <w:pStyle w:val="Heading1"/>
        <w:spacing w:before="360" w:after="120"/>
      </w:pPr>
      <w:r>
        <w:rPr>
          <w:rFonts w:ascii="Arial" w:cs="Arial" w:eastAsia="Arial" w:hAnsi="Arial"/>
          <w:b/>
          <w:bCs/>
          <w:color w:val="1B2A4A"/>
          <w:sz w:val="36"/>
          <w:szCs w:val="36"/>
        </w:rPr>
        <w:t xml:space="preserve">4.  Incident Response Team (IRT)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Incident Response Team (IRT) is the group of individuals responsible for managing the response to a declared incident. IRT membership is tiered — the core team handles all incidents; additional members are activated for P1 and P2 incidents or where the incident touches a specific domain.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4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Commander (IC)
(Information Security)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Overall coordination of the incident response. Single point of accountability. Makes containment, escalation, and communication decisions. Maintains the Incident Log. Declares incident severity. Authorises recovery 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incidents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Lead
(Information Security / IT)</w:t>
            </w:r>
          </w:p>
        </w:tc>
        <w:tc>
          <w:tcPr>
            <w:tcW w:type="dxa" w:w="4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Leads technical investigation, containment, and eradication. Coordinates forensic evidence preservation. Implements technical remediation steps via POL-007 emergency change process.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incidents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Receives P1 and P2 incident notifications. Authorises communications to regulators and senior leadership. Provides strategic direction for high-impact incidents. Approves post-incident Risk Register updates under POL-010.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and P2</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4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for incidents that require BC/DR activation under POL-011 or that affect Tier 1 system availability.</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with BC/DR activation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Incident Lead
(Compliance / QA)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Leads GxP-specific response: data integrity impact assessment, SOP-003 DIRA, VMF documentation, regulatory notification assessment for GxP incidents. Confirms GxP system status before resumption of regulated activities.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incident affecting a GxP-flagged system</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Privacy Lead
(DPO)</w:t>
            </w:r>
          </w:p>
        </w:tc>
        <w:tc>
          <w:tcPr>
            <w:tcW w:type="dxa" w:w="4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Assesses whether the incident constitutes a personal data breach triggering GDPR Art. 33/34 or HIPAA breach notification. Manages supervisory authority and data subject notification. Maintains GDPR breach register.</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incident involving personal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Engaged for incidents likely to result in regulatory enforcement, litigation, or where legal professional privilege over investigation findings is desired.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any incident with litigation or enforcement risk</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
(PR/Comms)</w:t>
            </w:r>
          </w:p>
        </w:tc>
        <w:tc>
          <w:tcPr>
            <w:tcW w:type="dxa" w:w="4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Manages external communications for P1 incidents: customer notification, press statements, regulatory correspondence. Works with Legal on messaging.</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with external notification requirement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Incident Severity 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reported incident is assigned a severity level during initial triage. Severity determines the response pace, IRT composition, escalation requirements, and notification obligations. Severity may be escalated — but never downgraded during active containment — if new information increases the apparent impact.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Criteria (any one criterion sufficient)</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 SLA</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Ransomware or destructive malware affecting Tier 1 systems
• Confirmed exfiltration of Sensitive Personal Data (Tier 4) or GxP records
• Audit trail manipulation confirmed on a GxP system
• Breach affecting &gt;1,000 data subjects
• Total loss of a Tier 1 system with RTO breach
• Confirmed insider threat with data exfiltration
• Incident with direct patient safety implications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Commander declared within 15 minutes. Full IRT activated within 30 minutes. CISO briefed within 1 hour.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immediately. CIO if BC/DR triggered. DPO within 1 hour (personal data). Compliance / QA within 1 hour (GxP). Board notification assessed within 4 hours.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P2 — High</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Confirmed unauthorised access to Tier 1 or Tier 2 system
• Suspected data exfiltration (unconfirmed scope)
• GxP system configuration change outside POL-007 change management
• Breach affecting 100–999 data subjects
• Tier 1 or Tier 2 unplanned outage exceeding RTO
• Privileged account compromise (POL-009 break-glass misuse or PAM alert confirmed)</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Commander declared within 30 minutes. Core IRT activated within 1 hour. CISO briefed within 2 hours.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within 2 hours. DPO within 2 hours (personal data). Compliance / QA within 2 hours (GxP).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P3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Malware contained to a single endpoint with no data exfiltration
• Unsuccessful but targeted phishing attack
• Access control violation (excessive access, SoD breach) without confirmed data loss
• Personal data incident below notification threshold
• Tier 3 unplanned outage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Commander assigned within 2 hours. Investigation within business hours.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DPO if personal data involved. System Owner.</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P4 — Low</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Policy violation without system impact (e.g., data sent to wrong recipient, unencrypted data on personal device, password shared)
• Spam or phishing email reported but not clicked
• Minor access anomaly with no evidence of misuse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Logged and investigated within 1 business day.</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System Owner if affected.</w:t>
            </w:r>
          </w:p>
        </w:tc>
      </w:tr>
    </w:tbl>
    <w:p>
      <w:r>
        <w:br w:type="page"/>
      </w:r>
    </w:p>
    <w:p>
      <w:pPr>
        <w:pStyle w:val="Heading1"/>
        <w:spacing w:before="360" w:after="120"/>
      </w:pPr>
      <w:r>
        <w:rPr>
          <w:rFonts w:ascii="Arial" w:cs="Arial" w:eastAsia="Arial" w:hAnsi="Arial"/>
          <w:b/>
          <w:bCs/>
          <w:color w:val="1B2A4A"/>
          <w:sz w:val="36"/>
          <w:szCs w:val="36"/>
        </w:rPr>
        <w:t xml:space="preserve">6.  Incident Response Lifecycle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six-stage lifecycle governs all incidents from initial detection through closure. Stages 2 and 3 (Triage, and Contain &amp; Preserve) are treated as a single operational phase because the decisions in each directly affect the other — but evidence preservation is never deferred in favour of faster containment.</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6.1  Stage 1 — Detect and Report</w:t>
      </w:r>
    </w:p>
    <w:p>
      <w:pPr>
        <w:spacing w:before="80" w:after="80"/>
      </w:pPr>
      <w:r>
        <w:rPr>
          <w:rFonts w:ascii="Arial" w:cs="Arial" w:eastAsia="Arial" w:hAnsi="Arial"/>
          <w:color w:val="333333"/>
          <w:sz w:val="22"/>
          <w:szCs w:val="22"/>
        </w:rPr>
        <w:t xml:space="preserve">Detection may come from any source: automated monitoring alerts (SIEM, EDR, DLP, POL-009 PAM alerts), user reports, third-party notifications, regulatory alerts, or audit log review (SOP-003). Every detection is triaged as a potential incident until ruled out.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Log the Report</w:t>
            </w:r>
          </w:p>
          <w:p>
            <w:pPr>
              <w:spacing w:before="0" w:after="0"/>
            </w:pPr>
            <w:r>
              <w:rPr>
                <w:rFonts w:ascii="Arial" w:cs="Arial" w:eastAsia="Arial" w:hAnsi="Arial"/>
                <w:color w:val="444444"/>
                <w:sz w:val="20"/>
                <w:szCs w:val="20"/>
              </w:rPr>
              <w:t xml:space="preserve">Information Security logs every report in the Incident Tracking System within 15 minutes of receipt: date/time reported, reporter, initial description, systems involved, and initial severity estimate. An Incident ID is assigned. The clock starts here — GDPR and HIPAA notification timelines run from the point [Company Name] becomes aware, not from confirmed determination of breach.</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6.2  Stage 2 —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Assess Severity and Scope</w:t>
            </w:r>
          </w:p>
          <w:p>
            <w:pPr>
              <w:spacing w:before="0" w:after="0"/>
            </w:pPr>
            <w:r>
              <w:rPr>
                <w:rFonts w:ascii="Arial" w:cs="Arial" w:eastAsia="Arial" w:hAnsi="Arial"/>
                <w:color w:val="444444"/>
                <w:sz w:val="20"/>
                <w:szCs w:val="20"/>
              </w:rPr>
              <w:t xml:space="preserve">The Incident Commander performs initial triage within the SLA for the estimated severity level. Triage determines: (1) Is this a real incident or a false positive? (2) What is the initial severity classification? (3) Which IRT members must be activated? (4) Is GDPR/HIPAA clock already running? (5) Is a GxP system affected? (6) Is BC/DR activation required?
Triage does NOT require certainty — it requires a reasonable initial assessment. It is always better to activate for P1 and stand down than to under-classify and respond too slowly.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Incident Commander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6.3  Stage 3 — Contain and Preserve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Evidence preservation must happen in parallel with containment — not after it. Forensic images of affected systems must be captured before any remediation actions. Audit trail exports must be taken before credentials are rotated or systems are powered off. The Incident Commander is responsible for ensuring both happen simultaneously.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Contain the Incident</w:t>
            </w:r>
          </w:p>
          <w:p>
            <w:pPr>
              <w:spacing w:before="0" w:after="0"/>
            </w:pPr>
            <w:r>
              <w:rPr>
                <w:rFonts w:ascii="Arial" w:cs="Arial" w:eastAsia="Arial" w:hAnsi="Arial"/>
                <w:color w:val="444444"/>
                <w:sz w:val="20"/>
                <w:szCs w:val="20"/>
              </w:rPr>
              <w:t xml:space="preserve">Containment actions vary by incident type. Common actions: isolate affected systems from the network (without powering off if forensic imaging is pending), disable compromised accounts (per POL-008/POL-009), block identified attacker infrastructure at the firewall, revoke exfiltration pathway (data loss prevention rule). All containment actions are documented in the Incident Log in real time with timestamp and actor.
For GxP systems: containment actions that modify system configuration are emergency changes under POL-007 and must be documented as such, even in an active incident.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Technical Lead / Incident Commander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Preserve Evidence</w:t>
            </w:r>
          </w:p>
          <w:p>
            <w:pPr>
              <w:spacing w:before="0" w:after="0"/>
            </w:pPr>
            <w:r>
              <w:rPr>
                <w:rFonts w:ascii="Arial" w:cs="Arial" w:eastAsia="Arial" w:hAnsi="Arial"/>
                <w:color w:val="444444"/>
                <w:sz w:val="20"/>
                <w:szCs w:val="20"/>
              </w:rPr>
              <w:t xml:space="preserve">Before any remediation: (1) capture forensic disk images of affected systems; (2) export relevant audit trail records (SIEM, system audit logs, POL-009 session recordings) to a secured evidence store; (3) preserve network traffic captures where available; (4) document the state of the affected environment (running processes, active connections, account states) before any changes are made.
Evidence must be stored in a tamper-evident manner. Chain of custody documentation must be maintained. For incidents likely to result in regulatory investigation or litigation: Legal must be engaged before forensic activity begins.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Technical Lead / Legal</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6.4  Stage 4 — Eradicate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Remove the Threat</w:t>
            </w:r>
          </w:p>
          <w:p>
            <w:pPr>
              <w:spacing w:before="0" w:after="0"/>
            </w:pPr>
            <w:r>
              <w:rPr>
                <w:rFonts w:ascii="Arial" w:cs="Arial" w:eastAsia="Arial" w:hAnsi="Arial"/>
                <w:color w:val="444444"/>
                <w:sz w:val="20"/>
                <w:szCs w:val="20"/>
              </w:rPr>
              <w:t xml:space="preserve">Once the incident is contained and evidence is preserved: remove the root cause. For malware: clean or reimage affected systems per confirmed clean backup points. For unauthorised access: revoke access, rotate all potentially compromised credentials, confirm no persistence mechanisms remain. For data integrity incidents: identify the scope of affected records; for GxP systems, notify Compliance / QA and initiate SOP-003 DIRA procedure for the affected system.
All eradication actions are implemented via the POL-007 emergency change process. The Incident ID is referenced in the change record.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Technical Lead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6.5  Stage 5 —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Restore to Validated / Verified State</w:t>
            </w:r>
          </w:p>
          <w:p>
            <w:pPr>
              <w:spacing w:before="0" w:after="0"/>
            </w:pPr>
            <w:r>
              <w:rPr>
                <w:rFonts w:ascii="Arial" w:cs="Arial" w:eastAsia="Arial" w:hAnsi="Arial"/>
                <w:color w:val="444444"/>
                <w:sz w:val="20"/>
                <w:szCs w:val="20"/>
              </w:rPr>
              <w:t xml:space="preserve">Restore affected systems from confirmed clean backups or validated clean configurations. For Tier 1 systems: follow the DRP per POL-011. For GxP systems: follow the validated state restoration procedure in the POL-011 BCP/DRP — Compliance / QA sign-off is required before GxP regulated activities resume. Confirm RTO has been met; if not, escalate under POL-011. Monitor the restored system closely for 72 hours post-recovery for signs of persistence.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Technical Lead / Compliance / QA (GxP)</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6.6  Stage 6 — Post-Incident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Conduct Post-Incident Review</w:t>
            </w:r>
          </w:p>
          <w:p>
            <w:pPr>
              <w:spacing w:before="0" w:after="0"/>
            </w:pPr>
            <w:r>
              <w:rPr>
                <w:rFonts w:ascii="Arial" w:cs="Arial" w:eastAsia="Arial" w:hAnsi="Arial"/>
                <w:color w:val="444444"/>
                <w:sz w:val="20"/>
                <w:szCs w:val="20"/>
              </w:rPr>
              <w:t xml:space="preserve">Every P1 incident: mandatory post-incident review within 5 business days of closure. Every P2 incident: post-incident review within 10 business days. P3/P4: documented close-out within 15 business days.
Review must cover: root cause analysis; timeline reconstruction; effectiveness of detection and response; regulatory notification compliance; lessons learned; specific preventive actions with owners and target dates.
For GxP incidents: the review report is a VMF document. For all P1/P2 incidents: Information Security updates the POL-010 Risk Register within 30 days to reflect any changes in risk profile resulting from the incident.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Incident Commander / CISO</w:t>
            </w:r>
          </w:p>
        </w:tc>
      </w:tr>
    </w:tbl>
    <w:p>
      <w:r>
        <w:br w:type="page"/>
      </w:r>
    </w:p>
    <w:p>
      <w:pPr>
        <w:pStyle w:val="Heading1"/>
        <w:spacing w:before="360" w:after="120"/>
      </w:pPr>
      <w:r>
        <w:rPr>
          <w:rFonts w:ascii="Arial" w:cs="Arial" w:eastAsia="Arial" w:hAnsi="Arial"/>
          <w:b/>
          <w:bCs/>
          <w:color w:val="1B2A4A"/>
          <w:sz w:val="36"/>
          <w:szCs w:val="36"/>
        </w:rPr>
        <w:t xml:space="preserve">7.  Regulatory Notification Obligations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Regulatory notification timelines are hard deadlines. Unlike internal response activities that can flex based on operational complexity, regulatory notification obligations run from defined trigger points and cannot be extended. The DPO and GxP Incident Lead are jointly responsible for monitoring and meeting all notification obligations.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GDPR Personal Data Breach Notification (EU/UK)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800"/>
        <w:gridCol w:w="15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Deadline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Recipient</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Supervisory Authority
notification
(Art. 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Controller (i.e., [Company Name]) becomes aware of a personal data breach that is likely to result in a risk to the rights and freedoms of natural persons. This is a low threshold — 'aware' means when Information Security logs the incident.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72 hours from awareness. If notification is made after 72 hours, the reason for delay must be included.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 supervisory authority (ICO for UK; relevant EU member state DPA for EU data subjects)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Nature of breach; categories and approximate number of data subjects and records; DPO contact details; likely consequences; measures taken or proposed to address the breach.</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notification
(Art. 34)</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likely to result in HIGH risk to rights and freedoms of data subjects — a higher threshold than Art. 33.</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Without undue delay after determining high risk threshold is met.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Affected data subjects directly</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Plain language description; DPO contact details; likely consequences; measures taken.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'72 hours from awareness' runs from the point [Company Name] (not the individual reporter) becomes aware. This is the point at which the incident is logged in the Incident Tracking System. The DPO must be notified within 1 hour of any incident potentially involving personal data so the 72-hour clock can be managed. Notification does not require complete information — a partial notification that is updated is compliant; a late notification is not.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HIPAA Breach Notification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Deadline</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Recipient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Individual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 calendar days from discovery of breach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affected individual (or next of kin if deceased)</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HHS (OCR) notification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60 calendar days from end of calendar year in which breach occurred (if affecting &lt;500 individuals); 60 days from discovery if ≥500 individuals in a state</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HHS Office for Civil Rights via online portal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Media notification (if ≥500 individuals in a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60 calendar days from discovery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Prominent media outlets serving the affected state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7.3  GxP Regulatory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Scenario</w:t>
            </w:r>
          </w:p>
        </w:tc>
        <w:tc>
          <w:tcPr>
            <w:tcW w:type="dxa" w:w="4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Obligation</w:t>
            </w:r>
          </w:p>
        </w:tc>
        <w:tc>
          <w:tcPr>
            <w:tcW w:type="dxa" w:w="2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Confirmed audit trail manipulation or falsification of GxP records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Notification to relevant regulatory authority (FDA, EMA, MHRA) is likely required. The Compliance / QA team must assess notification obligation within 24 hours of P1 confirmation. No notification sent without Legal and CISO sign-off.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 Legal + CISO</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Ransomware or system failure affecting GxP system during active batch processing or clinical trial</w:t>
            </w:r>
          </w:p>
        </w:tc>
        <w:tc>
          <w:tcPr>
            <w:tcW w:type="dxa" w:w="4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Depending on impact on product quality or trial integrity: notification may be required to FDA (Field Alert Report), EMA, MHRA, or relevant clinical trial authority. Compliance / QA assesses within 48 hours.</w:t>
            </w:r>
          </w:p>
        </w:tc>
        <w:tc>
          <w:tcPr>
            <w:tcW w:type="dxa" w:w="2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 Legal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Uncontrolled change to validated GxP system (outside POL-007)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CAPA under POL-003/SOP-003; regulatory notification only if product quality or patient safety is affected. Compliance / QA assessment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7.4  SOX Notification</w:t>
      </w:r>
    </w:p>
    <w:p>
      <w:pPr>
        <w:spacing w:before="80" w:after="80"/>
      </w:pPr>
      <w:r>
        <w:rPr>
          <w:rFonts w:ascii="Arial" w:cs="Arial" w:eastAsia="Arial" w:hAnsi="Arial"/>
          <w:color w:val="333333"/>
          <w:sz w:val="22"/>
          <w:szCs w:val="22"/>
        </w:rPr>
        <w:t xml:space="preserve">Incidents affecting SOX in-scope systems must be assessed for impact on ITGC controls and financial reporting integrity:</w:t>
      </w:r>
    </w:p>
    <w:p>
      <w:pPr>
        <w:pStyle w:val="ListParagraph"/>
        <w:numPr>
          <w:ilvl w:val="0"/>
          <w:numId w:val="2"/>
        </w:numPr>
        <w:spacing w:before="60" w:after="60"/>
      </w:pPr>
      <w:r>
        <w:rPr>
          <w:rFonts w:ascii="Arial" w:cs="Arial" w:eastAsia="Arial" w:hAnsi="Arial"/>
          <w:color w:val="333333"/>
          <w:sz w:val="22"/>
          <w:szCs w:val="22"/>
        </w:rPr>
        <w:t xml:space="preserve">Any confirmed loss or corruption of ITGC audit evidence (access review records, change records, audit logs) in a SOX-scoped system must be reported to the CFO and external auditors as a potential control deficiency — regardless of whether the incident threshold for regulatory notification is met</w:t>
      </w:r>
    </w:p>
    <w:p>
      <w:pPr>
        <w:pStyle w:val="ListParagraph"/>
        <w:numPr>
          <w:ilvl w:val="0"/>
          <w:numId w:val="2"/>
        </w:numPr>
        <w:spacing w:before="60" w:after="60"/>
      </w:pPr>
      <w:r>
        <w:rPr>
          <w:rFonts w:ascii="Arial" w:cs="Arial" w:eastAsia="Arial" w:hAnsi="Arial"/>
          <w:color w:val="333333"/>
          <w:sz w:val="22"/>
          <w:szCs w:val="22"/>
        </w:rPr>
        <w:t xml:space="preserve">If an incident results in financial data being altered without authorised approval: the CFO and external auditors must be notified, and a financial data integrity review must be initiated before the next financial reporting period closes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7.5  BC/DR Activation Decision</w:t>
      </w:r>
    </w:p>
    <w:p>
      <w:pPr>
        <w:spacing w:before="80" w:after="80"/>
      </w:pPr>
      <w:r>
        <w:rPr>
          <w:rFonts w:ascii="Arial" w:cs="Arial" w:eastAsia="Arial" w:hAnsi="Arial"/>
          <w:color w:val="333333"/>
          <w:sz w:val="22"/>
          <w:szCs w:val="22"/>
        </w:rPr>
        <w:t xml:space="preserve">The transition from incident response to BC/DR activation is a specific decision point, not an automatic escalation. The Incident Commander, CISO, and CIO jointly make the activation decision when:</w:t>
      </w:r>
    </w:p>
    <w:p>
      <w:pPr>
        <w:pStyle w:val="ListParagraph"/>
        <w:numPr>
          <w:ilvl w:val="0"/>
          <w:numId w:val="2"/>
        </w:numPr>
        <w:spacing w:before="60" w:after="60"/>
      </w:pPr>
      <w:r>
        <w:rPr>
          <w:rFonts w:ascii="Arial" w:cs="Arial" w:eastAsia="Arial" w:hAnsi="Arial"/>
          <w:color w:val="333333"/>
          <w:sz w:val="22"/>
          <w:szCs w:val="22"/>
        </w:rPr>
        <w:t xml:space="preserve">A Tier 1 or Tier 2 system outage is projected to exceed its RTO</w:t>
      </w:r>
    </w:p>
    <w:p>
      <w:pPr>
        <w:pStyle w:val="ListParagraph"/>
        <w:numPr>
          <w:ilvl w:val="0"/>
          <w:numId w:val="2"/>
        </w:numPr>
        <w:spacing w:before="60" w:after="60"/>
      </w:pPr>
      <w:r>
        <w:rPr>
          <w:rFonts w:ascii="Arial" w:cs="Arial" w:eastAsia="Arial" w:hAnsi="Arial"/>
          <w:color w:val="333333"/>
          <w:sz w:val="22"/>
          <w:szCs w:val="22"/>
        </w:rPr>
        <w:t xml:space="preserve">Eradication is projected to take longer than the system's MTPD</w:t>
      </w:r>
    </w:p>
    <w:p>
      <w:pPr>
        <w:pStyle w:val="ListParagraph"/>
        <w:numPr>
          <w:ilvl w:val="0"/>
          <w:numId w:val="2"/>
        </w:numPr>
        <w:spacing w:before="60" w:after="60"/>
      </w:pPr>
      <w:r>
        <w:rPr>
          <w:rFonts w:ascii="Arial" w:cs="Arial" w:eastAsia="Arial" w:hAnsi="Arial"/>
          <w:color w:val="333333"/>
          <w:sz w:val="22"/>
          <w:szCs w:val="22"/>
        </w:rPr>
        <w:t xml:space="preserve">The incident affects multiple systems or a site-level disruption is confirmed</w:t>
      </w:r>
    </w:p>
    <w:p>
      <w:pPr>
        <w:spacing w:before="60" w:after="0"/>
      </w:pPr>
      <w:r>
        <w:t xml:space="preserve"/>
      </w:r>
    </w:p>
    <w:p>
      <w:pPr>
        <w:spacing w:before="80" w:after="80"/>
      </w:pPr>
      <w:r>
        <w:rPr>
          <w:rFonts w:ascii="Arial" w:cs="Arial" w:eastAsia="Arial" w:hAnsi="Arial"/>
          <w:color w:val="333333"/>
          <w:sz w:val="22"/>
          <w:szCs w:val="22"/>
        </w:rPr>
        <w:t xml:space="preserve">Once BC/DR is activated, the CIO assumes overall command for recovery operations; the CISO retains command for the security investigation running in parallel. These two workstreams operate simultaneously and coordinate at regular checkpoints defined in the POL-011 BCP.</w:t>
      </w:r>
    </w:p>
    <w:p>
      <w:r>
        <w:br w:type="page"/>
      </w:r>
    </w:p>
    <w:p>
      <w:pPr>
        <w:pStyle w:val="Heading1"/>
        <w:spacing w:before="360" w:after="120"/>
      </w:pPr>
      <w:r>
        <w:rPr>
          <w:rFonts w:ascii="Arial" w:cs="Arial" w:eastAsia="Arial" w:hAnsi="Arial"/>
          <w:b/>
          <w:bCs/>
          <w:color w:val="1B2A4A"/>
          <w:sz w:val="36"/>
          <w:szCs w:val="36"/>
        </w:rPr>
        <w:t xml:space="preserve">8.  Incident-Type-Specific Requirements</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8.1  GxP Data Integrity Incidents</w:t>
      </w:r>
    </w:p>
    <w:p>
      <w:pPr>
        <w:spacing w:before="80" w:after="80"/>
      </w:pPr>
      <w:r>
        <w:rPr>
          <w:rFonts w:ascii="Arial" w:cs="Arial" w:eastAsia="Arial" w:hAnsi="Arial"/>
          <w:color w:val="333333"/>
          <w:sz w:val="22"/>
          <w:szCs w:val="22"/>
        </w:rPr>
        <w:t xml:space="preserve">Any incident affecting the integrity, availability, or audit trail of a GxP system must additionally trigger the SOP-003 Data Integrity incident process. The following specific requirements apply:</w:t>
      </w:r>
    </w:p>
    <w:p>
      <w:pPr>
        <w:pStyle w:val="ListParagraph"/>
        <w:numPr>
          <w:ilvl w:val="0"/>
          <w:numId w:val="2"/>
        </w:numPr>
        <w:spacing w:before="60" w:after="60"/>
      </w:pPr>
      <w:r>
        <w:rPr>
          <w:rFonts w:ascii="Arial" w:cs="Arial" w:eastAsia="Arial" w:hAnsi="Arial"/>
          <w:color w:val="333333"/>
          <w:sz w:val="22"/>
          <w:szCs w:val="22"/>
        </w:rPr>
        <w:t xml:space="preserve">The GxP Incident Lead (Compliance / QA) must be notified within the IRT activation SLA — before any remediation actions are taken on a GxP system</w:t>
      </w:r>
    </w:p>
    <w:p>
      <w:pPr>
        <w:pStyle w:val="ListParagraph"/>
        <w:numPr>
          <w:ilvl w:val="0"/>
          <w:numId w:val="2"/>
        </w:numPr>
        <w:spacing w:before="60" w:after="60"/>
      </w:pPr>
      <w:r>
        <w:rPr>
          <w:rFonts w:ascii="Arial" w:cs="Arial" w:eastAsia="Arial" w:hAnsi="Arial"/>
          <w:color w:val="333333"/>
          <w:sz w:val="22"/>
          <w:szCs w:val="22"/>
        </w:rPr>
        <w:t xml:space="preserve">No GxP system may be returned to regulated use after an incident without written confirmation from Compliance / QA that the system is in its validated state</w:t>
      </w:r>
    </w:p>
    <w:p>
      <w:pPr>
        <w:pStyle w:val="ListParagraph"/>
        <w:numPr>
          <w:ilvl w:val="0"/>
          <w:numId w:val="2"/>
        </w:numPr>
        <w:spacing w:before="60" w:after="60"/>
      </w:pPr>
      <w:r>
        <w:rPr>
          <w:rFonts w:ascii="Arial" w:cs="Arial" w:eastAsia="Arial" w:hAnsi="Arial"/>
          <w:color w:val="333333"/>
          <w:sz w:val="22"/>
          <w:szCs w:val="22"/>
        </w:rPr>
        <w:t xml:space="preserve">If the incident has resulted in records that cannot be confirmed as accurate, complete, or unaltered: those records must be quarantined and a data integrity assessment conducted before they are used in any regulatory submission</w:t>
      </w:r>
    </w:p>
    <w:p>
      <w:pPr>
        <w:pStyle w:val="ListParagraph"/>
        <w:numPr>
          <w:ilvl w:val="0"/>
          <w:numId w:val="2"/>
        </w:numPr>
        <w:spacing w:before="60" w:after="60"/>
      </w:pPr>
      <w:r>
        <w:rPr>
          <w:rFonts w:ascii="Arial" w:cs="Arial" w:eastAsia="Arial" w:hAnsi="Arial"/>
          <w:color w:val="333333"/>
          <w:sz w:val="22"/>
          <w:szCs w:val="22"/>
        </w:rPr>
        <w:t xml:space="preserve">Uncontrolled changes made to a GxP system during incident containment or recovery are emergency changes under POL-007 and must be assessed for validation impact within 5 business days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Inspectors specifically look for incidents involving GxP systems that were resolved without Compliance / QA involvement or validation assessment. 'We fixed it quickly' is not a satisfactory answer to a regulatory inspector. The documentation of GxP incident response — and the involvement of Compliance / QA at every stage — is what determines whether a finding is a minor observation or a critical non-compliance.</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8.2  Ransomware</w:t>
      </w:r>
    </w:p>
    <w:p>
      <w:pPr>
        <w:spacing w:before="80" w:after="80"/>
      </w:pPr>
      <w:r>
        <w:rPr>
          <w:rFonts w:ascii="Arial" w:cs="Arial" w:eastAsia="Arial" w:hAnsi="Arial"/>
          <w:color w:val="333333"/>
          <w:sz w:val="22"/>
          <w:szCs w:val="22"/>
        </w:rPr>
        <w:t xml:space="preserve">Ransomware is simultaneously a security incident, a potential personal data breach, and — where GxP systems are affected — a GxP incident. The following specific sequence applies:</w:t>
      </w:r>
    </w:p>
    <w:p>
      <w:pPr>
        <w:pStyle w:val="ListParagraph"/>
        <w:numPr>
          <w:ilvl w:val="0"/>
          <w:numId w:val="2"/>
        </w:numPr>
        <w:spacing w:before="60" w:after="60"/>
      </w:pPr>
      <w:r>
        <w:rPr>
          <w:rFonts w:ascii="Arial" w:cs="Arial" w:eastAsia="Arial" w:hAnsi="Arial"/>
          <w:color w:val="333333"/>
          <w:sz w:val="22"/>
          <w:szCs w:val="22"/>
        </w:rPr>
        <w:t xml:space="preserve">Do not pay the ransom without CISO, Legal, and Board approval — payment does not guarantee data recovery, may not be legally permissible, and does not resolve the underlying compromise</w:t>
      </w:r>
    </w:p>
    <w:p>
      <w:pPr>
        <w:pStyle w:val="ListParagraph"/>
        <w:numPr>
          <w:ilvl w:val="0"/>
          <w:numId w:val="2"/>
        </w:numPr>
        <w:spacing w:before="60" w:after="60"/>
      </w:pPr>
      <w:r>
        <w:rPr>
          <w:rFonts w:ascii="Arial" w:cs="Arial" w:eastAsia="Arial" w:hAnsi="Arial"/>
          <w:color w:val="333333"/>
          <w:sz w:val="22"/>
          <w:szCs w:val="22"/>
        </w:rPr>
        <w:t xml:space="preserve">Isolate affected systems immediately — segment the network before forensic imaging where technically feasible to prevent further spread</w:t>
      </w:r>
    </w:p>
    <w:p>
      <w:pPr>
        <w:pStyle w:val="ListParagraph"/>
        <w:numPr>
          <w:ilvl w:val="0"/>
          <w:numId w:val="2"/>
        </w:numPr>
        <w:spacing w:before="60" w:after="60"/>
      </w:pPr>
      <w:r>
        <w:rPr>
          <w:rFonts w:ascii="Arial" w:cs="Arial" w:eastAsia="Arial" w:hAnsi="Arial"/>
          <w:color w:val="333333"/>
          <w:sz w:val="22"/>
          <w:szCs w:val="22"/>
        </w:rPr>
        <w:t xml:space="preserve">Activate BC/DR immediately for any Tier 1 system affected — do not wait for eradication before commencing recovery from clean backups</w:t>
      </w:r>
    </w:p>
    <w:p>
      <w:pPr>
        <w:pStyle w:val="ListParagraph"/>
        <w:numPr>
          <w:ilvl w:val="0"/>
          <w:numId w:val="2"/>
        </w:numPr>
        <w:spacing w:before="60" w:after="60"/>
      </w:pPr>
      <w:r>
        <w:rPr>
          <w:rFonts w:ascii="Arial" w:cs="Arial" w:eastAsia="Arial" w:hAnsi="Arial"/>
          <w:color w:val="333333"/>
          <w:sz w:val="22"/>
          <w:szCs w:val="22"/>
        </w:rPr>
        <w:t xml:space="preserve">Assume all credentials on affected systems are compromised — initiate credential rotation across all systems that shared identity infrastructure with affected systems</w:t>
      </w:r>
    </w:p>
    <w:p>
      <w:pPr>
        <w:pStyle w:val="ListParagraph"/>
        <w:numPr>
          <w:ilvl w:val="0"/>
          <w:numId w:val="2"/>
        </w:numPr>
        <w:spacing w:before="60" w:after="60"/>
      </w:pPr>
      <w:r>
        <w:rPr>
          <w:rFonts w:ascii="Arial" w:cs="Arial" w:eastAsia="Arial" w:hAnsi="Arial"/>
          <w:color w:val="333333"/>
          <w:sz w:val="22"/>
          <w:szCs w:val="22"/>
        </w:rPr>
        <w:t xml:space="preserve">The DPO must assess GDPR/HIPAA notification obligation within 24 hours — ransomware that encrypts personal data is a breach of confidentiality even if no exfiltration is confirmed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8.3  Privileged Account Compromise</w:t>
      </w:r>
    </w:p>
    <w:p>
      <w:pPr>
        <w:spacing w:before="80" w:after="80"/>
      </w:pPr>
      <w:r>
        <w:rPr>
          <w:rFonts w:ascii="Arial" w:cs="Arial" w:eastAsia="Arial" w:hAnsi="Arial"/>
          <w:color w:val="333333"/>
          <w:sz w:val="22"/>
          <w:szCs w:val="22"/>
        </w:rPr>
        <w:t xml:space="preserve">A confirmed or suspected compromise of a privileged account (per POL-009) is a P1 or P2 incident depending on the tier of systems accessible. Specific requirements:</w:t>
      </w:r>
    </w:p>
    <w:p>
      <w:pPr>
        <w:pStyle w:val="ListParagraph"/>
        <w:numPr>
          <w:ilvl w:val="0"/>
          <w:numId w:val="2"/>
        </w:numPr>
        <w:spacing w:before="60" w:after="60"/>
      </w:pPr>
      <w:r>
        <w:rPr>
          <w:rFonts w:ascii="Arial" w:cs="Arial" w:eastAsia="Arial" w:hAnsi="Arial"/>
          <w:color w:val="333333"/>
          <w:sz w:val="22"/>
          <w:szCs w:val="22"/>
        </w:rPr>
        <w:t xml:space="preserve">The compromised account must be disabled immediately — not after investigation, immediately. If the account is a service account, the owning application must be notified and the service disruption treated as a POL-011 incident</w:t>
      </w:r>
    </w:p>
    <w:p>
      <w:pPr>
        <w:pStyle w:val="ListParagraph"/>
        <w:numPr>
          <w:ilvl w:val="0"/>
          <w:numId w:val="2"/>
        </w:numPr>
        <w:spacing w:before="60" w:after="60"/>
      </w:pPr>
      <w:r>
        <w:rPr>
          <w:rFonts w:ascii="Arial" w:cs="Arial" w:eastAsia="Arial" w:hAnsi="Arial"/>
          <w:color w:val="333333"/>
          <w:sz w:val="22"/>
          <w:szCs w:val="22"/>
        </w:rPr>
        <w:t xml:space="preserve">All systems accessible by the compromised account must be treated as potentially affected — not just the system where the compromise was detected</w:t>
      </w:r>
    </w:p>
    <w:p>
      <w:pPr>
        <w:pStyle w:val="ListParagraph"/>
        <w:numPr>
          <w:ilvl w:val="0"/>
          <w:numId w:val="2"/>
        </w:numPr>
        <w:spacing w:before="60" w:after="60"/>
      </w:pPr>
      <w:r>
        <w:rPr>
          <w:rFonts w:ascii="Arial" w:cs="Arial" w:eastAsia="Arial" w:hAnsi="Arial"/>
          <w:color w:val="333333"/>
          <w:sz w:val="22"/>
          <w:szCs w:val="22"/>
        </w:rPr>
        <w:t xml:space="preserve">Session recordings for the compromised account (per POL-009) must be reviewed as part of the investigation to determine the full scope of activity</w:t>
      </w:r>
    </w:p>
    <w:p>
      <w:pPr>
        <w:pStyle w:val="ListParagraph"/>
        <w:numPr>
          <w:ilvl w:val="0"/>
          <w:numId w:val="2"/>
        </w:numPr>
        <w:spacing w:before="60" w:after="60"/>
      </w:pPr>
      <w:r>
        <w:rPr>
          <w:rFonts w:ascii="Arial" w:cs="Arial" w:eastAsia="Arial" w:hAnsi="Arial"/>
          <w:color w:val="333333"/>
          <w:sz w:val="22"/>
          <w:szCs w:val="22"/>
        </w:rPr>
        <w:t xml:space="preserve">For GxP systems accessible by the compromised account: a data integrity review of all changes made under that account since the estimated compromise start date must be conducted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Declares major incidents. Approves external communications and regulatory notifications. Reviews and approves post-incident Risk Register updates. Receives all P1/P2 notifications. Leads post-incident programme review.</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Commander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Manages day-to-day incident response. Maintains Incident Log. Makes containment and escalation decisions. Ensures evidence preservation. Coordinates IRT. Produces post-incident review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Provides technical investigation capability. Operates monitoring systems. Executes containment actions. Manages evidence store. Maintains incident tracking system.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Incident Lead for all incidents affecting GxP systems. Assesses data integrity impact. Confirms validated state before GxP restart. Assesses regulatory notification for GxP incidents. Maintains CAPA programme from incident findings.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Privacy Lead for all incidents involving personal data. Manages GDPR Art. 33/34 and HIPAA breach notification. Maintains GDPR breach register. Assesses data subject notification requirement.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Activated for P1 incidents requiring BC/DR. Assumes overall recovery command when BC/DR is activated. Co-approves BC/DR activation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Engaged for incidents with litigation or regulatory enforcement risk. Provides legal professional privilege guidance. Reviews and approves regulatory communications. Advises on ransom payment legality.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employees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suspected incidents immediately via the channels in Section 3. Preserve potential evidence — do not delete files, emails, or logs relating to the suspected incident. Cooperate fully with IRT investigation.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 ISSG receives P1 incident reports at next meeting; Board notified for Critical incidents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 incidents are a subset of security incidents; ALCOA+ failures are incident triggers; this Policy provides the response framework; SOP-003 provides the domain-specific investigation process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and GxP/SOX flags determine IRT composition, notification requirements, and recovery validation obligations for each incident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containment, eradication, and recovery actions on production systems are emergency changes per POL-007; Incident IDs are referenced in change records; GxP emergency changes require validation impact assessment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incidents (unauthorised access, stale accounts exploited) trigger this Policy; leaver deprovisioning failures are a common incident vector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compromise triggers P1/P2 incident per this Policy; PAM session recordings are key forensic evidence; break-glass misuse is an incident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P1/P2 incidents require post-incident risk assessment update within 30 days; incidents inform risk scoring and treatment plan revisions; incident patterns are Risk Register inputs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Incidents that breach RTO trigger BC/DR activation under POL-011; CIO assumes recovery command; IC retains investigation command; POL-011 Section 7 defines the handoff criteria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 governs non-security operational incidents (hardware failure, software faults, infrastructure outage); where an operational incident reveals security compromise, it transitions to this Policy; both processes may run in parallel; CISO leads security incidents, CIO leads operational incidents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incidents affecting [Company Name] data or systems are in scope; vendor notification obligations and SLA breach assessment under POL-013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 alerts are the primary incident detection source; audit trail preservation during incidents is a data integrity obligation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exceptions are Category 9 under EXC-001 with a 3-month maximum duration; exceptions to incident notification SLAs affecting regulatory breach notification capability require Board awareness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 incidents additionally follow SOP-003; DIRA is updated post-incident; audit trail review is a forensic tool for GxP incidents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 breach response runs in parallel with this Policy; DPO activates SOP-004 breach response process simultaneously with IRT activation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accountability across all domains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Chain of Custody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record of who has handled forensic evidence, when, and for what purpose — essential for any incident that may result in regulatory proceedings or litigation.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Incident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 incident specifically involving the unauthorised creation, modification, deletion, or suppression of GxP records, or compromise of the audit trail of a GxP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Eradication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incident response phase in which the root cause of the incident is removed — malware cleaned, unauthorised access revoked, vulnerability patched.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Forensic Image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bit-for-bit copy of a storage device, preserving all data including deleted files and metadata, used as evidence in incident investigations.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IRT (Incident Response Team)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group of individuals responsible for executing the incident response lifecycle for a declared incident.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Personal Data Breach</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breach of security leading to the accidental or unlawful destruction, loss, alteration, unauthorised disclosure of, or access to, personal data (GDPR Art. 4(12)).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Information and Event Management system — the tooling used to collect, correlate, and alert on security event data from across the environment.</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POL-012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INCIDENT RESPONSE POLICY  |  POL-012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2026-03-07T19:10:58.627Z</dcterms:created>
  <dcterms:modified xsi:type="dcterms:W3CDTF">2026-03-07T19:10:58.628Z</dcterms:modified>
</cp:coreProperties>
</file>

<file path=docProps/custom.xml><?xml version="1.0" encoding="utf-8"?>
<Properties xmlns="http://schemas.openxmlformats.org/officeDocument/2006/custom-properties" xmlns:vt="http://schemas.openxmlformats.org/officeDocument/2006/docPropsVTypes"/>
</file>