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THIRD PARTY AND VENDOR RISK POLICY</w:t>
      </w:r>
    </w:p>
    <w:p>
      <w:pPr>
        <w:shd w:fill="1B2A4A" w:val="clear"/>
        <w:spacing w:before="40" w:after="0"/>
        <w:ind w:left="1440"/>
      </w:pPr>
      <w:r>
        <w:rPr>
          <w:rFonts w:ascii="Arial" w:cs="Arial" w:eastAsia="Arial" w:hAnsi="Arial"/>
          <w:i/>
          <w:iCs/>
          <w:color w:val="D6E4F7"/>
          <w:sz w:val="24"/>
          <w:szCs w:val="24"/>
        </w:rPr>
        <w:t xml:space="preserve">POL-013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POL-013</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 / Legal</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Officer (CIO) and Legal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Procurement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28–29, 32, 44–49; HIPAA 45 CFR §164.308(b); 21 CFR Part 11; EU Annex 11 §4; SOX (ITGC); ISO/IEC 27001:2022 (A.5.19–A.5.22); ISO 27036</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requirements for identifying, assessing, and managing the risks introduced when [Company Name] engages third parties — vendors, suppliers, consultants, and service providers — who access [Company Name] systems, process [Company Name] data, or perform functions on [Company Name]'s behalf.</w:t>
      </w:r>
    </w:p>
    <w:p>
      <w:pPr>
        <w:spacing w:before="60" w:after="0"/>
      </w:pPr>
      <w:r>
        <w:t xml:space="preserve"/>
      </w:r>
    </w:p>
    <w:p>
      <w:pPr>
        <w:spacing w:before="80" w:after="80"/>
      </w:pPr>
      <w:r>
        <w:rPr>
          <w:rFonts w:ascii="Arial" w:cs="Arial" w:eastAsia="Arial" w:hAnsi="Arial"/>
          <w:color w:val="333333"/>
          <w:sz w:val="22"/>
          <w:szCs w:val="22"/>
        </w:rPr>
        <w:t xml:space="preserve">Third parties are one of the most significant and least controllable sources of information security risk. When a vendor's systems are compromised, or when a vendor mishandles data, the impact falls on [Company Name] — legally, regulatorily, and reputationally. [Company Name] cannot outsource its regulatory obligations to a vendor. A vendor processing personal data on [Company Name]'s behalf is processing it under [Company Name]'s legal responsibility. A vendor maintaining a GxP system must maintain it in a way that preserves its validated state.</w:t>
      </w:r>
    </w:p>
    <w:p>
      <w:pPr>
        <w:spacing w:before="60" w:after="0"/>
      </w:pPr>
      <w:r>
        <w:t xml:space="preserve"/>
      </w:r>
    </w:p>
    <w:p>
      <w:pPr>
        <w:spacing w:before="80" w:after="80"/>
      </w:pPr>
      <w:r>
        <w:rPr>
          <w:rFonts w:ascii="Arial" w:cs="Arial" w:eastAsia="Arial" w:hAnsi="Arial"/>
          <w:color w:val="333333"/>
          <w:sz w:val="22"/>
          <w:szCs w:val="22"/>
        </w:rPr>
        <w:t xml:space="preserve">The risk tier applied to a vendor is determined primarily by the criticality tier and regulatory flags of the systems they access or host. A vendor with administrative access to a Tier 1 GxP system receives the same level of scrutiny as that system itself — because the vendor's security posture is, in effect, part of that system's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No third party may access [Company Name] systems, process [Company Name] data, or be given information classified as Sensitive or above, until the requirements of this Policy have been satisfied. There is no provisional or trial access exception. Procurement must engage Information Security before any vendor engagement that involves system access or data processing is agreed.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third-party relationships involving any of the following:</w:t>
      </w:r>
    </w:p>
    <w:p>
      <w:pPr>
        <w:pStyle w:val="ListParagraph"/>
        <w:numPr>
          <w:ilvl w:val="0"/>
          <w:numId w:val="2"/>
        </w:numPr>
        <w:spacing w:before="60" w:after="60"/>
      </w:pPr>
      <w:r>
        <w:rPr>
          <w:rFonts w:ascii="Arial" w:cs="Arial" w:eastAsia="Arial" w:hAnsi="Arial"/>
          <w:color w:val="333333"/>
          <w:sz w:val="22"/>
          <w:szCs w:val="22"/>
        </w:rPr>
        <w:t xml:space="preserve">Access to [Company Name] systems or networks — including remote access, on-site access, and access via APIs or integrations</w:t>
      </w:r>
    </w:p>
    <w:p>
      <w:pPr>
        <w:pStyle w:val="ListParagraph"/>
        <w:numPr>
          <w:ilvl w:val="0"/>
          <w:numId w:val="2"/>
        </w:numPr>
        <w:spacing w:before="60" w:after="60"/>
      </w:pPr>
      <w:r>
        <w:rPr>
          <w:rFonts w:ascii="Arial" w:cs="Arial" w:eastAsia="Arial" w:hAnsi="Arial"/>
          <w:color w:val="333333"/>
          <w:sz w:val="22"/>
          <w:szCs w:val="22"/>
        </w:rPr>
        <w:t xml:space="preserve">Processing of [Company Name] data — including personal data, GxP records, financial data, and Confidential or above classified information</w:t>
      </w:r>
    </w:p>
    <w:p>
      <w:pPr>
        <w:pStyle w:val="ListParagraph"/>
        <w:numPr>
          <w:ilvl w:val="0"/>
          <w:numId w:val="2"/>
        </w:numPr>
        <w:spacing w:before="60" w:after="60"/>
      </w:pPr>
      <w:r>
        <w:rPr>
          <w:rFonts w:ascii="Arial" w:cs="Arial" w:eastAsia="Arial" w:hAnsi="Arial"/>
          <w:color w:val="333333"/>
          <w:sz w:val="22"/>
          <w:szCs w:val="22"/>
        </w:rPr>
        <w:t xml:space="preserve">Hosting or operating systems on [Company Name]'s behalf — including SaaS, PaaS, IaaS, and managed service providers</w:t>
      </w:r>
    </w:p>
    <w:p>
      <w:pPr>
        <w:pStyle w:val="ListParagraph"/>
        <w:numPr>
          <w:ilvl w:val="0"/>
          <w:numId w:val="2"/>
        </w:numPr>
        <w:spacing w:before="60" w:after="60"/>
      </w:pPr>
      <w:r>
        <w:rPr>
          <w:rFonts w:ascii="Arial" w:cs="Arial" w:eastAsia="Arial" w:hAnsi="Arial"/>
          <w:color w:val="333333"/>
          <w:sz w:val="22"/>
          <w:szCs w:val="22"/>
        </w:rPr>
        <w:t xml:space="preserve">Maintaining, supporting, or modifying systems that hold [Company Name] data — including software vendors providing patches, upgrades, and configuration services</w:t>
      </w:r>
    </w:p>
    <w:p>
      <w:pPr>
        <w:pStyle w:val="ListParagraph"/>
        <w:numPr>
          <w:ilvl w:val="0"/>
          <w:numId w:val="2"/>
        </w:numPr>
        <w:spacing w:before="60" w:after="60"/>
      </w:pPr>
      <w:r>
        <w:rPr>
          <w:rFonts w:ascii="Arial" w:cs="Arial" w:eastAsia="Arial" w:hAnsi="Arial"/>
          <w:color w:val="333333"/>
          <w:sz w:val="22"/>
          <w:szCs w:val="22"/>
        </w:rPr>
        <w:t xml:space="preserve">Providing personnel (contractors, consultants) who work within [Company Name]'s technology environment</w:t>
      </w:r>
    </w:p>
    <w:p>
      <w:pPr>
        <w:spacing w:before="60" w:after="0"/>
      </w:pPr>
      <w:r>
        <w:t xml:space="preserve"/>
      </w:r>
    </w:p>
    <w:p>
      <w:pPr>
        <w:spacing w:before="80" w:after="80"/>
      </w:pPr>
      <w:r>
        <w:rPr>
          <w:rFonts w:ascii="Arial" w:cs="Arial" w:eastAsia="Arial" w:hAnsi="Arial"/>
          <w:color w:val="333333"/>
          <w:sz w:val="22"/>
          <w:szCs w:val="22"/>
        </w:rPr>
        <w:t xml:space="preserve">The Policy applies from the pre-engagement assessment stage through the full lifecycle of the vendor relationship to offboarding. It applies regardless of whether the third party is a large enterprise, a small specialist, or an individual consultant.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Vendor Risk Tiering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Vendors are assigned a risk tier based on the highest-risk system they access or the highest-sensitivity data they process. The vendor risk tier determines the depth of pre-engagement assessment, the contractual requirements, and the ongoing monitoring frequency.</w:t>
      </w:r>
    </w:p>
    <w:p>
      <w:pPr>
        <w:spacing w:before="8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Vendor Tier</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Criteria</w:t>
            </w:r>
          </w:p>
        </w:tc>
        <w:tc>
          <w:tcPr>
            <w:tcW w:type="dxa" w:w="5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 —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hosts or has administrative access to a Tier 1 or GxP-flagged system. OR vendor processes Special Category personal data, PHI, or clinical trial participant data. OR vendor is a critical dependency in the supply chain for a regulated product or process.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LIMS provider with hosting; clinical data management platform; ERP managed service provider; GxP system validation consultant with system access.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B — High</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has access to a Tier 2 system or SOX-scoped system. OR vendor processes Confidential or Sensitive Personal Data (Tier 3/4) at scale. OR vendor provides infrastructure on which Tier 1/2 systems run.</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HRMS SaaS provider; cloud infrastructure provider; QMS platform; SOC/SIEM managed service; penetration testing firm.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C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has access to Tier 3 systems only. OR vendor processes Internal Use data. OR vendor provides personnel (contractors/consultants) working in the IT environment without system-level access.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management SaaS; IT staffing agency; software licence reseller with limited support access; non-critical SaaS tools.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D — Low</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has no access to [Company Name] systems and processes only publicly available or anonymised information. OR vendor provides physical goods or services with no technology component.</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Office supply vendor; facilities management (no IT access); public relations agency with no data access.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Vendor tier must be assessed at engagement initiation and reviewed whenever the scope of the vendor relationship changes. A Tier C vendor that is subsequently granted access to a Tier 1 system must be re-tiered to Tier A and the full Tier A requirements satisfied before the expanded access is granted.</w:t>
            </w:r>
          </w:p>
        </w:tc>
      </w:tr>
    </w:tbl>
    <w:p>
      <w:r>
        <w:br w:type="page"/>
      </w:r>
    </w:p>
    <w:p>
      <w:pPr>
        <w:pStyle w:val="Heading1"/>
        <w:spacing w:before="360" w:after="120"/>
      </w:pPr>
      <w:r>
        <w:rPr>
          <w:rFonts w:ascii="Arial" w:cs="Arial" w:eastAsia="Arial" w:hAnsi="Arial"/>
          <w:b/>
          <w:bCs/>
          <w:color w:val="1B2A4A"/>
          <w:sz w:val="36"/>
          <w:szCs w:val="36"/>
        </w:rPr>
        <w:t xml:space="preserve">4.  Pre-Engagement Assessment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No vendor engagement involving system access or data processing may proceed without a completed pre-engagement assessment. The depth of assessment is determined by vendor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400"/>
        <w:gridCol w:w="17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Component</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B</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C</w:t>
            </w:r>
          </w:p>
        </w:tc>
        <w:tc>
          <w:tcPr>
            <w:tcW w:type="dxa" w:w="1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questionnaire
(vendor's own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detailed (ISO 27001 or NIST CSF aligned, minimum 50 questions)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standard (25+ questions)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abbreviated (15 questions)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of information security certification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certification or SOC 2 Type II report required. GxP vendors: evidence of GxP compliance programme.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or SOC 2 Type II required, or equivalent evidence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Self-attestation acceptable with spot-check</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Penetration test results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 must be within 12 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 must be within 24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compliance assessment (if personal data processed)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DPIA for the processing activity (SOP-004). DPA mandatory before engagement.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Processing Agreement (DPA) mandatory before engagement.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mandatory if personal data processed.</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Business Associate Agreement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PHI processed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PHI processed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PHI processed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applicable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Vendor Qualification per Section 7. Evidence entered in VMF before system access granted.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 unless GxP system access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and reputational due diligence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 assess vendor viability and reputation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 fourth-party mapping</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 identify all sub-processors who will access [Company Name] data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for key sub-processors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bl>
    <w:p>
      <w:pPr>
        <w:spacing w:before="80" w:after="0"/>
      </w:pPr>
      <w:r>
        <w:t xml:space="preserve"/>
      </w:r>
    </w:p>
    <w:p>
      <w:pPr>
        <w:spacing w:before="80" w:after="80"/>
      </w:pPr>
      <w:r>
        <w:rPr>
          <w:rFonts w:ascii="Arial" w:cs="Arial" w:eastAsia="Arial" w:hAnsi="Arial"/>
          <w:color w:val="333333"/>
          <w:sz w:val="22"/>
          <w:szCs w:val="22"/>
        </w:rPr>
        <w:t xml:space="preserve">Assessment findings are documented in the Vendor Risk Register. The Sponsor (the internal employee requesting the vendor engagement) is responsible for initiating the assessment. Information Security conducts the assessment and produces the assessment report. The CIO (Tier A) or Information Security (Tier B/C) approves engagement based on the assessment outcome.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Contractual and Legal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Contractual protections must be in place before any vendor access or data processing begins. The specific requirements depend on vendor tier and data types involved.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200"/>
        <w:gridCol w:w="28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Contractual Requirement</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B</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C</w:t>
            </w:r>
          </w:p>
        </w:tc>
        <w:tc>
          <w:tcPr>
            <w:tcW w:type="dxa" w:w="2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Applicable When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Schedule / Annex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detailed IS obligations including incident notification SLA, access controls, encryption standards, audit rights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standard IS schedule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 with system or data access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Processing Agreement (DPA)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(GDPR Art. 28)</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personal data processed</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personal data processed</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processing of EU/UK personal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Associate Agreement (BAA)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PHI processed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PHI processed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processing of US PHI</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Confidentiality / NDA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before any data sharing</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sharing Confidential or above information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audit clause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[Company Name] right to conduct or commission security audit at reasonable notice (minimum annual for Tier 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request audit evidence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Spot-check rights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A/B mandatory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notification SLA</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vendor must notify [Company Name] within 24 hours of confirmed or suspected breach affecting [Company Name] data</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48 hours</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 with data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restrictions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vendor must seek [Company Name] approval before engaging subprocessors with access to [Company Name]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Prior written notice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required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 processing personal data</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return / destruction on termination</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vendor must return or destroy all [Company Name] data within 30 days of termination, with written confirmation</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if personal data</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 with data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Governing law and jurisdiction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Consistent with GDPR transfer restrictions — SCCs, adequacy decision, or IDTA required for international transfers of EU/UK personal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cross-border personal data processing</w:t>
            </w:r>
          </w:p>
        </w:tc>
      </w:tr>
    </w:tbl>
    <w:p>
      <w:r>
        <w:br w:type="page"/>
      </w:r>
    </w:p>
    <w:p>
      <w:pPr>
        <w:pStyle w:val="Heading1"/>
        <w:spacing w:before="360" w:after="120"/>
      </w:pPr>
      <w:r>
        <w:rPr>
          <w:rFonts w:ascii="Arial" w:cs="Arial" w:eastAsia="Arial" w:hAnsi="Arial"/>
          <w:b/>
          <w:bCs/>
          <w:color w:val="1B2A4A"/>
          <w:sz w:val="36"/>
          <w:szCs w:val="36"/>
        </w:rPr>
        <w:t xml:space="preserve">6.  Ongoing Vendor Monitoring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Vendor risk is not static. A vendor that passed pre-engagement assessment may experience a security breach, change ownership, expand sub-processor use, or undergo certification lapse. Ongoing monitoring ensures the risk profile remains current throughout the relationship.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200"/>
        <w:gridCol w:w="25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Monitoring Activity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B</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C</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vendor review
(reassess risk, review controls evidence)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full reassessment including updated security evidence and re-execution of assessment questionnaire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standard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Biennial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Sponsor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SOC 2 Type II / ISO 27001 certificate renewal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annual renewal — gap in certification is a risk event requiring immediate assessment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on renewal cycle</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 Information Security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incident monitoring
(public breach disclosures, CVE affecting vendor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 Information Security monitors threat intelligence feeds for Tier A vendor breach notifications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Periodic — reviewed at annual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Sub-processor change approval</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prior approval by [Company Name] before any sub-processor change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+ 30-day objection window</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 Information Security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(accounts, permissions)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for privileged accounts (per POL-009); quarterly for standard access (per POL-008)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review
(DPA, BAA, IS schedule currency)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 each annual review and on contract renewal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 contract renewal</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At contract renewal</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Information Security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financial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 flag vendors with viability risk for Tier A critical dependencies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 material adverse news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Procurement / CIO</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6.1  Vendor Risk Register</w:t>
      </w:r>
    </w:p>
    <w:p>
      <w:pPr>
        <w:spacing w:before="80" w:after="80"/>
      </w:pPr>
      <w:r>
        <w:rPr>
          <w:rFonts w:ascii="Arial" w:cs="Arial" w:eastAsia="Arial" w:hAnsi="Arial"/>
          <w:color w:val="333333"/>
          <w:sz w:val="22"/>
          <w:szCs w:val="22"/>
        </w:rPr>
        <w:t xml:space="preserve">Information Security maintains a Vendor Risk Register as part of the broader IS Risk Register (POL-010). The Vendor Risk Register records all in-scope vendor relationships with their assigned tier, assessment status, contractual status, and any open risk findings. It is reviewed at each ISSG meeting.</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7.  GxP Vendor Qualification (Tier A — GxP System Suppliers)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EU Annex 11 §4 and 21 CFR Part 11 require that computer system suppliers used in GxP activities are assessed for their suitability. A vendor supplying, hosting, or maintaining a GxP-validated system must be qualified before the system can be used for regulated activities, and that qualification must be maintained throughout the relationship.</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Qualification Step</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in VMF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assessment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Assessment of the vendor's software development lifecycle (SDLC), quality management system, change control processes, and GxP compliance programme. Conducted using a supplier audit questionnaire and, for critical systems, an on-site or remote audit. The assessment confirms the vendor operates controls sufficient to deliver a product suitable for GxP 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Assessment Report signed by Compliance / QA and System Owner.</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agreement</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Technical Agreement (or equivalent) between [Company Name] and the vendor governing: the vendor's SDLC and validation obligations; notification requirements for software updates and patches; support and maintenance SLAs; obligation to provide change documentation for all software changes affecting validated functionality; obligations on sub-contracting of GxP-relevant activities.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Executed Technical Agreement reference in VMF.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notification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vendor must notify [Company Name] of any planned changes to the validated system — software versions, infrastructure, configuration — in sufficient time for [Company Name] to conduct a validation impact assessment under POL-006 / POL-007 before the change is applied. Emergency changes by the vendor require the same POL-007 emergency change assessment retrospectively.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change notification records filed in VMF as change events.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Ongoing qualification maintenance</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qualification is reviewed annually and updated whenever a major change occurs (new software version, change in hosting environment, change in vendor ownership or key personnel). A change in vendor that is material to the validated system is treated as a Major Impact change under POL-006 and may require re-qualification.</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Vendor Qualification Review record in VMF.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Dequalification / Offboarding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a GxP system vendor relationship ends: a Validation Closure Report must be completed per POL-006 before the system is decommissioned or migrated to a new vendor. All VMF documentation must be archived per POL-002.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Closure Report in VMF on offboarding.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Regulators assess vendor qualification during GxP inspections. The question 'how do you ensure your software supplier operates appropriate controls?' requires a documented vendor qualification file in the VMF, a Technical Agreement, and evidence of periodic review. A verbal response is not acceptable evidence.</w:t>
            </w:r>
          </w:p>
        </w:tc>
      </w:tr>
    </w:tbl>
    <w:p>
      <w:r>
        <w:br w:type="page"/>
      </w:r>
    </w:p>
    <w:p>
      <w:pPr>
        <w:pStyle w:val="Heading1"/>
        <w:spacing w:before="360" w:after="120"/>
      </w:pPr>
      <w:r>
        <w:rPr>
          <w:rFonts w:ascii="Arial" w:cs="Arial" w:eastAsia="Arial" w:hAnsi="Arial"/>
          <w:b/>
          <w:bCs/>
          <w:color w:val="1B2A4A"/>
          <w:sz w:val="36"/>
          <w:szCs w:val="36"/>
        </w:rPr>
        <w:t xml:space="preserve">8.  International Data Transfers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Where a vendor processes personal data of EU or UK data subjects outside the EU/UK (or transfers it to a country without an adequacy decision), an appropriate transfer mechanism must be in place before the data transfer occurs. This is a legal prerequisite — not a contractual preference.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Transfer Mechanism</w:t>
            </w:r>
          </w:p>
        </w:tc>
        <w:tc>
          <w:tcPr>
            <w:tcW w:type="dxa" w:w="6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Applicable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EU Standard Contractual Clauses (SCCs)
(European Commission 2021 SCCs)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transfers from the EU to third countries without an adequacy decision. SCCs are incorporated into the DPA. A Transfer Impact Assessment (TIA) is required for transfers to high-risk jurisdictions.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UK International Data Transfer Agreement (IDTA)</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transfers from the UK to countries without a UK adequacy decision. Required in addition to or instead of EU SCCs for UK personal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Adequacy decision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the destination country has an EU or UK adequacy decision in force, no additional mechanism is required. The DPO maintains the list of current adequacy decisions.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Binding Corporate Rules (BCRs)</w:t>
            </w:r>
          </w:p>
        </w:tc>
        <w:tc>
          <w:tcPr>
            <w:tcW w:type="dxa" w:w="6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intra-group transfers within multinational vendor organisations that have ICO/DPA-approved BCRs. The vendor must provide evidence of current BCR approval.</w:t>
            </w:r>
          </w:p>
        </w:tc>
      </w:tr>
    </w:tbl>
    <w:p>
      <w:pPr>
        <w:spacing w:before="60" w:after="0"/>
      </w:pPr>
      <w:r>
        <w:t xml:space="preserve"/>
      </w:r>
    </w:p>
    <w:p>
      <w:pPr>
        <w:spacing w:before="80" w:after="80"/>
      </w:pPr>
      <w:r>
        <w:rPr>
          <w:rFonts w:ascii="Arial" w:cs="Arial" w:eastAsia="Arial" w:hAnsi="Arial"/>
          <w:color w:val="333333"/>
          <w:sz w:val="22"/>
          <w:szCs w:val="22"/>
        </w:rPr>
        <w:t xml:space="preserve">The DPO is responsible for assessing the appropriateness of transfer mechanisms and for maintaining the Record of Processing Activities (ROPA) entries for cross-border processing. Legal must be engaged before any new international transfer mechanism is executed. No personal data transfer to a third country may begin until the transfer mechanism is documented and signed.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Vendor Offboarding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Vendor offboarding is a controlled process — not simply the expiry of a contract. The following steps must be completed for all Tier A and Tier B vendors, and adapted proportionately for Tier 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Offboarding Step</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revocation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vendor accounts (user, service, API) are revoked by end of the final day of engagement. For privileged vendor accounts on Tier 1 systems: immediate revocation on confirmation of termination. Information Security confirms revocation within 24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Data Custodian (IT)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rotation</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Shared credentials or API keys used by the vendor are rotated immediately on offboarding. System passwords changed where vendor had access to shared system accounts.</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return or destruction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returns or destroys all [Company Name] data per the contractual data return / destruction clause. Vendor provides written certification of destruction within 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 Legal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validation closure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A GxP vendors: complete Validation Closure Report per POL-006 before system is decommissioned or transitioned to replacement vendor.</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 System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 BAA termination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that the DPA/BAA termination and data destruction provisions have been triggered and data destruction confirmation received. DPO signs off.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Register update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Mark vendor as offboarded in Vendor Risk Register. Archive all assessment, audit, and contract documentation per POL-002 (7-year retention for SOX-scoped vendors; GxP retention for GxP-qualified vendors).</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Lessons learned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Tier A vendors: conduct a brief post-relationship assessment — was the vendor's risk tier correct? Were there incidents or near-misses? Feed findings into Vendor Risk Register and procurement guidance.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Third-Party Security Incidents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When a vendor experiences a security incident that affects or potentially affects [Company Name] data or system access, [Company Name] treats this as a security incident under POL-012. The vendor's notification SLA (Section 5) triggers [Company Name]'s own incident response process.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On receiving a vendor breach notification: the Sponsor notifies Information Security immediately. Information Security assesses whether [Company Name] data or systems are affected.</w:t>
      </w:r>
    </w:p>
    <w:p>
      <w:pPr>
        <w:pStyle w:val="ListParagraph"/>
        <w:numPr>
          <w:ilvl w:val="0"/>
          <w:numId w:val="2"/>
        </w:numPr>
        <w:spacing w:before="60" w:after="60"/>
      </w:pPr>
      <w:r>
        <w:rPr>
          <w:rFonts w:ascii="Arial" w:cs="Arial" w:eastAsia="Arial" w:hAnsi="Arial"/>
          <w:color w:val="333333"/>
          <w:sz w:val="22"/>
          <w:szCs w:val="22"/>
        </w:rPr>
        <w:t xml:space="preserve">If [Company Name] data is confirmed or suspected to be affected: POL-012 incident process is initiated with the DPO notified for GDPR/HIPAA assessment. The 72-hour GDPR notification clock runs from [Company Name]'s awareness, not the vendor's notification date.</w:t>
      </w:r>
    </w:p>
    <w:p>
      <w:pPr>
        <w:pStyle w:val="ListParagraph"/>
        <w:numPr>
          <w:ilvl w:val="0"/>
          <w:numId w:val="2"/>
        </w:numPr>
        <w:spacing w:before="60" w:after="60"/>
      </w:pPr>
      <w:r>
        <w:rPr>
          <w:rFonts w:ascii="Arial" w:cs="Arial" w:eastAsia="Arial" w:hAnsi="Arial"/>
          <w:color w:val="333333"/>
          <w:sz w:val="22"/>
          <w:szCs w:val="22"/>
        </w:rPr>
        <w:t xml:space="preserve">If [Company Name] systems are affected: POL-012 IRT is activated; vendor access to [Company Name] systems is suspended pending investigation.</w:t>
      </w:r>
    </w:p>
    <w:p>
      <w:pPr>
        <w:pStyle w:val="ListParagraph"/>
        <w:numPr>
          <w:ilvl w:val="0"/>
          <w:numId w:val="2"/>
        </w:numPr>
        <w:spacing w:before="60" w:after="60"/>
      </w:pPr>
      <w:r>
        <w:rPr>
          <w:rFonts w:ascii="Arial" w:cs="Arial" w:eastAsia="Arial" w:hAnsi="Arial"/>
          <w:color w:val="333333"/>
          <w:sz w:val="22"/>
          <w:szCs w:val="22"/>
        </w:rPr>
        <w:t xml:space="preserve">For Tier A GxP vendors: Compliance / QA is notified immediately. Any vendor incident affecting a GxP system is assessed for impact on validated state per POL-006.</w:t>
      </w:r>
    </w:p>
    <w:p>
      <w:pPr>
        <w:pStyle w:val="ListParagraph"/>
        <w:numPr>
          <w:ilvl w:val="0"/>
          <w:numId w:val="2"/>
        </w:numPr>
        <w:spacing w:before="60" w:after="60"/>
      </w:pPr>
      <w:r>
        <w:rPr>
          <w:rFonts w:ascii="Arial" w:cs="Arial" w:eastAsia="Arial" w:hAnsi="Arial"/>
          <w:color w:val="333333"/>
          <w:sz w:val="22"/>
          <w:szCs w:val="22"/>
        </w:rPr>
        <w:t xml:space="preserve">Vendor breach notifications must be retained as part of the IS Risk Register and incorporated into the next annual vendor review.</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Legal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co-owners. CIO approves Tier A vendor engagements. Legal reviews and executes DPAs, BAAs, SCCs, and Technical Agreements. Legal assesses international transfer mechanisms.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Conducts vendor risk assessments. Maintains Vendor Risk Register. Reviews assessment questionnaires. Confirms access revocation on offboarding. Monitors threat intelligence for Tier A vendor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Procurement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Engages Information Security before any vendor contract with system access or data processing scope. Does not execute vendor contracts without Information Security sign-off on risk assessment completion.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internal employee requesting the vendor engagement. Initiates the risk assessment process. Takes accountability for the ongoing appropriateness of the vendor relationship. Notifies Information Security immediately on vendor incidents or scope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GDPR compliance for all vendor engagements involving personal data. Reviews and countersigns DPAs. Maintains ROPA entries for vendor processing. Manages international transfer mechanism documentation. Signs off data destruction confirmation on offboarding.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GxP vendor qualification. Signs off VMF documentation. Reviews Technical Agreements for GxP adequacy. Confirms validated state after vendor changes to GxP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Ensures vendor access to their system is within scope of the vendor risk assessment. Confirms access levels are consistent with the approved vendor tier. Conducts access reviews for vendor accounts per POL-008/POL-009.</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Classification of data shared with vendors determines vendor tier and contractual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28 DPA and HIPAA BAA requirements; international transfer mechanisms; DPIA for new processing activities by vendors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criticality tier and GxP/SOX flags are primary inputs to vendor risk tier assignment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qualification is a VMF requirement; Technical Agreement and Supplier Assessment Report are VMF components; vendor change notification requirements feed the validation impact assessment process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changes to GxP or Tier 1/2 systems are governed by POL-007; vendor change notifications trigger validation impact assessment; Technical Agreement must specify vendor change notification timelines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user accounts are governed by POL-008 — named individual accounts, time-limited access, quarterly reviews for Tier A; offboarding access revocation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privileged access is governed by POL-009 — session recording, supervision for Tier 1/GxP, time-limited activation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risks are a distinct sub-category in the IS Risk Register; Material Tier A vendor risks are escalated to ISSG; vendor incidents create or update Risk Register entries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breach notifications trigger POL-012 IR process; 72-hour GDPR clock runs from [Company Name] awareness; vendor access suspended during investigation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data destruction confirmation retained per POL-002; VMF vendor qualification records retained for GxP retention period; SOX vendor records retained 7 years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for new vendor processing activities; DPA template and negotiation guidance; international transfer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engagement exceptions (e.g., limited access before full assessment) are high-risk under EXC-001 — require CISO approval and real-time session supervision; 6-month maximum; GxP vendor qualification exceptions require Compliance/QA and VMF documentation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management accountability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BAA (Business Associate Agreement)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contract required by HIPAA between a covered entity (or business associate) and a business associate that creates, receives, maintains, or transmits PHI on its behalf.</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(Data Processing Agreement)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contract required by GDPR Article 28 between a controller and a processor, governing the terms under which the processor handles personal data on behalf of the controller.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Fourth Party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sub-processor engaged by a vendor (third party) to perform processing activities on behalf of the vendor that involve [Company Name] data.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SCCs (Standard Contractual Clauses)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Contractual clauses approved by the European Commission for use as a legal basis for transfers of personal data from the EU to third countries without an adequacy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SOC 2 Type II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report produced by an independent auditor assessing a service organisation's controls relevant to security, availability, processing integrity, confidentiality, and privacy, over a defined period (typically 12 months).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internal [Company Name] employee who requests a vendor engagement and takes accountability for the appropriateness and ongoing management of that relationship.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Agreement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GxP-specific agreement between a regulated company and a computer system supplier defining the supplier's obligations regarding software development, validation support, change management, and GxP compliance.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Impact Assessment (TIA)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assessment conducted before transferring personal data to a third country under SCCs, evaluating whether the legal framework in the destination country undermines the protection provided by the SCCs.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Qualification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GxP-specific process of assessing and documenting a supplier's suitability to supply, maintain, or host a computer system used in regulated activities.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POL-013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THIRD PARTY AND VENDOR RISK POLICY  |  POL-013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2026-03-07T19:10:59.121Z</dcterms:created>
  <dcterms:modified xsi:type="dcterms:W3CDTF">2026-03-07T19:10:59.121Z</dcterms:modified>
</cp:coreProperties>
</file>

<file path=docProps/custom.xml><?xml version="1.0" encoding="utf-8"?>
<Properties xmlns="http://schemas.openxmlformats.org/officeDocument/2006/custom-properties" xmlns:vt="http://schemas.openxmlformats.org/officeDocument/2006/docPropsVTypes"/>
</file>