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2880" w:after="0"/>
      </w:pPr>
    </w:p>
    <w:p>
      <w:pPr>
        <w:shd w:fill="1B2A4A" w:val="clear"/>
        <w:spacing w:before="0" w:after="0"/>
        <w:ind w:left="144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CRYPTOGRAPHY AND KEY MANAGEMENT POLICY</w:t>
      </w:r>
    </w:p>
    <w:p>
      <w:pPr>
        <w:shd w:fill="1B2A4A" w:val="clear"/>
        <w:spacing w:before="40" w:after="0"/>
        <w:ind w:left="1440"/>
      </w:pPr>
      <w:r>
        <w:rPr>
          <w:rFonts w:ascii="Arial" w:cs="Arial" w:eastAsia="Arial" w:hAnsi="Arial"/>
          <w:i/>
          <w:iCs/>
          <w:color w:val="D6E4F7"/>
          <w:sz w:val="24"/>
          <w:szCs w:val="24"/>
        </w:rPr>
        <w:t xml:space="preserve">POL-018  |  Policy  |  Part of the Information Management Framework</w:t>
      </w:r>
    </w:p>
    <w:p>
      <w:pPr>
        <w:spacing w:before="240" w:after="0"/>
      </w:pPr>
      <w:r>
        <w:t xml:space="preserve"/>
      </w:r>
    </w:p>
    <w:p>
      <w:pPr>
        <w:pBdr>
          <w:top w:val="single" w:color="2E5EA8" w:sz="6"/>
        </w:pBdr>
        <w:shd w:fill="1B2A4A" w:val="clear"/>
        <w:spacing w:before="0" w:after="0"/>
      </w:pPr>
    </w:p>
    <w:p>
      <w:pPr>
        <w:spacing w:before="240" w:after="0"/>
      </w:pPr>
      <w:r>
        <w:t xml:space="preserve"/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Document ID: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POL-018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1.0 — DRAFT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Classification: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Internal Use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Owner: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CISO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Co-Owner: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CIO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Effective Date: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[DATE]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Review Date: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[DATE + 1 Year]</w:t>
      </w:r>
    </w:p>
    <w:p>
      <w:pPr>
        <w:spacing w:before="2880" w:after="0"/>
      </w:pPr>
      <w:r>
        <w:t xml:space="preserve"/>
      </w:r>
    </w:p>
    <w:p>
      <w:pPr>
        <w:shd w:fill="2E5EA8" w:val="clear"/>
        <w:spacing w:before="0" w:after="0"/>
        <w:ind w:left="1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Document Control</w:t>
      </w:r>
    </w:p>
    <w:p>
      <w:pPr>
        <w:pBdr>
          <w:bottom w:val="single" w:color="2E5EA8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Cryptography and Key Management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IMF-001 — Information Management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POL-001 (Data Classification), POL-008 (Access Control), POL-009 (PAM), POL-014 (Audit Trail), POL-016 (Backup Management), POL-017 (Vulnerability Management), SOP-018 (Cryptography Process), EXC-001, RACI-001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[Approver Name and Title]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[DATE + 1 Year]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[Author]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[Author]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Issued for review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 Purpose and Scope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policy establishes the mandatory requirements for the use of cryptography at [Company Name] — covering approved algorithms, key lifecycle management (generation, storage, rotation, escrow, and destruction), certificate management, and HSM governance. Cryptography is a foundational control that underpins encryption at rest (POL-016), encryption in transit, PAM secrets management (POL-009), GxP audit trail integrity (POL-014), and the access control mechanisms in POL-008. Without a governing framework, each of these documents imposes encryption requirements that may be implemented inconsistently, use deprecated algorithms, or leave encryption keys inadequately protected.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policy applies to all cryptographic implementations at [Company Name]: data encryption at rest and in transit, digital signatures, certificate-based authentication, password hashing, secrets management (API keys, service account credentials, tokens), and any cryptographic function in GxP validated systems. It applies to all system tiers and all data classifications.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4A00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cryptographic control is only as strong as its key management. AES-256 encryption with a key stored in a plaintext configuration file on the same server is not encryption — it is the appearance of encryption. This policy treats key management as the primary cryptographic risk, not algorithm selection.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 Approved Cryptographic Algorithms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algorithms are approved for use at [Company Name]. Unapproved algorithms must not be introduced without a formal exception (EXC-001) reviewed by Information Security and approved by CISO. Use of prohibited algorithms on any in-scope system is a policy violation regardless of whether the data being protected is currently classified as sensitive.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2.1  Symmetric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Length</w:t>
            </w:r>
          </w:p>
        </w:tc>
        <w:tc>
          <w:tcPr>
            <w:tcW w:type="dxa" w:w="3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Use</w:t>
            </w:r>
          </w:p>
        </w:tc>
        <w:tc>
          <w:tcPr>
            <w:tcW w:type="dxa" w:w="3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AES-GCM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256-bit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Preferred. Data at rest (all tiers), data in transit where TLS is not applicable, backup encryption, full-disk encryption.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Authenticated encryption — provides both confidentiality and integrity. Preferred over AES-CBC.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AES-CBC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256-bit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Acceptable. Legacy system compatibility where AES-GCM is not supported.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use a random IV per encryption operation. Not preferred for new implementations.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128-bit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 for Tier 3/4 data at rest only. Not approved for GxP, Tier 1, or Tier 2.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128-bit provides adequate security for low-sensitivity data but is not future-proof. New implementations should use 256-bit.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3DES / DES / RC4 / Blowfish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PROHIBITED.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Deprecated. Not approved under any circumstances. Systems using these algorithms must be remediated as a High vulnerability (POL-017).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2.2  Asymmetric Encryption and Key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Length / Curve</w:t>
            </w:r>
          </w:p>
        </w:tc>
        <w:tc>
          <w:tcPr>
            <w:tcW w:type="dxa" w:w="2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Use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4096-bit minimum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exchange, digital signatures, certificate keys.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2048-bit RSA is acceptable only for legacy compatibility — new implementations must use 4096-bit minimum or ECC equivalent.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ECDSA / ECDH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P-256 (NIST), P-384 preferred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signatures, key exchange, TLS certificates.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P-384 preferred for Tier 1 and GxP. P-256 acceptable for Tier 2 and below.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Ed25519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256-bit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keys, digital signatures.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 for SSH key pairs (SOP-009 PAM managed).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RSA &lt; 2048 / DSA / DH &lt; 2048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PROHIBITED.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Deprecated. Systems using these must be remediated as a High vulnerability (POL-017).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2.3  Hashing and Message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Use</w:t>
            </w:r>
          </w:p>
        </w:tc>
        <w:tc>
          <w:tcPr>
            <w:tcW w:type="dxa" w:w="3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SHA-256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Integrity verification, digital signatures, certificate fingerprints.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for all uses.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SHA-384 / SHA-512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 for Tier 1, GxP, and SOX ITGC integrity functions.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where performance permits.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HMAC-SHA-256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authentication codes, API request signing, audit trail integrity tokens.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/ scrypt / Argon2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hashing only.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cost factor: bcrypt cost 12; scrypt N=16384; Argon2id with recommended parameters. Never store passwords as plaintext or reversible encrypted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SHA-1 / MD5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PROHIBITED except for non-security-relevant checksums (file transfer verification only, not integrity assurance).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SHA-1 and MD5 are cryptographically broken for integrity or authentication purposes. Any use for security functions is a policy violation.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2.4  Transport Layer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 for all new implementations.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Mandatory for Tier 1 and GxP external-facing endpoints.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Acceptable. Required minimum for all in-scope systems.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Cipher suite restrictions: only AEAD ciphers (AES-GCM). No RC4, no 3DES, no CBC in TLS 1.2 where TLS 1.3 is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1.1 / TLS 1.0 / 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PROHIBITED.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Systems still serving TLS 1.1, 1.0, or SSL are a High vulnerability (POL-017).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Self-signed certificates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Permitted only in isolated development/test environments. Not permitted in production.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systems must use certificates issued by the [Company Name] CA or an approved public CA.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 Key Management Lifecycle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cryptographic key lifecycle has six phases: generation, distribution, storage, use, rotation, and destruction. Each phase has mandatory requirements. A failure in any single phase can nullify the security provided by the strongest algorithm.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3.1  Key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Entropy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cryptographic keys must be generated using a cryptographically secure random number generator (CSPRNG). Key generation on HSM hardware is preferred — HSMs provide hardware entropy sources that are preferable to software CSPRNGs.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Generation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Symmetric keys for Tier 1 and GxP systems: generated on the HSM. Keys must not be generated in environments where they may be logged, captured in debug output, or stored in volatile memory accessible to untrusted processes.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Section 2. Key lengths below the approved minimums must not be used regardless of algorithm.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key must be documented in the Key Register (SOP-018): key ID, key type, algorithm, length, owner system, generation date, rotation schedule, and custodians.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3.2  Key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6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and GxP system encryption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Security Module (HSM). Cloud HSM (AWS CloudHSM, Azure Dedicated HSM, or equivalent) or on-premises FIPS 140-2 Level 3 HSM. Keys must not be exported from the HSM in plaintext under any circumstances.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 system encryption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 preferred. Software-based key management service (AWS KMS, Azure Key Vault, GCP Cloud KMS) acceptable where HSM is not feasible — access logging enabled, key material never exported to application memory.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3 / Tier 4 system encryption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 key management service. Never hardcoded in source code, configuration files, environment variables in plaintext, or version control systems.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encryption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HSM. Separate HSM or HSM partition from the primary system encryption keys — a compromise of the primary system must not simultaneously expose the backup encryption keys (POL-016 requirement).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PAM-managed secrets (API keys, service account credentials, tokens)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PAM platform (SOP-009). Not stored in any other location.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private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 or hardware security key (FIDO2). Where software storage is unavoidable: encrypted key file with strong passphrase stored in PAM.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signing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HSM. Access restricted to the build pipeline service account only. Any human access to code signing keys is a security incident.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3.3  Key Access Control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to cryptographic keys is governed by the principle of separation of duties and least privilege. The following restrictions apply across all key types: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individual may have the ability to both access encrypted data and access the key protecting it — except where operationally unavoidable (documented exception via EXC-001).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to HSM administration requires at least two-person integrity — no individual can make administrative HSM changes unilaterally. HSM administrator accounts are subject to PAM controls (SOP-009).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custodianship — the named individuals or roles with access to a specific key — is documented in the Key Register. Key custodian changes are change-managed (SOP-007) and require CISO notification for Tier 1 and GxP keys.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key access events are logged: key usage, key export requests (which should never be approved for Tier 1/GxP), key administration, and HSM access. Logs forwarded to SIEM per POL-014.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access by Information Security for investigation purposes follows the same break-glass procedure as PAM break-glass access (SOP-009) — witnessed, logged, and reviewed within 48 hours.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3.4  Key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2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Frequency</w:t>
            </w:r>
          </w:p>
        </w:tc>
        <w:tc>
          <w:tcPr>
            <w:tcW w:type="dxa" w:w="4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for Immediate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and GxP encryption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minimum.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Suspected or confirmed compromise; personnel change in key custodian; HSM migration; security incident on the system the key protects.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 encryption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minimum.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Suspected compromise; personnel change in key custodian.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3 / Tier 4 encryption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2 years minimum.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Suspected compromise.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encryption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minimum, timed to coincide with annual backup infrastructure review (POL-016).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Suspected compromise; ransomware incident; personnel change in key custodian (CIO/Data Custodian 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/ SSL certificates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certificate expiry schedule — see Section 4. Certificates must be renewed before expiry.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key compromise; CA compromise; certificate misissuance.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key pairs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rotation for service accounts. Annual review for user keys.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departure; suspected compromise.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signing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minimum.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suspected compromise. Immediate revocation and re-signing of affected artefacts.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Symmetric data encryption keys (at-rest, long-lived)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minimum. Key rotation must be accompanied by re-encryption of data under the new key, or a key wrapping scheme where the master key rotation is sufficient.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Suspected compromise; personnel change.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3.5  Key Destruction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destruction is the permanent, irrecoverable removal of a cryptographic key and all copies of it. Key destruction renders any data protected only by that key unrecoverable — it is the cryptographic equivalent of data deletion. Destruction must be treated with the same care as key creation.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destruction is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end of key lifecycle (key has been superseded by rotation and all data has been re-encrypted under the new key). On decommission of the system the key protects. On confirmed key compromise (destroy and replace immediately).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Destruction method — HSM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 key deletion function. The HSM generates a destruction record. Where an HSM is decommissioned, the HSM is zeroised per manufacturer specification before disposal.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Destruction method — software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NIST SP 800-57 compliant overwriting of key material in memory and on storage. For cloud KMS: key deletion API with confirmation that the key is scheduled for permanent deletion per the cloud provider's key deletion process.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Destruction verified: attempt to use the destroyed key confirms it is irrecoverable. Verification documented in the Key Register.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systems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destruction for GxP systems is a change under SOP-007 requiring Compliance / QA notification. If the key protected GxP audit trail data, destruction must not precede the end of the audit trail retention period (POL-002/POL-014).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destruction event logged in the Key Register with: date, key ID, reason, method, confirming individual, and witness (for Tier 1 and GxP keys).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 Certificate Management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expiry is one of the most common and preventable causes of system outages and security incidents. A TLS certificate expiry on an internet-facing system is a service disruption. A certificate expiry on an internal authentication system can be a complete outage. Certificate management is a continuous operational obligation, not a one-time configuration activity.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inventory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certificate inventory is maintained in the Key Register (SOP-018): every certificate in use on in-scope systems, its subject, issuing CA, expiry date, owning system, and renewal owner. The inventory is automatically populated from certificate discovery scanning (Section 5 of SOP-018) and manually supplemented for certificates not discoverable by scan.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authority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certificates: issued by the [Company Name] internal PKI CA (for internal services) or an approved public CA (DigiCert, Sectigo, or equivalent — approved list maintained by Information Security). Self-signed certificates are prohibited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validity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1-year validity for new certificates. Certificates with validity periods greater than 1 year issued before industry standards changed: flagged in the certificate inventory and replaced at next renewal.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Renewal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Renewal process initiated at 60 days before expiry for Tier 1 and GxP systems. At 30 days before expiry for all other systems. Automated expiry alerting configured at 90 days, 60 days, 30 days, and 14 days before expiry.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key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RSA: 4096-bit minimum. ECDSA: P-384 preferred, P-256 acceptable. Certificate key strength must meet Section 2.2 requirements.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Wildcard certificates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Permitted for subdomains of a single domain where operationally justified. Not permitted for Tier 1 or GxP system certificates — each system must have its own certificate to limit the blast radius of a certificate compromise.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revocation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Where a certificate key is suspected compromised: immediate revocation via CA revocation process. Information Security notified. Replacement certificate issued and deployed. SOP-012 incident assessed (a compromised certificate may indicate a broader compromise of the system or PKI).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systems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replacement on a GxP system is a Change under SOP-007. VIA required if the certificate is part of the validated configuration. Compliance / QA notified.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 GxP Cryptographic Controls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Cryptographic controls on GxP systems are validated parameters. The algorithm, key length, and key management configuration documented in the System Description (SOP-006 VMF Section 3) are part of the validated state. Any change to these parameters is a Change under SOP-007 requiring a Validation Impact Assessment.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GxP Requirement</w:t>
            </w:r>
          </w:p>
        </w:tc>
        <w:tc>
          <w:tcPr>
            <w:tcW w:type="dxa" w:w="6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 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cryptographic algorithm, key length, and mode of operation for each encrypted component of a GxP system are documented in the IQ checklist and the System Description. 'Encryption enabled' is insufficient — the specific algorithm must be recorded.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 deprecation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an algorithm used in a GxP system is identified as deprecated (moved from Approved to Acceptable or Prohibited in Section 2), Information Security notifies Compliance / QA. Algorithm upgrade is scheduled as a Normal Change with VIA. Deprecated algorithm on a GxP system is a Medium vulnerability (POL-017) that escalates to High if the algorithm is Prohibited.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cryptographic integrity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audit trail integrity tokens (hash-chain or HMAC per SOP-014) must use SHA-256 minimum. The integrity verification key is stored in the HSM and rotated annually. Key rotation for audit trail integrity requires re-generation of integrity tokens for existing records — process governed by SOP-014 and SOP-007.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Electronic signature cryptography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CFR Part 11 electronic signatures implemented using asymmetric cryptography must use RSA-4096 or ECDSA P-384 minimum. Signature verification keys managed in HSM. Signature algorithm documented in validation documentation.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Validated state and key rotation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key rotation for GxP system encryption keys is a Standard Change in SOP-007 — it does not require a full VIA if the rotation procedure is included in the validated operational procedures and the algorithm does not change. A change to the algorithm or key length requires a VIA.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 Cryptographic Exceptions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 a system cannot meet the cryptographic requirements of this policy — typically legacy systems where algorithm upgrades require vendor involvement or GxP revalidation — a formal exception is required via EXC-001. The following constraints apply to cryptographic exceptions: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2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Duration</w:t>
            </w:r>
          </w:p>
        </w:tc>
        <w:tc>
          <w:tcPr>
            <w:tcW w:type="dxa" w:w="2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 algorithm at below-minimum key length (e.g., RSA-2048 where 4096 is required)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months, renewable once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Compensating controls. Upgrade roadmap with milestones. IS Risk Register entry. Vulnerability register entry (Medium).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 algorithm where Preferred is required (e.g., AES-CBC instead of AES-GCM)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Documented technical reason. Migration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Prohibited algorithm — legacy system, no vendor upgrade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CISO + CIO + Board notification for Tier 1 / GxP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months maximum, requires formal risk acceptance at renewal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isolation required. No internet exposure. Compensating controls. IS Risk Register entry. Funded replacement roadmap.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Self-signed certificate in production — transitional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During certificate authority migration or emergency only.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1"/>
              <w:left w:val="single" w:color="2E5EA8" w:sz="12"/>
              <w:bottom w:val="single" w:color="2E5EA8" w:sz="1"/>
              <w:right w:val="single" w:color="2E5E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encryption below the minimum key length cannot be approved — see Section 2.1. The mandatory minimum is non-waivable. A system that cannot support AES-256 must be isolated and replaced.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 Related Documents</w:t>
      </w:r>
    </w:p>
    <w:p>
      <w:pPr>
        <w:pBdr>
          <w:bottom w:val="single" w:color="2E5EA8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SOP-018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Cryptography and Key Management Process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Operationalises this policy — key lifecycle procedures, Key Register, certificate inventory management, HSM administration, algorithm deprecation process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PAM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(API keys, service account credentials) stored in PAM platform per SOP-009; PAM platform itself protected by HSM-stored credentials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audit trail integrity tokens use HMAC-SHA-256; integrity keys in HSM; key rotation process governed jointly by SOP-014 and this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Management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encryption keys in HSM; separate key partition from primary system keys; annual rotation timed to backup programme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Vulnerability Management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 or prohibited algorithms on in-scope systems are vulnerabilities — Medium (Acceptable → Prohibited) or High (currently Prohibited). CVSS supplemented by context.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Classification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classification determines minimum encryption standard — Restricted data requires AES-256; less sensitive data has minimum requirements per this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Control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MFA implementations use TOTP, FIDO2, and push notification — all cryptographic mechanisms governed by this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Exception Management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cryptographic exceptions governed by EXC-001 subject to Section 6 constraints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RACI-001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Roles, Responsibilities and Authorities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Accountability for cryptographic controls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POL-018 v1.0 DRAFT  |  [Company Name]  |  INTERNAL USE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8" w:sz="6" w:space="1"/>
      </w:pBdr>
      <w:tabs>
        <w:tab w:val="center" w:pos="4680"/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[Company Name] Confidential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8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CRYPTOGRAPHY AND KEY MANAGEMENT POLICY  |  POL-018  |  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2026-03-08T10:42:17.362Z</dcterms:created>
  <dcterms:modified xsi:type="dcterms:W3CDTF">2026-03-08T10:42:17.363Z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