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HR SECURITY AND ACCEPTABLE USE POLICY</w:t>
      </w:r>
    </w:p>
    <w:p>
      <w:pPr>
        <w:shd w:fill="1B2A4A" w:val="clear"/>
        <w:spacing w:before="40" w:after="0"/>
        <w:ind w:left="1440"/>
      </w:pPr>
      <w:r>
        <w:rPr>
          <w:rFonts w:ascii="Arial" w:cs="Arial" w:eastAsia="Arial" w:hAnsi="Arial"/>
          <w:i/>
          <w:iCs/>
          <w:color w:val="D6E4F7"/>
          <w:sz w:val="24"/>
          <w:szCs w:val="24"/>
        </w:rPr>
        <w:t xml:space="preserve">POL-021  |  Policy  |  Part of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POL-021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People Officer / HR Director</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Security and Acceptable Use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 (Access Control), POL-012 (Incident Response), POL-013 (Third Party), POL-020 (Security Awareness), SOP-008 (Access Control), SOP-021 (HR Security Process), WI-021 (Acceptable Use Policy — User-Facing),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People Officer / HR Director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[Approver Name and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issue</w:t>
            </w:r>
          </w:p>
        </w:tc>
      </w:tr>
    </w:tbl>
    <w:p>
      <w:r>
        <w:br w:type="page"/>
      </w: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obligations and expectations for [Company Name] personnel regarding the use of company systems, data, and technology resources — and defines the HR security controls that apply throughout the employment and contractor lifecycle. It provides the policy framework that makes individual obligations enforceable: the data classification obligations in POL-001, the access control obligations in POL-008, and the incident reporting obligations in POL-012 are all exercised by individuals who must understand them and have acknowledged them in writing.</w:t>
      </w:r>
    </w:p>
    <w:p>
      <w:pPr>
        <w:spacing w:before="60" w:after="0"/>
      </w:pPr>
      <w:r>
        <w:t xml:space="preserve"/>
      </w:r>
    </w:p>
    <w:p>
      <w:pPr>
        <w:spacing w:before="80" w:after="80"/>
      </w:pPr>
      <w:r>
        <w:rPr>
          <w:rFonts w:ascii="Arial" w:cs="Arial" w:eastAsia="Arial" w:hAnsi="Arial"/>
          <w:color w:val="333333"/>
          <w:sz w:val="22"/>
          <w:szCs w:val="22"/>
        </w:rPr>
        <w:t xml:space="preserve">This policy applies to all [Company Name] employees (permanent, fixed-term, and part-time), contractors, consultants, and third-party staff with access to [Company Name] systems or data. References to 'personnel' include all four categories. Contractors and third-party staff are additionally subject to the obligations in POL-013.</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Pre-Employment and Onboarding Controls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Background checks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Background checks are conducted for all employees before commencement, and for contractors before access to [Company Name] systems is granted. The check scope is proportional to the role's access level:
Standard check (all roles): identity verification, right to work, employment history (5 years minimum), criminal record check where legally permissible in the jurisdiction.
Enhanced check (roles with access to Tier 1 systems, GxP systems, financial systems, or Restricted data): the above plus credit check, professional qualifications verification, and reference verification (two professional referees).
Ongoing screening: roles with access to Tier 1 or GxP systems are subject to a repeat enhanced check every 3 years and on any significant change in personal circumstances disclosed by the employee.
If a background check reveals information that affects an individual's suitability for their role, HR and Legal review the finding. A finding does not automatically result in withdrawal of the offer — but a material finding relevant to the role's trust level requires documented risk assessment and CISO notification for roles with Tier 1 or GxP system access.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Confidentiality agreement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employee and contractor must sign a confidentiality and non-disclosure agreement (NDA) before access to any [Company Name] information or systems is granted. The NDA survives the end of employment or engagement.
Contractors: NDA is contained within or referenced by the contract. Contract execution is the NDA execution.
HR records NDA execution in the personnel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Acceptable Use acknowledgement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employee and contractor must read WI-021 (Acceptable Use Policy) and sign the acknowledgement form before system access is granted. The acknowledgement confirms they have read and understood their obligations.
WI-021 acknowledgement is a prerequisite for system access — SOP-008 access provisioning confirms the acknowledgement is on record before any account is created.
WI-021 is updated when material changes occur. All personnel must re-acknowledge within 30 days of a material update.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completion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security awareness training (POL-020) must be completed before system access is granted. See SOP-021 for the sequencing of the onboarding process.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Personnel Security Obligations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individual with access to [Company Name] systems or data has the following obligations. These obligations are enforceable — a breach may result in disciplinary action, termination, or civil or criminal proceedings depending on the nature and severity of the breach.</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3.1  System and Data Use</w:t>
      </w:r>
    </w:p>
    <w:p>
      <w:pPr>
        <w:pStyle w:val="ListParagraph"/>
        <w:numPr>
          <w:ilvl w:val="0"/>
          <w:numId w:val="2"/>
        </w:numPr>
        <w:spacing w:before="60" w:after="60"/>
      </w:pPr>
      <w:r>
        <w:rPr>
          <w:rFonts w:ascii="Arial" w:cs="Arial" w:eastAsia="Arial" w:hAnsi="Arial"/>
          <w:color w:val="333333"/>
          <w:sz w:val="22"/>
          <w:szCs w:val="22"/>
        </w:rPr>
        <w:t xml:space="preserve">Use [Company Name] systems and data only for authorised business purposes. Personal use of company systems is permissible to a reasonable and incidental degree — it must not interfere with business use, consume excessive resources, or involve activities that would bring [Company Name] into disrepute.</w:t>
      </w:r>
    </w:p>
    <w:p>
      <w:pPr>
        <w:pStyle w:val="ListParagraph"/>
        <w:numPr>
          <w:ilvl w:val="0"/>
          <w:numId w:val="2"/>
        </w:numPr>
        <w:spacing w:before="60" w:after="60"/>
      </w:pPr>
      <w:r>
        <w:rPr>
          <w:rFonts w:ascii="Arial" w:cs="Arial" w:eastAsia="Arial" w:hAnsi="Arial"/>
          <w:color w:val="333333"/>
          <w:sz w:val="22"/>
          <w:szCs w:val="22"/>
        </w:rPr>
        <w:t xml:space="preserve">Use only the systems and data you are authorised to access. Do not attempt to access systems or data beyond your authorisation — even if the access is technically possible. Curiosity is not a business justification.</w:t>
      </w:r>
    </w:p>
    <w:p>
      <w:pPr>
        <w:pStyle w:val="ListParagraph"/>
        <w:numPr>
          <w:ilvl w:val="0"/>
          <w:numId w:val="2"/>
        </w:numPr>
        <w:spacing w:before="60" w:after="60"/>
      </w:pPr>
      <w:r>
        <w:rPr>
          <w:rFonts w:ascii="Arial" w:cs="Arial" w:eastAsia="Arial" w:hAnsi="Arial"/>
          <w:color w:val="333333"/>
          <w:sz w:val="22"/>
          <w:szCs w:val="22"/>
        </w:rPr>
        <w:t xml:space="preserve">Do not share access credentials (passwords, tokens, smart cards) with any other person for any reason. If you believe someone else needs access to a system, the correct route is an access request via SOP-008, not sharing your credentials. If you have shared credentials, report it to Information Security immediately — there is no penalty for self-reporting a credential-sharing incident.</w:t>
      </w:r>
    </w:p>
    <w:p>
      <w:pPr>
        <w:pStyle w:val="ListParagraph"/>
        <w:numPr>
          <w:ilvl w:val="0"/>
          <w:numId w:val="2"/>
        </w:numPr>
        <w:spacing w:before="60" w:after="60"/>
      </w:pPr>
      <w:r>
        <w:rPr>
          <w:rFonts w:ascii="Arial" w:cs="Arial" w:eastAsia="Arial" w:hAnsi="Arial"/>
          <w:color w:val="333333"/>
          <w:sz w:val="22"/>
          <w:szCs w:val="22"/>
        </w:rPr>
        <w:t xml:space="preserve">Lock your workstation when leaving it unattended. Log out of GxP systems when leaving the workstation — a session left open on a GxP system is an audit trail integrity risk under 21 CFR Part 11.</w:t>
      </w:r>
    </w:p>
    <w:p>
      <w:pPr>
        <w:pStyle w:val="ListParagraph"/>
        <w:numPr>
          <w:ilvl w:val="0"/>
          <w:numId w:val="2"/>
        </w:numPr>
        <w:spacing w:before="60" w:after="60"/>
      </w:pPr>
      <w:r>
        <w:rPr>
          <w:rFonts w:ascii="Arial" w:cs="Arial" w:eastAsia="Arial" w:hAnsi="Arial"/>
          <w:color w:val="333333"/>
          <w:sz w:val="22"/>
          <w:szCs w:val="22"/>
        </w:rPr>
        <w:t xml:space="preserve">Apply data classification labels per POL-001. Do not email Restricted data to external addresses unless explicitly authorised and using an approved secure transfer method.</w:t>
      </w:r>
    </w:p>
    <w:p>
      <w:pPr>
        <w:spacing w:before="60" w:after="0"/>
      </w:pPr>
      <w:r>
        <w:t xml:space="preserve"/>
      </w:r>
    </w:p>
    <w:p>
      <w:pPr>
        <w:pStyle w:val="Heading2"/>
        <w:spacing w:before="280" w:after="100"/>
      </w:pPr>
      <w:r>
        <w:rPr>
          <w:rFonts w:ascii="Arial" w:cs="Arial" w:eastAsia="Arial" w:hAnsi="Arial"/>
          <w:b/>
          <w:bCs/>
          <w:color w:val="2E5EA8"/>
          <w:sz w:val="28"/>
          <w:szCs w:val="28"/>
        </w:rPr>
        <w:t xml:space="preserve">3.2  Security Incident Reporting</w:t>
      </w:r>
    </w:p>
    <w:p>
      <w:pPr>
        <w:pStyle w:val="ListParagraph"/>
        <w:numPr>
          <w:ilvl w:val="0"/>
          <w:numId w:val="2"/>
        </w:numPr>
        <w:spacing w:before="60" w:after="60"/>
      </w:pPr>
      <w:r>
        <w:rPr>
          <w:rFonts w:ascii="Arial" w:cs="Arial" w:eastAsia="Arial" w:hAnsi="Arial"/>
          <w:color w:val="333333"/>
          <w:sz w:val="22"/>
          <w:szCs w:val="22"/>
        </w:rPr>
        <w:t xml:space="preserve">Report any suspected security incident — phishing email, suspicious activity on your account, lost or stolen device, accidental disclosure of data — to Information Security immediately. Do not attempt to investigate or resolve a security incident yourself.</w:t>
      </w:r>
    </w:p>
    <w:p>
      <w:pPr>
        <w:pStyle w:val="ListParagraph"/>
        <w:numPr>
          <w:ilvl w:val="0"/>
          <w:numId w:val="2"/>
        </w:numPr>
        <w:spacing w:before="60" w:after="60"/>
      </w:pPr>
      <w:r>
        <w:rPr>
          <w:rFonts w:ascii="Arial" w:cs="Arial" w:eastAsia="Arial" w:hAnsi="Arial"/>
          <w:color w:val="333333"/>
          <w:sz w:val="22"/>
          <w:szCs w:val="22"/>
        </w:rPr>
        <w:t xml:space="preserve">If you discover an unattended workstation with an active session, or a physical document containing Restricted data left in a public area, report it. Do not access the unattended session or read documents beyond what is necessary to identify the owner.</w:t>
      </w:r>
    </w:p>
    <w:p>
      <w:pPr>
        <w:pStyle w:val="ListParagraph"/>
        <w:numPr>
          <w:ilvl w:val="0"/>
          <w:numId w:val="2"/>
        </w:numPr>
        <w:spacing w:before="60" w:after="60"/>
      </w:pPr>
      <w:r>
        <w:rPr>
          <w:rFonts w:ascii="Arial" w:cs="Arial" w:eastAsia="Arial" w:hAnsi="Arial"/>
          <w:color w:val="333333"/>
          <w:sz w:val="22"/>
          <w:szCs w:val="22"/>
        </w:rPr>
        <w:t xml:space="preserve">You are immune from disciplinary action for good-faith incident reporting, even if the report turns out to be a false alarm. There is no penalty for over-reporting. There is a significant penalty for not reporting a known incident.</w:t>
      </w:r>
    </w:p>
    <w:p>
      <w:pPr>
        <w:spacing w:before="60" w:after="0"/>
      </w:pPr>
      <w:r>
        <w:t xml:space="preserve"/>
      </w:r>
    </w:p>
    <w:p>
      <w:pPr>
        <w:pStyle w:val="Heading2"/>
        <w:spacing w:before="280" w:after="100"/>
      </w:pPr>
      <w:r>
        <w:rPr>
          <w:rFonts w:ascii="Arial" w:cs="Arial" w:eastAsia="Arial" w:hAnsi="Arial"/>
          <w:b/>
          <w:bCs/>
          <w:color w:val="2E5EA8"/>
          <w:sz w:val="28"/>
          <w:szCs w:val="28"/>
        </w:rPr>
        <w:t xml:space="preserve">3.3  Prohibited Activities</w:t>
      </w:r>
    </w:p>
    <w:p>
      <w:pPr>
        <w:spacing w:before="80" w:after="80"/>
      </w:pPr>
      <w:r>
        <w:rPr>
          <w:rFonts w:ascii="Arial" w:cs="Arial" w:eastAsia="Arial" w:hAnsi="Arial"/>
          <w:color w:val="333333"/>
          <w:sz w:val="22"/>
          <w:szCs w:val="22"/>
        </w:rPr>
        <w:t xml:space="preserve">The following activities are strictly prohibited and may constitute gross misconduct or criminal behaviour:</w:t>
      </w:r>
    </w:p>
    <w:p>
      <w:pPr>
        <w:pStyle w:val="ListParagraph"/>
        <w:numPr>
          <w:ilvl w:val="0"/>
          <w:numId w:val="2"/>
        </w:numPr>
        <w:spacing w:before="60" w:after="60"/>
      </w:pPr>
      <w:r>
        <w:rPr>
          <w:rFonts w:ascii="Arial" w:cs="Arial" w:eastAsia="Arial" w:hAnsi="Arial"/>
          <w:color w:val="333333"/>
          <w:sz w:val="22"/>
          <w:szCs w:val="22"/>
        </w:rPr>
        <w:t xml:space="preserve">Accessing, copying, modifying, or deleting data, systems, or audit trails without authorisation — including data belonging to colleagues, competitors, customers, or the company itself beyond your access authorisation.</w:t>
      </w:r>
    </w:p>
    <w:p>
      <w:pPr>
        <w:pStyle w:val="ListParagraph"/>
        <w:numPr>
          <w:ilvl w:val="0"/>
          <w:numId w:val="2"/>
        </w:numPr>
        <w:spacing w:before="60" w:after="60"/>
      </w:pPr>
      <w:r>
        <w:rPr>
          <w:rFonts w:ascii="Arial" w:cs="Arial" w:eastAsia="Arial" w:hAnsi="Arial"/>
          <w:color w:val="333333"/>
          <w:sz w:val="22"/>
          <w:szCs w:val="22"/>
        </w:rPr>
        <w:t xml:space="preserve">Installing unauthorised software, tools, or services on company systems — including browser extensions, productivity tools, and AI services that process company data. 'Shadow IT' of any kind must be reported to IT for assessment.</w:t>
      </w:r>
    </w:p>
    <w:p>
      <w:pPr>
        <w:pStyle w:val="ListParagraph"/>
        <w:numPr>
          <w:ilvl w:val="0"/>
          <w:numId w:val="2"/>
        </w:numPr>
        <w:spacing w:before="60" w:after="60"/>
      </w:pPr>
      <w:r>
        <w:rPr>
          <w:rFonts w:ascii="Arial" w:cs="Arial" w:eastAsia="Arial" w:hAnsi="Arial"/>
          <w:color w:val="333333"/>
          <w:sz w:val="22"/>
          <w:szCs w:val="22"/>
        </w:rPr>
        <w:t xml:space="preserve">Attempting to bypass, disable, or circumvent security controls — including antivirus, endpoint detection, DLP, firewalls, or logging. This includes using personal devices to access data from systems that restrict device access.</w:t>
      </w:r>
    </w:p>
    <w:p>
      <w:pPr>
        <w:pStyle w:val="ListParagraph"/>
        <w:numPr>
          <w:ilvl w:val="0"/>
          <w:numId w:val="2"/>
        </w:numPr>
        <w:spacing w:before="60" w:after="60"/>
      </w:pPr>
      <w:r>
        <w:rPr>
          <w:rFonts w:ascii="Arial" w:cs="Arial" w:eastAsia="Arial" w:hAnsi="Arial"/>
          <w:color w:val="333333"/>
          <w:sz w:val="22"/>
          <w:szCs w:val="22"/>
        </w:rPr>
        <w:t xml:space="preserve">Deliberately altering, deleting, or falsifying audit trail entries on any system, including GxP systems. This is a 21 CFR Part 11 violation and may constitute fraud.</w:t>
      </w:r>
    </w:p>
    <w:p>
      <w:pPr>
        <w:pStyle w:val="ListParagraph"/>
        <w:numPr>
          <w:ilvl w:val="0"/>
          <w:numId w:val="2"/>
        </w:numPr>
        <w:spacing w:before="60" w:after="60"/>
      </w:pPr>
      <w:r>
        <w:rPr>
          <w:rFonts w:ascii="Arial" w:cs="Arial" w:eastAsia="Arial" w:hAnsi="Arial"/>
          <w:color w:val="333333"/>
          <w:sz w:val="22"/>
          <w:szCs w:val="22"/>
        </w:rPr>
        <w:t xml:space="preserve">Using [Company Name] systems to access, store, or distribute illegal content, including content that violates copyright, contains malware, or constitutes harassment.</w:t>
      </w:r>
    </w:p>
    <w:p>
      <w:pPr>
        <w:pStyle w:val="ListParagraph"/>
        <w:numPr>
          <w:ilvl w:val="0"/>
          <w:numId w:val="2"/>
        </w:numPr>
        <w:spacing w:before="60" w:after="60"/>
      </w:pPr>
      <w:r>
        <w:rPr>
          <w:rFonts w:ascii="Arial" w:cs="Arial" w:eastAsia="Arial" w:hAnsi="Arial"/>
          <w:color w:val="333333"/>
          <w:sz w:val="22"/>
          <w:szCs w:val="22"/>
        </w:rPr>
        <w:t xml:space="preserve">Disclosing confidential information, trade secrets, or personal data to unauthorised parties — including to colleagues who do not have a business need to know.</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Termination and Offboarding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period immediately before and after an individual's departure is a heightened risk window. Access must be removed promptly and completely. The offboarding process is a security control, not an administrative courtesy.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Revocation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Voluntary resignation — standard departure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access revoked by end of last working day. HR notifies IT minimum 5 business days before the last working day. SOP-008 de-provisioning initiated on receipt of HR notification.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Involuntary termination (dismissal, redundancy)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access revoked at or before the moment the employee is informed of termination. IT is notified by HR and CISO simultaneously with or before HR informs the employee. Account suspension precedes or coincides with the conversation.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Contractor engagement 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access revoked on the engagement end date. Contract end dates are tracked by Procurement / HR. Notification to IT minimum 5 business days before end date.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departure for cause (gross misconduct, security incident)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access revocation — within 1 hour of the decision to terminate. IT on-call contact available for out-of-hours emergency revocations. SOP-012 security incident assessment if the departure is related to a security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Garden leave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reduced to minimum required for garden leave purposes. Tier 1, GxP, and Restricted data system access revoked at the start of garden leave regardless of the garden leave duration.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4.1  Return of Assets</w:t>
      </w:r>
    </w:p>
    <w:p>
      <w:pPr>
        <w:spacing w:before="80" w:after="80"/>
      </w:pPr>
      <w:r>
        <w:rPr>
          <w:rFonts w:ascii="Arial" w:cs="Arial" w:eastAsia="Arial" w:hAnsi="Arial"/>
          <w:color w:val="333333"/>
          <w:sz w:val="22"/>
          <w:szCs w:val="22"/>
        </w:rPr>
        <w:t xml:space="preserve">All company-owned physical assets — laptops, mobile devices, access cards, hardware tokens, printed documents, physical media — must be returned on or before the last day of employment or contract. HR confirms asset return before issuing any final payment or reference. Lost or unreturned devices are reported as a security incident (SOP-012).</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4.2  Post-Departure Obligations</w:t>
      </w:r>
    </w:p>
    <w:p>
      <w:pPr>
        <w:spacing w:before="80" w:after="80"/>
      </w:pPr>
      <w:r>
        <w:rPr>
          <w:rFonts w:ascii="Arial" w:cs="Arial" w:eastAsia="Arial" w:hAnsi="Arial"/>
          <w:color w:val="333333"/>
          <w:sz w:val="22"/>
          <w:szCs w:val="22"/>
        </w:rPr>
        <w:t xml:space="preserve">Post-departure obligations survive the end of employment or contract. Departing personnel are reminded in the exit process that the following obligations continue indefinitely: confidentiality obligations under the NDA, prohibition on using or disclosing [Company Name] confidential information or trade secrets. Violation of post-departure obligations is pursued through legal channels.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Policy Breach and Disciplinary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breach of this policy or any [Company Name] information security policy may result in disciplinary action up to and including termination of employment or contract. The severity of the response is proportional to: the nature and severity of the breach, whether it was deliberate or negligent, whether it was repeated, and the impact or potential impact on [Company Name] or its customers, patients, or regulators.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Breach Category</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 first occurrence, negligent, no significant impact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Failure to lock workstation, use of a weak password on a non-critical system, sending an internal document to a personal email (non-Restricted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Manager conversation. Mandatory targeted training (POL-020). Documented in personnel record for 12 months.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Moderate — negligent or careless, potential impact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Failure to complete mandatory training after repeated reminders, sharing credentials with a colleague, failure to report a known phishing email, storing Restricted data on an unencrypted personal device.</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written warning. Mandatory training. Access review. Documented in personnel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Serious — deliberate or grossly negligent, significant impact or regulatory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Deliberate circumvention of security controls, accessing data beyond authorisation, sharing Restricted data externally without authorisation, audit trail manipulation (non-GxP), failure to report a known security incident.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Final written warning or dismissal. Legal and regulatory assessment. CISO and Legal involved.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Gross misconduct — deliberate, malicious, or fraudulent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manipulation on GxP systems, data theft, sabotage of security controls, deliberate disclosure of confidential or personal data, fraudulent use of electronic signatures.</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dismissal without notice. Police referral where criminal conduct is suspected. Regulatory notification where required (e.g., FDA for GxP data integrity breaches). Civil action.</w:t>
            </w:r>
          </w:p>
        </w:tc>
      </w:tr>
    </w:tbl>
    <w:p>
      <w:pPr>
        <w:spacing w:before="60" w:after="0"/>
      </w:pPr>
      <w:r>
        <w:t xml:space="preserve"/>
      </w:r>
    </w:p>
    <w:p>
      <w:pPr>
        <w:spacing w:before="80" w:after="80"/>
      </w:pPr>
      <w:r>
        <w:rPr>
          <w:rFonts w:ascii="Arial" w:cs="Arial" w:eastAsia="Arial" w:hAnsi="Arial"/>
          <w:color w:val="333333"/>
          <w:sz w:val="22"/>
          <w:szCs w:val="22"/>
        </w:rPr>
        <w:t xml:space="preserve">The disciplinary process follows [Company Name]'s employment policies and applicable employment law. This policy does not supersede legal employment obligations or employment contracts.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Contractor and Third-Party Personnel</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Contractors and third-party personnel are subject to the same acceptable use obligations as employees. The contractual mechanism for enforcement is the contract and the NDA rather than the employment relationship. Additional obligations:</w:t>
      </w:r>
    </w:p>
    <w:p>
      <w:pPr>
        <w:pStyle w:val="ListParagraph"/>
        <w:numPr>
          <w:ilvl w:val="0"/>
          <w:numId w:val="2"/>
        </w:numPr>
        <w:spacing w:before="60" w:after="60"/>
      </w:pPr>
      <w:r>
        <w:rPr>
          <w:rFonts w:ascii="Arial" w:cs="Arial" w:eastAsia="Arial" w:hAnsi="Arial"/>
          <w:color w:val="333333"/>
          <w:sz w:val="22"/>
          <w:szCs w:val="22"/>
        </w:rPr>
        <w:t xml:space="preserve">Contractor access is always governed by SOP-013 (vendor risk assessment) and SOP-009 (PAM) in addition to this policy. Contractor accounts are temporary and scoped to the minimum required for the engagement.</w:t>
      </w:r>
    </w:p>
    <w:p>
      <w:pPr>
        <w:pStyle w:val="ListParagraph"/>
        <w:numPr>
          <w:ilvl w:val="0"/>
          <w:numId w:val="2"/>
        </w:numPr>
        <w:spacing w:before="60" w:after="60"/>
      </w:pPr>
      <w:r>
        <w:rPr>
          <w:rFonts w:ascii="Arial" w:cs="Arial" w:eastAsia="Arial" w:hAnsi="Arial"/>
          <w:color w:val="333333"/>
          <w:sz w:val="22"/>
          <w:szCs w:val="22"/>
        </w:rPr>
        <w:t xml:space="preserve">Contractor personnel changes (a new individual from the same vendor being granted access) are treated as a new onboarding — background check, NDA, WI-021 acknowledgement, and training completion required before access is granted.</w:t>
      </w:r>
    </w:p>
    <w:p>
      <w:pPr>
        <w:pStyle w:val="ListParagraph"/>
        <w:numPr>
          <w:ilvl w:val="0"/>
          <w:numId w:val="2"/>
        </w:numPr>
        <w:spacing w:before="60" w:after="60"/>
      </w:pPr>
      <w:r>
        <w:rPr>
          <w:rFonts w:ascii="Arial" w:cs="Arial" w:eastAsia="Arial" w:hAnsi="Arial"/>
          <w:color w:val="333333"/>
          <w:sz w:val="22"/>
          <w:szCs w:val="22"/>
        </w:rPr>
        <w:t xml:space="preserve">A policy breach by a contractor is reported to the contracting manager and escalated per POL-013. Access may be revoked immediately pending investigation. The contractor organisation is notified and is expected to take appropriate action with their employee.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7.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Acceptable Use Policy (User-Facing)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user-facing document that all personnel sign. Sets out individual obligations in plain language.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Security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onboarding, offboarding, background check management, policy breach investigation process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provisioning (SOP-008) requires WI-021 acknowledgement, training completion, and background check completion before accounts are created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Awareness and Training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completion is a prerequisite for access (SOP-008). Repeated training non-compliance escalates to HR per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incidents caused by personnel are investigated jointly by Information Security (technical) and HR (people). Insider threat investigations are a joint process.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Contractor personnel obligations are governed jointly by POL-013 (vendor relationship) and this policy (individual 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Background check or onboarding process exceptions (e.g., urgent hire before check completion) require CISO and HR Director approval via EXC-001.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HR security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POL-021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HR SECURITY AND ACCEPTABLE USE POLICY  |  POL-021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2026-03-08T10:52:00.704Z</dcterms:created>
  <dcterms:modified xsi:type="dcterms:W3CDTF">2026-03-08T10:52:00.705Z</dcterms:modified>
</cp:coreProperties>
</file>

<file path=docProps/custom.xml><?xml version="1.0" encoding="utf-8"?>
<Properties xmlns="http://schemas.openxmlformats.org/officeDocument/2006/custom-properties" xmlns:vt="http://schemas.openxmlformats.org/officeDocument/2006/docPropsVTypes"/>
</file>