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COMMUNICATIONS SECURITY POLICY</w:t>
      </w:r>
    </w:p>
    <w:p>
      <w:pPr>
        <w:shd w:fill="1B2A4A" w:val="clear"/>
        <w:spacing w:before="40" w:after="0"/>
        <w:ind w:left="1440"/>
      </w:pPr>
      <w:r>
        <w:rPr>
          <w:rFonts w:ascii="Arial" w:cs="Arial" w:eastAsia="Arial" w:hAnsi="Arial"/>
          <w:i/>
          <w:iCs/>
          <w:color w:val="D6E4F7"/>
          <w:sz w:val="24"/>
          <w:szCs w:val="24"/>
        </w:rPr>
        <w:t xml:space="preserve">POL-022  |  Policy  |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POL-022</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CISO</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CIO</w:t>
      </w:r>
    </w:p>
    <w:p>
      <w:pPr>
        <w:shd w:fill="1B2A4A" w:val="clear"/>
        <w:spacing w:before="40" w:after="40"/>
        <w:ind w:left="1440"/>
      </w:pPr>
      <w:r>
        <w:rPr>
          <w:rFonts w:ascii="Arial" w:cs="Arial" w:eastAsia="Arial" w:hAnsi="Arial"/>
          <w:b/>
          <w:bCs/>
          <w:color w:val="FFFFFF"/>
          <w:sz w:val="20"/>
          <w:szCs w:val="20"/>
        </w:rPr>
        <w:t xml:space="preserve">Review Frequency:  </w:t>
      </w:r>
      <w:r>
        <w:rPr>
          <w:rFonts w:ascii="Arial" w:cs="Arial" w:eastAsia="Arial" w:hAnsi="Arial"/>
          <w:color w:val="D6E4F7"/>
          <w:sz w:val="20"/>
          <w:szCs w:val="20"/>
        </w:rPr>
        <w:t xml:space="preserve">Annual</w:t>
      </w:r>
    </w:p>
    <w:p>
      <w:pPr>
        <w:shd w:fill="1B2A4A" w:val="clear"/>
        <w:spacing w:before="40" w:after="40"/>
        <w:ind w:left="1440"/>
      </w:pPr>
      <w:r>
        <w:rPr>
          <w:rFonts w:ascii="Arial" w:cs="Arial" w:eastAsia="Arial" w:hAnsi="Arial"/>
          <w:b/>
          <w:bCs/>
          <w:color w:val="FFFFFF"/>
          <w:sz w:val="20"/>
          <w:szCs w:val="20"/>
        </w:rPr>
        <w:t xml:space="preserve">Status:  </w:t>
      </w:r>
      <w:r>
        <w:rPr>
          <w:rFonts w:ascii="Arial" w:cs="Arial" w:eastAsia="Arial" w:hAnsi="Arial"/>
          <w:color w:val="D6E4F7"/>
          <w:sz w:val="20"/>
          <w:szCs w:val="20"/>
        </w:rPr>
        <w:t xml:space="preserve">Active</w:t>
      </w:r>
    </w:p>
    <w:p>
      <w:pPr>
        <w:shd w:fill="1B2A4A" w:val="clear"/>
        <w:spacing w:before="40" w:after="40"/>
        <w:ind w:left="1440"/>
      </w:pPr>
      <w:r>
        <w:rPr>
          <w:rFonts w:ascii="Arial" w:cs="Arial" w:eastAsia="Arial" w:hAnsi="Arial"/>
          <w:b/>
          <w:bCs/>
          <w:color w:val="FFFFFF"/>
          <w:sz w:val="20"/>
          <w:szCs w:val="20"/>
        </w:rPr>
        <w:t xml:space="preserve">Regulation:  </w:t>
      </w:r>
      <w:r>
        <w:rPr>
          <w:rFonts w:ascii="Arial" w:cs="Arial" w:eastAsia="Arial" w:hAnsi="Arial"/>
          <w:color w:val="D6E4F7"/>
          <w:sz w:val="20"/>
          <w:szCs w:val="20"/>
        </w:rPr>
        <w:t xml:space="preserve">NIS2 Art. 21(j); ISO 27001 A.8.26; GDPR Art. 32</w:t>
      </w:r>
    </w:p>
    <w:p>
      <w:pPr>
        <w:shd w:fill="1B2A4A" w:val="clear"/>
        <w:spacing w:before="40" w:after="40"/>
        <w:ind w:left="1440"/>
      </w:pPr>
      <w:r>
        <w:rPr>
          <w:rFonts w:ascii="Arial" w:cs="Arial" w:eastAsia="Arial" w:hAnsi="Arial"/>
          <w:b/>
          <w:bCs/>
          <w:color w:val="FFFFFF"/>
          <w:sz w:val="20"/>
          <w:szCs w:val="20"/>
        </w:rPr>
        <w:t xml:space="preserve">Addresses Gaps:  </w:t>
      </w:r>
      <w:r>
        <w:rPr>
          <w:rFonts w:ascii="Arial" w:cs="Arial" w:eastAsia="Arial" w:hAnsi="Arial"/>
          <w:color w:val="D6E4F7"/>
          <w:sz w:val="20"/>
          <w:szCs w:val="20"/>
        </w:rPr>
        <w:t xml:space="preserve">NIS2-G05</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1.  Purpose and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governs the security of voice, video, text, and messaging communications used by [Company Name] personnel. NIS2 Article 21(j) requires essential and important entities to implement policies on secured voice, video, and text communications and secured emergency communication systems. This policy defines the approved communications platforms, encryption standards, data classification requirements for communications content, and the security standards for out-of-band emergency communications during incident response.</w:t>
      </w:r>
    </w:p>
    <w:p>
      <w:pPr>
        <w:spacing w:before="60" w:after="0"/>
      </w:pPr>
      <w:r>
        <w:t xml:space="preserve"/>
      </w:r>
    </w:p>
    <w:p>
      <w:pPr>
        <w:spacing w:before="80" w:after="80"/>
      </w:pPr>
      <w:r>
        <w:rPr>
          <w:rFonts w:ascii="Arial" w:cs="Arial" w:eastAsia="Arial" w:hAnsi="Arial"/>
          <w:color w:val="333333"/>
          <w:sz w:val="22"/>
          <w:szCs w:val="22"/>
        </w:rPr>
        <w:t xml:space="preserve">This policy applies to all employees, contractors, consultants, and third parties using communications platforms on behalf of [Company Name], on any device (corporate or personal) when communicating [Company Name] business. It applies to all forms of digital communication: instant messaging, email, video conferencing, voice calls, and collaboration tools.</w:t>
      </w:r>
    </w:p>
    <w:p>
      <w:pPr>
        <w:pStyle w:val="Heading1"/>
        <w:spacing w:before="360" w:after="120"/>
      </w:pPr>
      <w:r>
        <w:rPr>
          <w:rFonts w:ascii="Arial" w:cs="Arial" w:eastAsia="Arial" w:hAnsi="Arial"/>
          <w:b/>
          <w:bCs/>
          <w:color w:val="1B2A4A"/>
          <w:sz w:val="36"/>
          <w:szCs w:val="36"/>
        </w:rPr>
        <w:t xml:space="preserve">2.  Communications Classification Framework</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business communications are classified by the sensitivity of their content using the [Company Name] data classification tiers defined in POL-001. The classification of a communication is determined by the most sensitive information it contains.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Content Classification</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Permitted Channels</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Encryption Requirement</w:t>
            </w:r>
          </w:p>
        </w:tc>
        <w:tc>
          <w:tcPr>
            <w:tcW w:type="dxa" w:w="1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Public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channel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None required (but avoid personal email for any business communications)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Press releases, published documentation, general marketing materials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Internal Use</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approved corporate channel (see Section 3)</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In-transit encryption required (TLS 1.2 minimum)</w:t>
            </w:r>
          </w:p>
        </w:tc>
        <w:tc>
          <w:tcPr>
            <w:tcW w:type="dxa" w:w="1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General business communication, meeting scheduling, project updates without sensitive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Restricted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corporate channels with end-to-end encryption (see Section 3). Prohibited on personal email, personal messaging apps, consumer-grade video conferencing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End-to-end encryption required. Message contents must not be visible to the communications platform provider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discussions, financial results pre-disclosure, M&amp;A activity, patient/customer personal data, security vulnerability details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Special Category / PHI</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Dedicated approved platforms only. Same channels as Restricted, but with additional access controls and retention restrictions</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End-to-end encryption required. Explicit DPO approval required before communicating Special Category data via any digital channel</w:t>
            </w:r>
          </w:p>
        </w:tc>
        <w:tc>
          <w:tcPr>
            <w:tcW w:type="dxa" w:w="1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Health data, genetic data, data revealing racial origin or political opinions, PHI under HIPAA</w:t>
            </w:r>
          </w:p>
        </w:tc>
      </w:tr>
    </w:tbl>
    <w:p>
      <w:pPr>
        <w:pStyle w:val="Heading1"/>
        <w:spacing w:before="360" w:after="120"/>
      </w:pPr>
      <w:r>
        <w:rPr>
          <w:rFonts w:ascii="Arial" w:cs="Arial" w:eastAsia="Arial" w:hAnsi="Arial"/>
          <w:b/>
          <w:bCs/>
          <w:color w:val="1B2A4A"/>
          <w:sz w:val="36"/>
          <w:szCs w:val="36"/>
        </w:rPr>
        <w:t xml:space="preserve">3.  Approved Communications Platforms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The Approved Communications Platform Register is a controlled document maintained by Information Security. The register specifies the current approved platforms, approved use cases, security configuration requirements, and any data classification restrictions for each platform. This policy defines the criteria; the register lists the current approved platforms. The register is published on the company intranet and reviewed at least annually.</w:t>
            </w:r>
          </w:p>
        </w:tc>
      </w:tr>
    </w:tbl>
    <w:p>
      <w:pPr>
        <w:spacing w:before="60" w:after="0"/>
      </w:pPr>
      <w:r>
        <w:t xml:space="preserve"/>
      </w:r>
    </w:p>
    <w:p>
      <w:pPr>
        <w:pStyle w:val="Heading2"/>
        <w:spacing w:before="280" w:after="100"/>
      </w:pPr>
      <w:r>
        <w:rPr>
          <w:rFonts w:ascii="Arial" w:cs="Arial" w:eastAsia="Arial" w:hAnsi="Arial"/>
          <w:b/>
          <w:bCs/>
          <w:color w:val="2E5EA8"/>
          <w:sz w:val="28"/>
          <w:szCs w:val="28"/>
        </w:rPr>
        <w:t xml:space="preserve">3.1  Approval Criteria</w:t>
      </w:r>
    </w:p>
    <w:p>
      <w:pPr>
        <w:spacing w:before="80" w:after="80"/>
      </w:pPr>
      <w:r>
        <w:rPr>
          <w:rFonts w:ascii="Arial" w:cs="Arial" w:eastAsia="Arial" w:hAnsi="Arial"/>
          <w:color w:val="333333"/>
          <w:sz w:val="22"/>
          <w:szCs w:val="22"/>
        </w:rPr>
        <w:t xml:space="preserve">A platform is approved for use in [Company Name] business communications if it meets all of the following: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Criterion</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Encryption in transit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TLS 1.2 minimum for all platforms. TLS 1.3 preferred.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Encryption at rest</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Required for any platform storing Internal Use or above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End-to-end encryption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Required for any platform approved for Restricted communications. The platform operator must not hold keys to message content.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Authentication</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MFA must be available and enabled on the [Company Name] account/tenant. SSO integration with corporate identity provider preferred.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[Company Name] must be able to manage user access centrally. Leavers must be removed promptly via the process in SOP-008.</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residency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Must support data residency in [EU/UK] for communications involving personal data. Documented data processing agreement with [Company Name] in place under POL-004.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capability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[Company Name] must be able to retrieve communications content for legal hold, investigation, and GxP audit trail purposes where required.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assessment</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Platform vendor assessed under POL-013/SOP-013 before approval. Tier assignment based on data sensitivity.</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3.2  Prohibited Channels</w:t>
      </w:r>
    </w:p>
    <w:p>
      <w:pPr>
        <w:spacing w:before="80" w:after="80"/>
      </w:pPr>
      <w:r>
        <w:rPr>
          <w:rFonts w:ascii="Arial" w:cs="Arial" w:eastAsia="Arial" w:hAnsi="Arial"/>
          <w:color w:val="333333"/>
          <w:sz w:val="22"/>
          <w:szCs w:val="22"/>
        </w:rPr>
        <w:t xml:space="preserve">The following channels are prohibited for [Company Name] business communications of any classification above Public:</w:t>
      </w:r>
    </w:p>
    <w:p>
      <w:pPr>
        <w:spacing w:before="6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Personal email accounts (Gmail, Yahoo, Hotmail, personal iCloud, etc.) — prohibited for any business content.</w:t>
      </w:r>
    </w:p>
    <w:p>
      <w:pPr>
        <w:pStyle w:val="ListParagraph"/>
        <w:numPr>
          <w:ilvl w:val="0"/>
          <w:numId w:val="2"/>
        </w:numPr>
        <w:spacing w:before="60" w:after="60"/>
      </w:pPr>
      <w:r>
        <w:rPr>
          <w:rFonts w:ascii="Arial" w:cs="Arial" w:eastAsia="Arial" w:hAnsi="Arial"/>
          <w:color w:val="333333"/>
          <w:sz w:val="22"/>
          <w:szCs w:val="22"/>
        </w:rPr>
        <w:t xml:space="preserve">Consumer-grade messaging apps that do not provide corporate account management (personal WhatsApp accounts, personal iMessage used for business content, Telegram, Signal personal accounts) — prohibited for Restricted and above. These may be used for general Internal Use communications only if the content is not sensitive and there is no expectation of retention or audit trail.</w:t>
      </w:r>
    </w:p>
    <w:p>
      <w:pPr>
        <w:pStyle w:val="ListParagraph"/>
        <w:numPr>
          <w:ilvl w:val="0"/>
          <w:numId w:val="2"/>
        </w:numPr>
        <w:spacing w:before="60" w:after="60"/>
      </w:pPr>
      <w:r>
        <w:rPr>
          <w:rFonts w:ascii="Arial" w:cs="Arial" w:eastAsia="Arial" w:hAnsi="Arial"/>
          <w:color w:val="333333"/>
          <w:sz w:val="22"/>
          <w:szCs w:val="22"/>
        </w:rPr>
        <w:t xml:space="preserve">Any platform not on the Approved Communications Platform Register — prohibited for Internal Use and above until approved.</w:t>
      </w:r>
    </w:p>
    <w:p>
      <w:pPr>
        <w:pStyle w:val="ListParagraph"/>
        <w:numPr>
          <w:ilvl w:val="0"/>
          <w:numId w:val="2"/>
        </w:numPr>
        <w:spacing w:before="60" w:after="60"/>
      </w:pPr>
      <w:r>
        <w:rPr>
          <w:rFonts w:ascii="Arial" w:cs="Arial" w:eastAsia="Arial" w:hAnsi="Arial"/>
          <w:color w:val="333333"/>
          <w:sz w:val="22"/>
          <w:szCs w:val="22"/>
        </w:rPr>
        <w:t xml:space="preserve">Unencrypted voice calls (standard PSTN) — prohibited for discussing Restricted content. Secure conference lines or encrypted VoIP must be used for Restricted communications.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Using a prohibited channel for Restricted or above content is a security violation reportable under SOP-012 and subject to disciplinary action under POL-021. This applies regardless of the device used (corporate or personal). If a staff member receives Restricted content on a prohibited channel (e.g., a patient enquiry to a personal email), they must immediately notify Information Security and must not forward or act on the content.</w:t>
            </w:r>
          </w:p>
        </w:tc>
      </w:tr>
    </w:tbl>
    <w:p>
      <w:pPr>
        <w:pStyle w:val="Heading1"/>
        <w:spacing w:before="360" w:after="120"/>
      </w:pPr>
      <w:r>
        <w:rPr>
          <w:rFonts w:ascii="Arial" w:cs="Arial" w:eastAsia="Arial" w:hAnsi="Arial"/>
          <w:b/>
          <w:bCs/>
          <w:color w:val="1B2A4A"/>
          <w:sz w:val="36"/>
          <w:szCs w:val="36"/>
        </w:rPr>
        <w:t xml:space="preserve">4.  Email Security</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Control</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Corporate email encryption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corporate email is transmitted over TLS. S/MIME or equivalent message-level encryption is required for email containing Restricted content sent to external recipients where TLS is not verifiable.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Email authentication</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Corporate email domain is protected by: SPF (Sender Policy Framework); DKIM (DomainKeys Identified Mail); DMARC (Domain-based Message Authentication, Reporting and Conformance) — policy of at least 'quarantine' enforced.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Phishing protection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corporate email is routed through an approved email security gateway with anti-phishing, anti-malware, and URL rewriting capabilities.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loss prevention</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DLP rules are applied to outbound email to detect and block transmission of: special category data, credit card numbers, key credential patterns, large volumes of customer records. DLP configuration is reviewed annually by Information Security.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External forwarding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Automatic forwarding of corporate email to personal accounts is prohibited and blocked at the email gateway.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Retention</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Email retention is governed by POL-002 and the Retention Schedule. Email must not be used as the primary record system for GxP records or regulated decisions.</w:t>
            </w:r>
          </w:p>
        </w:tc>
      </w:tr>
    </w:tbl>
    <w:p>
      <w:pPr>
        <w:pStyle w:val="Heading1"/>
        <w:spacing w:before="360" w:after="120"/>
      </w:pPr>
      <w:r>
        <w:rPr>
          <w:rFonts w:ascii="Arial" w:cs="Arial" w:eastAsia="Arial" w:hAnsi="Arial"/>
          <w:b/>
          <w:bCs/>
          <w:color w:val="1B2A4A"/>
          <w:sz w:val="36"/>
          <w:szCs w:val="36"/>
        </w:rPr>
        <w:t xml:space="preserve">5.  Video Conferencing and Voice Calls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Scenario</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Internal meetings — Internal Use content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corporate video conferencing platform. Recording is subject to attendee consent notification. Recordings stored in corporate systems, not on personal devices.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External meetings with Internal Use content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corporate platform or approved external platform (see register). Meeting link must require explicit join approval (waiting room or equivalent). Do not use personal accounts.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Meetings involving Restricted content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Approved corporate platform with E2E encryption enabled. Recording prohibited without explicit CISO approval. External attendees verified before admission.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calls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Out-of-band communications channel as defined in Section 6. Primary corporate platform may not be trusted if the incident involves a compromise of IT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or legal calls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records management requirements apply. Do not use personal devices. Record and retain as instructed by Legal.</w:t>
            </w:r>
          </w:p>
        </w:tc>
      </w:tr>
    </w:tbl>
    <w:p>
      <w:pPr>
        <w:pStyle w:val="Heading1"/>
        <w:spacing w:before="360" w:after="120"/>
      </w:pPr>
      <w:r>
        <w:rPr>
          <w:rFonts w:ascii="Arial" w:cs="Arial" w:eastAsia="Arial" w:hAnsi="Arial"/>
          <w:b/>
          <w:bCs/>
          <w:color w:val="1B2A4A"/>
          <w:sz w:val="36"/>
          <w:szCs w:val="36"/>
        </w:rPr>
        <w:t xml:space="preserve">6.  Emergency and Out-of-Band Communications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NIS2 Article 21(j) specifically requires secured emergency communication systems. This section defines the out-of-band communications capability that must function independently of [Company Name]'s primary IT infrastructure during a significant incident or infrastructure failure.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The out-of-band channel must not depend on the systems being recovered. If a ransomware attack encrypts the corporate email servers and Teams environment, the incident response team must still be able to communicate securely. The out-of-band channel is the mechanism that enables this.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Element</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Primary out-of-band channel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[Company Name] maintains a corporate-managed secure messaging platform that is not hosted on the primary corporate infrastructure. Platform details, access credentials, and configuration are documented in the DR Run-Book (SOP-011). This platform must be accessible from personal devices (with MFA) in the event the corporate estate is unavailable.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Secondary out-of-band channel</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secondary channel (e.g., a secure conference bridge) is maintained for situations where the primary out-of-band channel is also unavailable. Secondary channel details are documented in the DR Run-Book and the physical security vault copy.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contact list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Incident Response Team (IRT) contact list (SOP-012) includes personal mobile numbers for all IRT members and is accessible via the out-of-band channel. A printed copy is in the physical security vault.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Encryption standard</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out-of-band channel must use end-to-end encryption. The [Company Name] organisation account must hold administrative control of the platform. Consumer-grade or personal accounts must not be the primary out-of-band channel.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Testing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out-of-band channel must be tested at minimum quarterly and as part of every DR test (SOP-011). Testing confirms: all IRT members can authenticate and send/receive messages; the channel is accessible from outside the corporate network; encryption is functioning. Test results are recorded in the DR test log.</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Availability SLA</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out-of-band platform provider SLA must be independent of the corporate cloud provider. If [Company Name] is a Microsoft tenant, the out-of-band platform must not be Microsoft Teams or hosted in the same Azure tenant.</w:t>
            </w:r>
          </w:p>
        </w:tc>
      </w:tr>
    </w:tbl>
    <w:p>
      <w:pPr>
        <w:pStyle w:val="Heading1"/>
        <w:spacing w:before="360" w:after="120"/>
      </w:pPr>
      <w:r>
        <w:rPr>
          <w:rFonts w:ascii="Arial" w:cs="Arial" w:eastAsia="Arial" w:hAnsi="Arial"/>
          <w:b/>
          <w:bCs/>
          <w:color w:val="1B2A4A"/>
          <w:sz w:val="36"/>
          <w:szCs w:val="36"/>
        </w:rPr>
        <w:t xml:space="preserve">7.  GxP and Regulated Communications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Communications in the context of GxP activities that constitute data or records relevant to a regulated process are subject to POL-003 (Data Integrity) and SOP-003 (ALCOA+ requirements) in addition to this policy. This includes:</w:t>
      </w:r>
    </w:p>
    <w:p>
      <w:pPr>
        <w:spacing w:before="6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Approvals and decisions communicated electronically that form part of a GxP audit trail must be made via approved systems with electronic signature capability (POL-006).</w:t>
      </w:r>
    </w:p>
    <w:p>
      <w:pPr>
        <w:pStyle w:val="ListParagraph"/>
        <w:numPr>
          <w:ilvl w:val="0"/>
          <w:numId w:val="2"/>
        </w:numPr>
        <w:spacing w:before="60" w:after="60"/>
      </w:pPr>
      <w:r>
        <w:rPr>
          <w:rFonts w:ascii="Arial" w:cs="Arial" w:eastAsia="Arial" w:hAnsi="Arial"/>
          <w:color w:val="333333"/>
          <w:sz w:val="22"/>
          <w:szCs w:val="22"/>
        </w:rPr>
        <w:t xml:space="preserve">GxP data must not be transmitted via email or messaging as the authoritative record. Email may be used for notification but the primary record must reside in the validated system.</w:t>
      </w:r>
    </w:p>
    <w:p>
      <w:pPr>
        <w:pStyle w:val="ListParagraph"/>
        <w:numPr>
          <w:ilvl w:val="0"/>
          <w:numId w:val="2"/>
        </w:numPr>
        <w:spacing w:before="60" w:after="60"/>
      </w:pPr>
      <w:r>
        <w:rPr>
          <w:rFonts w:ascii="Arial" w:cs="Arial" w:eastAsia="Arial" w:hAnsi="Arial"/>
          <w:color w:val="333333"/>
          <w:sz w:val="22"/>
          <w:szCs w:val="22"/>
        </w:rPr>
        <w:t xml:space="preserve">Communications with regulatory authorities (FDA, EMA, MHRA) regarding GxP matters must be coordinated with Compliance/QA and Legal, and copies retained in the regulated correspondence file.</w:t>
      </w:r>
    </w:p>
    <w:p>
      <w:pPr>
        <w:pStyle w:val="Heading1"/>
        <w:spacing w:before="360" w:after="120"/>
      </w:pPr>
      <w:r>
        <w:rPr>
          <w:rFonts w:ascii="Arial" w:cs="Arial" w:eastAsia="Arial" w:hAnsi="Arial"/>
          <w:b/>
          <w:bCs/>
          <w:color w:val="1B2A4A"/>
          <w:sz w:val="36"/>
          <w:szCs w:val="36"/>
        </w:rPr>
        <w:t xml:space="preserve">8.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Own this policy. Maintain and publish the Approved Communications Platform Register. Approve exceptions to prohibited channel rules. Annual policy review.</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 Data Custodian IT</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Implement and maintain email security controls (SPF, DKIM, DMARC, DLP, gateway). Procure and maintain the out-of-band communications platform. Enforce approved platform controls at the network and identity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Maintain the Approved Communications Platform Register. Conduct vendor assessment of new communication platforms (SOP-013). Investigate communications security violations (SOP-012).</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Staff</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Use only approved channels for business communications. Not forward corporate content to personal accounts. Report use of prohibited channels (own or observed) to Information Security. Complete Tier 1 training which includes communications security awareness.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HR Director / CPO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Include communications security obligations in the employee handbook. Support disciplinary process for violations under POL-021.</w:t>
            </w:r>
          </w:p>
        </w:tc>
      </w:tr>
    </w:tbl>
    <w:p>
      <w:pPr>
        <w:pStyle w:val="Heading1"/>
        <w:spacing w:before="360" w:after="120"/>
      </w:pPr>
      <w:r>
        <w:rPr>
          <w:rFonts w:ascii="Arial" w:cs="Arial" w:eastAsia="Arial" w:hAnsi="Arial"/>
          <w:b/>
          <w:bCs/>
          <w:color w:val="1B2A4A"/>
          <w:sz w:val="36"/>
          <w:szCs w:val="36"/>
        </w:rPr>
        <w:t xml:space="preserve">9.  Exceptions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Exceptions to this policy are governed by EXC-001. Any request to use a non-approved channel for Restricted or above content must be approved by the CISO. Exceptions for Special Category data also require DPO approval. No standing exception is available for GxP audit trail or PHI communications — these require case-by-case approval.</w:t>
      </w:r>
    </w:p>
    <w:p>
      <w:pPr>
        <w:pStyle w:val="Heading1"/>
        <w:spacing w:before="360" w:after="120"/>
      </w:pPr>
      <w:r>
        <w:rPr>
          <w:rFonts w:ascii="Arial" w:cs="Arial" w:eastAsia="Arial" w:hAnsi="Arial"/>
          <w:b/>
          <w:bCs/>
          <w:color w:val="1B2A4A"/>
          <w:sz w:val="36"/>
          <w:szCs w:val="36"/>
        </w:rPr>
        <w:t xml:space="preserve">10.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5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Policy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Defines sensitivity tiers that determine permitted channels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5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MFA requirements for communications platforms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Policy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Out-of-band channel referenced in DR Run-Book</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5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communications during incidents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assessment for communications platforms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POL-019</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Network Security Policy</w:t>
            </w:r>
          </w:p>
        </w:tc>
        <w:tc>
          <w:tcPr>
            <w:tcW w:type="dxa" w:w="5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Network controls supporting communications security (encrypted traffic standards)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Communications Security Process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 procedures: platform approval, configuration, monitoring</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GOV-001</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NIS2 Governance Instrument</w:t>
            </w:r>
          </w:p>
        </w:tc>
        <w:tc>
          <w:tcPr>
            <w:tcW w:type="dxa" w:w="5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Art. 21(j) obligations this policy discharges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WI-021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Acceptable Use Policy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User-facing communications obligations</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POL-022 v1.0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COMMUNICATIONS SECURITY POLICY  |  POL-022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2026-03-08T13:02:31.956Z</dcterms:created>
  <dcterms:modified xsi:type="dcterms:W3CDTF">2026-03-08T13:02:31.957Z</dcterms:modified>
</cp:coreProperties>
</file>

<file path=docProps/custom.xml><?xml version="1.0" encoding="utf-8"?>
<Properties xmlns="http://schemas.openxmlformats.org/officeDocument/2006/custom-properties" xmlns:vt="http://schemas.openxmlformats.org/officeDocument/2006/docPropsVTypes"/>
</file>