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AI GOVERNANCE AND ACCEPTABLE USE POLICY</w:t>
      </w:r>
    </w:p>
    <w:p>
      <w:pPr>
        <w:shd w:fill="1B2A4A" w:val="clear"/>
        <w:spacing w:before="40" w:after="0"/>
        <w:ind w:left="1440"/>
      </w:pPr>
      <w:r>
        <w:rPr>
          <w:rFonts w:ascii="Arial" w:cs="Arial" w:eastAsia="Arial" w:hAnsi="Arial"/>
          <w:i/>
          <w:iCs/>
          <w:color w:val="D6E4F7"/>
          <w:sz w:val="24"/>
          <w:szCs w:val="24"/>
        </w:rPr>
        <w:t xml:space="preserve">POL-023  |  Policy  |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POL-023</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Co-Owners:  </w:t>
      </w:r>
      <w:r>
        <w:rPr>
          <w:rFonts w:ascii="Arial" w:cs="Arial" w:eastAsia="Arial" w:hAnsi="Arial"/>
          <w:color w:val="D6E4F7"/>
          <w:sz w:val="20"/>
          <w:szCs w:val="20"/>
        </w:rPr>
        <w:t xml:space="preserve">Chief People Officer  |  General Counsel  |  Head of Compliance/QA</w:t>
      </w:r>
    </w:p>
    <w:p>
      <w:pPr>
        <w:shd w:fill="1B2A4A" w:val="clear"/>
        <w:spacing w:before="40" w:after="40"/>
        <w:ind w:left="1440"/>
      </w:pPr>
      <w:r>
        <w:rPr>
          <w:rFonts w:ascii="Arial" w:cs="Arial" w:eastAsia="Arial" w:hAnsi="Arial"/>
          <w:b/>
          <w:bCs/>
          <w:color w:val="FFFFFF"/>
          <w:sz w:val="20"/>
          <w:szCs w:val="20"/>
        </w:rPr>
        <w:t xml:space="preserve">Review Frequency:  </w:t>
      </w:r>
      <w:r>
        <w:rPr>
          <w:rFonts w:ascii="Arial" w:cs="Arial" w:eastAsia="Arial" w:hAnsi="Arial"/>
          <w:color w:val="D6E4F7"/>
          <w:sz w:val="20"/>
          <w:szCs w:val="20"/>
        </w:rPr>
        <w:t xml:space="preserve">Annual (or earlier on material regulatory development)</w:t>
      </w:r>
    </w:p>
    <w:p>
      <w:pPr>
        <w:shd w:fill="1B2A4A" w:val="clear"/>
        <w:spacing w:before="40" w:after="40"/>
        <w:ind w:left="1440"/>
      </w:pPr>
      <w:r>
        <w:rPr>
          <w:rFonts w:ascii="Arial" w:cs="Arial" w:eastAsia="Arial" w:hAnsi="Arial"/>
          <w:b/>
          <w:bCs/>
          <w:color w:val="FFFFFF"/>
          <w:sz w:val="20"/>
          <w:szCs w:val="20"/>
        </w:rPr>
        <w:t xml:space="preserve">Status:  </w:t>
      </w:r>
      <w:r>
        <w:rPr>
          <w:rFonts w:ascii="Arial" w:cs="Arial" w:eastAsia="Arial" w:hAnsi="Arial"/>
          <w:color w:val="D6E4F7"/>
          <w:sz w:val="20"/>
          <w:szCs w:val="20"/>
        </w:rPr>
        <w:t xml:space="preserve">Active</w:t>
      </w:r>
    </w:p>
    <w:p>
      <w:pPr>
        <w:shd w:fill="1B2A4A" w:val="clear"/>
        <w:spacing w:before="40" w:after="40"/>
        <w:ind w:left="1440"/>
      </w:pPr>
      <w:r>
        <w:rPr>
          <w:rFonts w:ascii="Arial" w:cs="Arial" w:eastAsia="Arial" w:hAnsi="Arial"/>
          <w:b/>
          <w:bCs/>
          <w:color w:val="FFFFFF"/>
          <w:sz w:val="20"/>
          <w:szCs w:val="20"/>
        </w:rPr>
        <w:t xml:space="preserve">Regulation:  </w:t>
      </w:r>
      <w:r>
        <w:rPr>
          <w:rFonts w:ascii="Arial" w:cs="Arial" w:eastAsia="Arial" w:hAnsi="Arial"/>
          <w:color w:val="D6E4F7"/>
          <w:sz w:val="20"/>
          <w:szCs w:val="20"/>
        </w:rPr>
        <w:t xml:space="preserve">ISO 27001 A.5.10/A.8.19; EU AI Act; FDA AI/ML guidance; EMA AI considerations; GDPR Art. 22/25; 21 CFR Part 11</w:t>
      </w:r>
    </w:p>
    <w:p>
      <w:pPr>
        <w:shd w:fill="1B2A4A" w:val="clear"/>
        <w:spacing w:before="40" w:after="40"/>
        <w:ind w:left="1440"/>
      </w:pPr>
      <w:r>
        <w:rPr>
          <w:rFonts w:ascii="Arial" w:cs="Arial" w:eastAsia="Arial" w:hAnsi="Arial"/>
          <w:b/>
          <w:bCs/>
          <w:color w:val="FFFFFF"/>
          <w:sz w:val="20"/>
          <w:szCs w:val="20"/>
        </w:rPr>
        <w:t xml:space="preserve">Addresses Gaps:  </w:t>
      </w:r>
      <w:r>
        <w:rPr>
          <w:rFonts w:ascii="Arial" w:cs="Arial" w:eastAsia="Arial" w:hAnsi="Arial"/>
          <w:color w:val="D6E4F7"/>
          <w:sz w:val="20"/>
          <w:szCs w:val="20"/>
        </w:rPr>
        <w:t xml:space="preserve">ISO-G03</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1.  Purpose and Background</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Artificial intelligence (AI) tools — including generative AI assistants, AI-powered code tools, AI writing assistants, AI analysis platforms, and AI-integrated business applications — present significant opportunities and material risks for [Company Name]. This policy governs the use of AI tools by all [Company Name] personnel and establishes the governance framework for the organisation's own use and development of AI in its business operations.</w:t>
      </w:r>
    </w:p>
    <w:p>
      <w:pPr>
        <w:spacing w:before="60" w:after="0"/>
      </w:pPr>
      <w:r>
        <w:t xml:space="preserve"/>
      </w:r>
    </w:p>
    <w:p>
      <w:pPr>
        <w:spacing w:before="80" w:after="80"/>
      </w:pPr>
      <w:r>
        <w:rPr>
          <w:rFonts w:ascii="Arial" w:cs="Arial" w:eastAsia="Arial" w:hAnsi="Arial"/>
          <w:color w:val="333333"/>
          <w:sz w:val="22"/>
          <w:szCs w:val="22"/>
        </w:rPr>
        <w:t xml:space="preserve">The regulatory landscape for AI is rapidly evolving. The EU AI Act introduces risk-based obligations for AI system providers and deployers effective from 2024-2026 on a phased basis. The FDA's evolving guidance on AI/ML-based Software as a Medical Device (SaMD) and AI in drug development processes, EMA's emerging AI guidance for medicinal products, and SEC requirements for AI-related disclosures create a complex multi-regulator environment. This policy is designed to be reviewed annually at minimum, with ad-hoc review triggered by material regulatory development.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AI tools used in or connected to GxP-regulated processes are subject to POL-005 (System Classification), POL-006 (Computer System Validation), and POL-003 (Data Integrity — ALCOA+). A GxP data integrity risk arises whenever an AI tool makes, recommends, or records a decision that is part of a regulated process. Use of AI tools in GxP contexts without validation or qualification assessment is a potential 21 CFR Part 11 / Annex 11 violation.</w:t>
            </w:r>
          </w:p>
        </w:tc>
      </w:tr>
    </w:tbl>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employees, contractors, consultants, and third parties acting on behalf of [Company Name]. It covers:</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Use of external AI services and tools (cloud-based AI assistants, generative AI APIs, AI-powered productivity tools) with any [Company Name] data.</w:t>
      </w:r>
    </w:p>
    <w:p>
      <w:pPr>
        <w:pStyle w:val="ListParagraph"/>
        <w:numPr>
          <w:ilvl w:val="0"/>
          <w:numId w:val="2"/>
        </w:numPr>
        <w:spacing w:before="60" w:after="60"/>
      </w:pPr>
      <w:r>
        <w:rPr>
          <w:rFonts w:ascii="Arial" w:cs="Arial" w:eastAsia="Arial" w:hAnsi="Arial"/>
          <w:color w:val="333333"/>
          <w:sz w:val="22"/>
          <w:szCs w:val="22"/>
        </w:rPr>
        <w:t xml:space="preserve">Use of AI tools embedded in approved business applications (e.g., AI features within Microsoft 365, AI in ERP/CRM systems).</w:t>
      </w:r>
    </w:p>
    <w:p>
      <w:pPr>
        <w:pStyle w:val="ListParagraph"/>
        <w:numPr>
          <w:ilvl w:val="0"/>
          <w:numId w:val="2"/>
        </w:numPr>
        <w:spacing w:before="60" w:after="60"/>
      </w:pPr>
      <w:r>
        <w:rPr>
          <w:rFonts w:ascii="Arial" w:cs="Arial" w:eastAsia="Arial" w:hAnsi="Arial"/>
          <w:color w:val="333333"/>
          <w:sz w:val="22"/>
          <w:szCs w:val="22"/>
        </w:rPr>
        <w:t xml:space="preserve">Development or customisation of AI systems by [Company Name] or on its behalf.</w:t>
      </w:r>
    </w:p>
    <w:p>
      <w:pPr>
        <w:pStyle w:val="ListParagraph"/>
        <w:numPr>
          <w:ilvl w:val="0"/>
          <w:numId w:val="2"/>
        </w:numPr>
        <w:spacing w:before="60" w:after="60"/>
      </w:pPr>
      <w:r>
        <w:rPr>
          <w:rFonts w:ascii="Arial" w:cs="Arial" w:eastAsia="Arial" w:hAnsi="Arial"/>
          <w:color w:val="333333"/>
          <w:sz w:val="22"/>
          <w:szCs w:val="22"/>
        </w:rPr>
        <w:t xml:space="preserve">Procurement of AI-enabled products or services from third parties.</w:t>
      </w:r>
    </w:p>
    <w:p>
      <w:pPr>
        <w:pStyle w:val="ListParagraph"/>
        <w:numPr>
          <w:ilvl w:val="0"/>
          <w:numId w:val="2"/>
        </w:numPr>
        <w:spacing w:before="60" w:after="60"/>
      </w:pPr>
      <w:r>
        <w:rPr>
          <w:rFonts w:ascii="Arial" w:cs="Arial" w:eastAsia="Arial" w:hAnsi="Arial"/>
          <w:color w:val="333333"/>
          <w:sz w:val="22"/>
          <w:szCs w:val="22"/>
        </w:rPr>
        <w:t xml:space="preserve">AI systems used in or that could affect GxP-regulated processes.</w:t>
      </w:r>
    </w:p>
    <w:p>
      <w:pPr>
        <w:spacing w:before="60" w:after="0"/>
      </w:pPr>
      <w:r>
        <w:t xml:space="preserve"/>
      </w:r>
    </w:p>
    <w:p>
      <w:pPr>
        <w:spacing w:before="80" w:after="80"/>
      </w:pPr>
      <w:r>
        <w:rPr>
          <w:rFonts w:ascii="Arial" w:cs="Arial" w:eastAsia="Arial" w:hAnsi="Arial"/>
          <w:color w:val="333333"/>
          <w:sz w:val="22"/>
          <w:szCs w:val="22"/>
        </w:rPr>
        <w:t xml:space="preserve">This policy does not apply to standard algorithmic tools (calculators, rule-based automation, traditional statistical analysis) that do not use machine learning, neural networks, or generative AI. It applies to all tools that generate, predict, recommend, or create content using AI/ML models.</w:t>
      </w:r>
    </w:p>
    <w:p>
      <w:pPr>
        <w:pStyle w:val="Heading1"/>
        <w:spacing w:before="360" w:after="120"/>
      </w:pPr>
      <w:r>
        <w:rPr>
          <w:rFonts w:ascii="Arial" w:cs="Arial" w:eastAsia="Arial" w:hAnsi="Arial"/>
          <w:b/>
          <w:bCs/>
          <w:color w:val="1B2A4A"/>
          <w:sz w:val="36"/>
          <w:szCs w:val="36"/>
        </w:rPr>
        <w:t xml:space="preserve">3.  AI Tool Categories and Approval Framework</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30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Requirement</w:t>
            </w:r>
          </w:p>
        </w:tc>
        <w:tc>
          <w:tcPr>
            <w:tcW w:type="dxa" w:w="30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Restrictions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A — Approved Corporate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 tools and features within [Company Name]-managed, assessed, and approved corporate platforms (e.g., AI features within the corporate Microsoft 365 tenant where data residency and privacy controls are confirmed, or similar assessed corporate platforms). Listed on the Approved AI Tool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Pre-approved via SOP-023 platform assessment. No per-use approval needed.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Subject to data classification rules in POL-001. Special Category and PHI require additional review even in approved platforms.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B — Assessed External AI (Approved with conditions)</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External AI services that have been assessed under SOP-023 and approved with defined conditions. Example: a specialist scientific literature AI assistant approved for Internal Use content only. Listed on the Approved AI Tool Register with conditions.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SOP-023 assessment required before use. CISO approval. Conditions documented on register.</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Conditions specify maximum data classification, permitted use cases, and prohibited data types.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C — Unapproved AI (Shadow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AI tool not on the Approved AI Tool Register, including personal AI subscriptions (ChatGPT personal accounts, Google Gemini personal accounts, Claude personal accounts, etc.) used for business purposes.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 for any business content above Public classification. No approval pathway for Special Category, PHI, or Restricted 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 for all Internal Use and above business content. Public content only, and only where no [Company Name] confidential context is included in prompts.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D — AI in GxP Contexts</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AI tool that performs, recommends, or influences a function in a GxP-regulated process.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assessment under POL-005 required. Validation assessment under POL-006 required. No deployment without validation. CISO + Compliance/QA Director joint approval.</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must not be processed by any AI tool that has not completed validation under POL-006 and SOP-006.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Category C shadow AI is the primary data exposure risk. Personnel using personal ChatGPT, Gemini, or similar accounts with company data — including by copy-pasting company documents, customer data, or confidential communications into prompts — are sending that data to the AI provider's servers outside [Company Name]'s data processing control. This is a data breach risk, an IP risk, and a GxP data integrity risk. The prohibition applies on corporate and personal devices when performing company business.</w:t>
            </w:r>
          </w:p>
        </w:tc>
      </w:tr>
    </w:tbl>
    <w:p>
      <w:pPr>
        <w:pStyle w:val="Heading1"/>
        <w:spacing w:before="360" w:after="120"/>
      </w:pPr>
      <w:r>
        <w:rPr>
          <w:rFonts w:ascii="Arial" w:cs="Arial" w:eastAsia="Arial" w:hAnsi="Arial"/>
          <w:b/>
          <w:bCs/>
          <w:color w:val="1B2A4A"/>
          <w:sz w:val="36"/>
          <w:szCs w:val="36"/>
        </w:rPr>
        <w:t xml:space="preserve">4.  Data Classification Rules for AI Tool Use</w:t>
      </w:r>
    </w:p>
    <w:p>
      <w:pPr>
        <w:pBdr>
          <w:bottom w:val="single" w:color="2E5EA8" w:sz="8" w:space="1"/>
        </w:pBdr>
        <w:spacing w:before="0" w:after="12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800"/>
        <w:gridCol w:w="19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Classification (POL-001)</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 A — Approved Corporate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 B — Assessed External</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 C — Unapproved</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 D — GxP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 (no company context in prompt)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 unless GxP record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Use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 if conditions allow</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 without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Restricted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 if platform controls 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if specific approval granted for Restricted 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 without validation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Special Category / PHI</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Requires additional review — DPO sign-off</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 without validation and DPO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records (any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Requires Category D assessment even if Category A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Requires Category D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PROHIBITED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Requires full validation under POL-006</w:t>
            </w:r>
          </w:p>
        </w:tc>
      </w:tr>
    </w:tbl>
    <w:p>
      <w:pPr>
        <w:pStyle w:val="Heading1"/>
        <w:spacing w:before="360" w:after="120"/>
      </w:pPr>
      <w:r>
        <w:rPr>
          <w:rFonts w:ascii="Arial" w:cs="Arial" w:eastAsia="Arial" w:hAnsi="Arial"/>
          <w:b/>
          <w:bCs/>
          <w:color w:val="1B2A4A"/>
          <w:sz w:val="36"/>
          <w:szCs w:val="36"/>
        </w:rPr>
        <w:t xml:space="preserve">5.  Obligations for All Staff</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only approved tools for business 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Never input Internal Use or above company information into a Category C (unapproved) AI tool. This includes: customer information, employee information, financial data, IP, clinical data, regulatory submissions, legal correspondence, security vulnerability details.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 not input Restricted or Special Category data into any AI without explicit approval</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Even Category A approved tools require additional care for Restricted and Special Category data. Confirm the tool is approved for that classification before inputting.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Disclose AI-assisted outputs in regulated contexts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document, analysis, or decision produced with AI assistance in a GxP, regulatory submission, or legal context must note the AI tool used and confirm human review and verification. AI-generated content in a GxP record is an audit trail entry; it must be attributed and reviewed.</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Verify AI-generated outputs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outputs may be incorrect, biased, or hallucinated. Any AI-generated content used in a business decision, regulatory submission, financial report, or GxP context must be independently verified against primary sources by the responsible person. 'The AI said so' is not an acceptable basis for a regulated decision or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AI tool incidents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Apparent data exposure via AI (e.g., Restricted data input into an unapproved tool; AI tool outputting other customers' data), AI-generated errors in regulated documents, and suspected AI security vulnerabilities must be reported to Information Security under SOP-012.</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 not use AI to circumvent controls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tools must not be used to: bypass access controls; generate credentials or bypass authentication; assist in activities prohibited by any [Company Name] policy; generate content that would be prohibited if produced by a human (e.g., offensive content, fabricated audit trail entries).</w:t>
            </w:r>
          </w:p>
        </w:tc>
      </w:tr>
    </w:tbl>
    <w:p>
      <w:pPr>
        <w:pStyle w:val="Heading1"/>
        <w:spacing w:before="360" w:after="120"/>
      </w:pPr>
      <w:r>
        <w:rPr>
          <w:rFonts w:ascii="Arial" w:cs="Arial" w:eastAsia="Arial" w:hAnsi="Arial"/>
          <w:b/>
          <w:bCs/>
          <w:color w:val="1B2A4A"/>
          <w:sz w:val="36"/>
          <w:szCs w:val="36"/>
        </w:rPr>
        <w:t xml:space="preserve">6.  Obligations for AI Developers and Procurement Teams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Context</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Procuring AI-enabled products or services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AI-enabled products or services are assessed under POL-013/SOP-013 as a Tier A or Tier B vendor, depending on data access. The AI functionality, training data sources, and output use cases must be explicitly assessed. The Technical Agreement (POL-013) must address: what data the AI system processes; whether [Company Name] data is used to train models; data retention in the AI system; model versioning and change notification obligations.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Developing or fine-tuning AI models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internal AI development is subject to POL-024 (Secure Development Lifecycle) where applicable. AI models trained on [Company Name] data must be assessed under POL-001 (data classification of training data) and POL-004 (privacy impact of personal data in training sets). Training on personal data requires a DPIA (SOP-004).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Deploying AI in GxP contexts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AI system deployed in a GxP context follows the Category D pathway: system classification assessment (POL-005/WI-005), validation assessment (POL-006/SOP-006), ongoing change control (POL-007/SOP-007). The validation must cover the AI model version, training data, and output range. Model updates are change-controlled.</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EU AI Act compliance assessment</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any AI system that [Company Name] places on the market or puts into service in the EU, the Head of Compliance/QA and General Counsel assess whether the system meets the EU AI Act's risk classification (unacceptable risk, high risk, limited risk, minimal risk) and the associated conformity assessment, transparency, and human oversight obligations. High-risk AI systems (including those in healthcare and regulated products) require registration in the EU database.</w:t>
            </w:r>
          </w:p>
        </w:tc>
      </w:tr>
    </w:tbl>
    <w:p>
      <w:pPr>
        <w:pStyle w:val="Heading1"/>
        <w:spacing w:before="360" w:after="120"/>
      </w:pPr>
      <w:r>
        <w:rPr>
          <w:rFonts w:ascii="Arial" w:cs="Arial" w:eastAsia="Arial" w:hAnsi="Arial"/>
          <w:b/>
          <w:bCs/>
          <w:color w:val="1B2A4A"/>
          <w:sz w:val="36"/>
          <w:szCs w:val="36"/>
        </w:rPr>
        <w:t xml:space="preserve">7.  AI Risk Assessment Framework</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new AI tool requests are assessed by Information Security (with Compliance/QA where GxP-relevant) against the following risk dimensions before any Category B or Category D approval is granted: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Dimension</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Questions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exposure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data will be input to the AI? Does the AI provider retain, use, or train on input data? Where is the data processed and stored? What is the data residency?</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IP and confidentiality</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inputting company data to the AI create IP ownership ambiguity? Does the AI provider's terms of service claim any rights to input data? Could confidential information be reconstructed from AI outputs?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AI make, recommend, or influence decisions in a GxP process? Could AI outputs appear in audit trails without attribution? Could AI errors affect product quality or patient safety?</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Accuracy and bias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is the known accuracy and failure mode of the AI? Could biased outputs cause discriminatory decisions (relevant to HR applications)? What is the human oversight mechanism?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compliance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AI system meet relevant EU AI Act requirements? Is FDA/EMA guidance applicable? Are there any sector-specific restrictions on AI use in the intended application?</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Has the AI provider been assessed under POL-013? Are there known vulnerabilities in the AI system? Is the AI API endpoint included in the vulnerability management scope (POL-017)?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dependency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is the business impact if the AI service is withdrawn? Is there a validated fallback process? Is the AI provider a single point of failure for any critical function?</w:t>
            </w:r>
          </w:p>
        </w:tc>
      </w:tr>
    </w:tbl>
    <w:p>
      <w:pPr>
        <w:pStyle w:val="Heading1"/>
        <w:spacing w:before="360" w:after="120"/>
      </w:pPr>
      <w:r>
        <w:rPr>
          <w:rFonts w:ascii="Arial" w:cs="Arial" w:eastAsia="Arial" w:hAnsi="Arial"/>
          <w:b/>
          <w:bCs/>
          <w:color w:val="1B2A4A"/>
          <w:sz w:val="36"/>
          <w:szCs w:val="36"/>
        </w:rPr>
        <w:t xml:space="preserve">8.  Governance and Oversight</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AI Tool Register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Maintained by Information Security. Published on the corporate intranet. Reviewed quarterly. Available to all staff. Includes: tool name, category (A/B/D), approved use cases, data classification restrictions, conditions of use, assessment date, next review date.</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AI governance review</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CISO reports to the ISSG quarterly on: new AI tool approvals and rejections; AI-related incidents or near-misses; emerging regulatory developments; use of AI tools in GxP contexts (joint review with Compliance/QA Director).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policy review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This policy is reviewed annually — and earlier if: a material regulatory development occurs (e.g., new FDA AI/ML guidance, EU AI Act implementing regulations); a significant AI-related incident occurs; a new AI system is being considered for a GxP or safety-critical context.</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governance is included in Tier 1 annual training for all staff. A more detailed module on AI in GxP contexts is included in Tier 3 training. Tier 4 staff with AI development or assessment responsibilities complete a specialist AI security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AI oversight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AI system operating in a GxP context is subject to ongoing performance monitoring as part of the system's operational qualification and continuous validation evidence. Model version changes are change-controlled under POL-007/SOP-007. Unexpected AI outputs are recorded as deviations in the GxP system.</w:t>
            </w:r>
          </w:p>
        </w:tc>
      </w:tr>
    </w:tbl>
    <w:p>
      <w:pPr>
        <w:pStyle w:val="Heading1"/>
        <w:spacing w:before="360" w:after="120"/>
      </w:pPr>
      <w:r>
        <w:rPr>
          <w:rFonts w:ascii="Arial" w:cs="Arial" w:eastAsia="Arial" w:hAnsi="Arial"/>
          <w:b/>
          <w:bCs/>
          <w:color w:val="1B2A4A"/>
          <w:sz w:val="36"/>
          <w:szCs w:val="36"/>
        </w:rPr>
        <w:t xml:space="preserve">9.  Exceptions and Disciplinary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this policy — including requests to use unapproved AI tools with Internal Use or above data — are governed by EXC-001. No exception is available for processing Restricted, Special Category, PHI, or GxP records in Category C tools. Violation of this policy, in particular the use of personal AI tools with company data, is a disciplinary matter under POL-021. Severity is determined by the classification of data involved and whether harm occurred.</w:t>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7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 (ALCOA+)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 (GDPR Art. 22 automated decision-making; DPIA for AI)</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 (AI system classification 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 (AI risks in risk register)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 (AI vendor assessment)</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POL-021</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Security and Acceptable Use Policy (disciplinary framework)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 Governance Process (operational procedures for this policy)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WI-021</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Acceptable Use Policy (user-facing AI obligations)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POL-023 v1.0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AI GOVERNANCE AND ACCEPTABLE USE POLICY  |  POL-023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2026-03-08T13:05:13.451Z</dcterms:created>
  <dcterms:modified xsi:type="dcterms:W3CDTF">2026-03-08T13:05:13.452Z</dcterms:modified>
</cp:coreProperties>
</file>

<file path=docProps/custom.xml><?xml version="1.0" encoding="utf-8"?>
<Properties xmlns="http://schemas.openxmlformats.org/officeDocument/2006/custom-properties" xmlns:vt="http://schemas.openxmlformats.org/officeDocument/2006/docPropsVTypes"/>
</file>