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DATA CLASSIFICATION PROCESS</w:t>
      </w:r>
    </w:p>
    <w:p>
      <w:pPr>
        <w:shd w:fill="1B2A4A" w:val="clear"/>
        <w:spacing w:before="40" w:after="0"/>
        <w:ind w:left="1440"/>
      </w:pPr>
      <w:r>
        <w:rPr>
          <w:rFonts w:ascii="Arial" w:cs="Arial" w:eastAsia="Arial" w:hAnsi="Arial"/>
          <w:i/>
          <w:iCs/>
          <w:color w:val="D6E4F7"/>
          <w:sz w:val="24"/>
          <w:szCs w:val="24"/>
        </w:rPr>
        <w:t xml:space="preserve">SOP-001  |  Issued under POL-001 Data Classification Policy</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SOP-001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POL-001  —  Data Classification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Process 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 — Data Classification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WI</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WI-001 — Data Classification Questionnaire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 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By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Standard Operating Procedure defines the end-to-end process by which data assets at [Company Name] are classified, labelled, controlled, registered, and periodically reviewed in accordance with the Data Classification Policy (POL-001).</w:t>
      </w:r>
    </w:p>
    <w:p>
      <w:pPr>
        <w:spacing w:before="60" w:after="0"/>
      </w:pPr>
      <w:r>
        <w:t xml:space="preserve"/>
      </w:r>
    </w:p>
    <w:p>
      <w:pPr>
        <w:spacing w:before="80" w:after="80"/>
      </w:pPr>
      <w:r>
        <w:rPr>
          <w:rFonts w:ascii="Arial" w:cs="Arial" w:eastAsia="Arial" w:hAnsi="Arial"/>
          <w:color w:val="333333"/>
          <w:sz w:val="22"/>
          <w:szCs w:val="22"/>
        </w:rPr>
        <w:t xml:space="preserve">It is the operational translation of POL-001 into a repeatable, auditable workflow. Compliance with this SOP is required of all personnel who create, receive, or are assigned ownership of data assets. Step-by-step task execution is supported by Work Instruction WI-001 (Data Classification Questionnaire).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w:t>
      </w:r>
    </w:p>
    <w:p>
      <w:pPr>
        <w:pStyle w:val="ListParagraph"/>
        <w:numPr>
          <w:ilvl w:val="0"/>
          <w:numId w:val="2"/>
        </w:numPr>
        <w:spacing w:before="60" w:after="60"/>
      </w:pPr>
      <w:r>
        <w:rPr>
          <w:rFonts w:ascii="Arial" w:cs="Arial" w:eastAsia="Arial" w:hAnsi="Arial"/>
          <w:color w:val="333333"/>
          <w:sz w:val="22"/>
          <w:szCs w:val="22"/>
        </w:rPr>
        <w:t xml:space="preserve">All data assets created, collected, or received by [Company Name] personnel or systems</w:t>
      </w:r>
    </w:p>
    <w:p>
      <w:pPr>
        <w:pStyle w:val="ListParagraph"/>
        <w:numPr>
          <w:ilvl w:val="0"/>
          <w:numId w:val="2"/>
        </w:numPr>
        <w:spacing w:before="60" w:after="60"/>
      </w:pPr>
      <w:r>
        <w:rPr>
          <w:rFonts w:ascii="Arial" w:cs="Arial" w:eastAsia="Arial" w:hAnsi="Arial"/>
          <w:color w:val="333333"/>
          <w:sz w:val="22"/>
          <w:szCs w:val="22"/>
        </w:rPr>
        <w:t xml:space="preserve">All data owners and data custodians as defined in POL-001</w:t>
      </w:r>
    </w:p>
    <w:p>
      <w:pPr>
        <w:pStyle w:val="ListParagraph"/>
        <w:numPr>
          <w:ilvl w:val="0"/>
          <w:numId w:val="2"/>
        </w:numPr>
        <w:spacing w:before="60" w:after="60"/>
      </w:pPr>
      <w:r>
        <w:rPr>
          <w:rFonts w:ascii="Arial" w:cs="Arial" w:eastAsia="Arial" w:hAnsi="Arial"/>
          <w:color w:val="333333"/>
          <w:sz w:val="22"/>
          <w:szCs w:val="22"/>
        </w:rPr>
        <w:t xml:space="preserve">All formats of data: structured databases, documents, emails, spreadsheets, and physical records</w:t>
      </w:r>
    </w:p>
    <w:p>
      <w:pPr>
        <w:pStyle w:val="ListParagraph"/>
        <w:numPr>
          <w:ilvl w:val="0"/>
          <w:numId w:val="2"/>
        </w:numPr>
        <w:spacing w:before="60" w:after="60"/>
      </w:pPr>
      <w:r>
        <w:rPr>
          <w:rFonts w:ascii="Arial" w:cs="Arial" w:eastAsia="Arial" w:hAnsi="Arial"/>
          <w:color w:val="333333"/>
          <w:sz w:val="22"/>
          <w:szCs w:val="22"/>
        </w:rPr>
        <w:t xml:space="preserve">Third-party data assets held on behalf of [Company Name] that have been assigned an internal Data Owner</w:t>
      </w:r>
    </w:p>
    <w:p>
      <w:pPr>
        <w:spacing w:before="80" w:after="0"/>
      </w:pPr>
      <w:r>
        <w:t xml:space="preserve"/>
      </w:r>
    </w:p>
    <w:p>
      <w:pPr>
        <w:spacing w:before="80" w:after="80"/>
      </w:pPr>
      <w:r>
        <w:rPr>
          <w:rFonts w:ascii="Arial" w:cs="Arial" w:eastAsia="Arial" w:hAnsi="Arial"/>
          <w:color w:val="333333"/>
          <w:sz w:val="22"/>
          <w:szCs w:val="22"/>
        </w:rPr>
        <w:t xml:space="preserve">This SOP does not cover system criticality classification, which is governed by SOP-005.</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Creator / Recipient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employee or system that generates or receives a new data asset. Responsible for triggering classification at the point of creation or receipt and completing an initial tier assessment using WI-001.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business leader accountable for a data domain. Confirms or overrides the initial tier assessment. Signs off on the final classification. Accountable for annual reconfirmation.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the technical handling controls (encryption, access controls, labelling in systems) corresponding to the assigned tier. Registers the asset in the Corporate Asset Register.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Provides guidance on uncertain classifications. Adjudicates disputes. Escalation point for Tier 4 and Tier 5 assets. Maintains this SOP and WI-001. Monitors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be consulted for any asset classified Tier 4 — Sensitive Personal, and for any downward reclassification of Tier 4 data.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Approval authority for downward reclassification of Tier 5 — Highly Confidential assets.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Trigger Events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classification process must be initiated whenever any of the following events occur: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4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Initiated 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data asset created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document, database, dataset, or file is newly created by company personnel or systems.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Creator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data asset received</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is received from an external or third-party source (client, partner, regulatory body, vendor).</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Recipient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scope change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content of an existing asset changes materially — for example, personal data is added to a previously non-personal dataset.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system onboarding</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new system is onboarded that will hold or process data. Data classification informs system classification (SOP-005).</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existing classified assets must be reviewed and reconfirmed annually.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Reclassification request</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Data Owner or Information Security identifies a need to change the classification of an existing asset.</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 InfoSec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Post-incident review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Following a data incident or near-miss, the classification of affected assets must be reviewed.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bl>
    <w:p>
      <w:r>
        <w:br w:type="page"/>
      </w:r>
    </w:p>
    <w:p>
      <w:pPr>
        <w:pStyle w:val="Heading1"/>
        <w:spacing w:before="360" w:after="120"/>
      </w:pPr>
      <w:r>
        <w:rPr>
          <w:rFonts w:ascii="Arial" w:cs="Arial" w:eastAsia="Arial" w:hAnsi="Arial"/>
          <w:b/>
          <w:bCs/>
          <w:color w:val="1B2A4A"/>
          <w:sz w:val="36"/>
          <w:szCs w:val="36"/>
        </w:rPr>
        <w:t xml:space="preserve">5.  Classification Process — Step by Step</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steps constitute the full data classification workflow. Each step references the responsible party. For task-level execution detail, refer to WI-001 (Data Classification Questionnaire).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Identify the Asset</w:t>
            </w:r>
          </w:p>
          <w:p>
            <w:pPr>
              <w:spacing w:before="0" w:after="0"/>
            </w:pPr>
            <w:r>
              <w:rPr>
                <w:rFonts w:ascii="Arial" w:cs="Arial" w:eastAsia="Arial" w:hAnsi="Arial"/>
                <w:color w:val="444444"/>
                <w:sz w:val="20"/>
                <w:szCs w:val="20"/>
              </w:rPr>
              <w:t xml:space="preserve">Upon creation or receipt of a data asset, the Creator or Recipient identifies: (a) what the data contains, (b) who it relates to, (c) its likely regulatory scope. If the asset is a subset or derivative of an existing classified asset, the existing classification applies unless the new asset contains additional or different data types.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Creator / Recipient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Complete Initial Tier Assessment (WI-001)</w:t>
            </w:r>
          </w:p>
          <w:p>
            <w:pPr>
              <w:spacing w:before="0" w:after="0"/>
            </w:pPr>
            <w:r>
              <w:rPr>
                <w:rFonts w:ascii="Arial" w:cs="Arial" w:eastAsia="Arial" w:hAnsi="Arial"/>
                <w:color w:val="444444"/>
                <w:sz w:val="20"/>
                <w:szCs w:val="20"/>
              </w:rPr>
              <w:t xml:space="preserve">The Creator or Recipient completes the Data Classification Questionnaire (WI-001). The questionnaire guides the user through a structured set of questions covering: regulatory category, personal data presence, confidentiality of content, and potential impact of disclosure. WI-001 produces a recommended sensitivity tier (Tier 1–5).</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Creator / Recipient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Data Owner Review and Confirmation</w:t>
            </w:r>
          </w:p>
          <w:p>
            <w:pPr>
              <w:spacing w:before="0" w:after="0"/>
            </w:pPr>
            <w:r>
              <w:rPr>
                <w:rFonts w:ascii="Arial" w:cs="Arial" w:eastAsia="Arial" w:hAnsi="Arial"/>
                <w:color w:val="444444"/>
                <w:sz w:val="20"/>
                <w:szCs w:val="20"/>
              </w:rPr>
              <w:t xml:space="preserve">The recommended classification is submitted to the Data Owner for the relevant data domain. The Data Owner reviews the WI-001 output and either: (a) confirms the recommended tier, or (b) overrides it with documented justification. Where a Tier 4 or Tier 5 classification is assigned or overridden, the Data Owner must notify Information Security.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Information Security Escalation (Tier 4 and Tier 5)</w:t>
            </w:r>
          </w:p>
          <w:p>
            <w:pPr>
              <w:spacing w:before="0" w:after="0"/>
            </w:pPr>
            <w:r>
              <w:rPr>
                <w:rFonts w:ascii="Arial" w:cs="Arial" w:eastAsia="Arial" w:hAnsi="Arial"/>
                <w:color w:val="444444"/>
                <w:sz w:val="20"/>
                <w:szCs w:val="20"/>
              </w:rPr>
              <w:t xml:space="preserve">If the confirmed classification is Tier 4 — Sensitive Personal, the Data Owner must notify the DPO, who confirms the appropriate handling obligations and any required privacy controls. If the confirmed classification is Tier 5 — Highly Confidential, Information Security must be notified and will confirm or adjust the classification before it is finalised.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InfoSec / 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GxP data assets must be assessed against ALCOA+ criteria (Attributable, Legible, Contemporaneous, Original, Accurate, Complete) in addition to sensitivity classification. Any GxP data asset must be flagged in the Asset Register and is subject to the Data Integrity Policy (POL-003).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Apply Labelling</w:t>
            </w:r>
          </w:p>
          <w:p>
            <w:pPr>
              <w:spacing w:before="0" w:after="0"/>
            </w:pPr>
            <w:r>
              <w:rPr>
                <w:rFonts w:ascii="Arial" w:cs="Arial" w:eastAsia="Arial" w:hAnsi="Arial"/>
                <w:color w:val="444444"/>
                <w:sz w:val="20"/>
                <w:szCs w:val="20"/>
              </w:rPr>
              <w:t xml:space="preserve">The Creator or Data Custodian applies the classification label to the asset in accordance with POL-001 Section 4. Digital assets: label in document header/footer, file name prefix, or metadata tag as applicable. Emails: include classification label in subject line or body header. Physical documents: stamp or header on each page. Systems: classification flag set in system metadata and Asset Register.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Creator / 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Implement Handling Controls</w:t>
            </w:r>
          </w:p>
          <w:p>
            <w:pPr>
              <w:spacing w:before="0" w:after="0"/>
            </w:pPr>
            <w:r>
              <w:rPr>
                <w:rFonts w:ascii="Arial" w:cs="Arial" w:eastAsia="Arial" w:hAnsi="Arial"/>
                <w:color w:val="444444"/>
                <w:sz w:val="20"/>
                <w:szCs w:val="20"/>
              </w:rPr>
              <w:t xml:space="preserve">The Data Custodian (IT) implements or confirms the technical handling controls required for the assigned tier per POL-001 Section 5. This includes: access control configuration, encryption at rest and in transit, storage location verification (approved services only), and backup inclusion. Controls must be in place before the asset is shared or used in production.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Register in Corporate Asset Register</w:t>
            </w:r>
          </w:p>
          <w:p>
            <w:pPr>
              <w:spacing w:before="0" w:after="0"/>
            </w:pPr>
            <w:r>
              <w:rPr>
                <w:rFonts w:ascii="Arial" w:cs="Arial" w:eastAsia="Arial" w:hAnsi="Arial"/>
                <w:color w:val="444444"/>
                <w:sz w:val="20"/>
                <w:szCs w:val="20"/>
              </w:rPr>
              <w:t xml:space="preserve">The Data Custodian (IT) records the classified asset in the Corporate Asset Register. Mandatory fields: Asset ID, Asset Name/Description, Sensitivity Tier, Data Owner, Data Custodian (IT), Classification Date, Next Review Date, Regulatory Flags (GxP, personal data, SOX-relevant), Storage Location, Retention Period (per POL-002).</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08</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Communicate to Stakeholders</w:t>
            </w:r>
          </w:p>
          <w:p>
            <w:pPr>
              <w:spacing w:before="0" w:after="0"/>
            </w:pPr>
            <w:r>
              <w:rPr>
                <w:rFonts w:ascii="Arial" w:cs="Arial" w:eastAsia="Arial" w:hAnsi="Arial"/>
                <w:color w:val="444444"/>
                <w:sz w:val="20"/>
                <w:szCs w:val="20"/>
              </w:rPr>
              <w:t xml:space="preserve">Where the classification affects other teams or systems — for example, if the data will be ingested by a system already classified under SOP-005, or shared with a third party — the Data Owner must communicate the classification and applicable handling requirements to the relevant stakeholders. Third-party sharing must be confirmed against POL-013 requirements before data is transferred.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If data classified at Tier 3 or above is to be shared with a third party, a current Data Processing Agreement (DPA) or equivalent contractual protection must be in place before transfer. Confirm with Legal or the DPO before proceeding.</w:t>
            </w:r>
          </w:p>
        </w:tc>
      </w:tr>
    </w:tbl>
    <w:p>
      <w:r>
        <w:br w:type="page"/>
      </w:r>
    </w:p>
    <w:p>
      <w:pPr>
        <w:pStyle w:val="Heading1"/>
        <w:spacing w:before="360" w:after="120"/>
      </w:pPr>
      <w:r>
        <w:rPr>
          <w:rFonts w:ascii="Arial" w:cs="Arial" w:eastAsia="Arial" w:hAnsi="Arial"/>
          <w:b/>
          <w:bCs/>
          <w:color w:val="1B2A4A"/>
          <w:sz w:val="36"/>
          <w:szCs w:val="36"/>
        </w:rPr>
        <w:t xml:space="preserve">6.  Annual Review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classified data assets must be reviewed at least annually. The annual review cycle is coordinated by Information Security and runs on a rolling basis throughout the calendar year.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24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6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4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generates a review report from the Corporate Asset Register listing all assets with a review date falling in the next 30 days.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6.2</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Each Data Owner is notified of the assets in their domain requiring review, along with the current classification and handling controls.</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Data Owner reviews each asset. For each, they must confirm: (a) the classification remains accurate, (b) the data still exists and has not been disposed of, (c) the Data Owner assignment is correct, and (d) the retention period has not expired.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6.4</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If the classification remains valid: Data Owner confirms in writing (email or system record). The next review date is updated in the Asset Register.</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the classification requires change: the reclassification process in Section 7 is initiated.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 InfoSec</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6.6</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Assets overdue for review (&gt;30 days past review date) are escalated to the Data Owner's line manager by Information Security.</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Reclassification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Reclassification may be initiated upward (to a higher tier) or downward (to a lower tier). The requirements differ.</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Upward Reclassification</w:t>
      </w:r>
    </w:p>
    <w:p>
      <w:pPr>
        <w:spacing w:before="80" w:after="80"/>
      </w:pPr>
      <w:r>
        <w:rPr>
          <w:rFonts w:ascii="Arial" w:cs="Arial" w:eastAsia="Arial" w:hAnsi="Arial"/>
          <w:color w:val="333333"/>
          <w:sz w:val="22"/>
          <w:szCs w:val="22"/>
        </w:rPr>
        <w:t xml:space="preserve">Upward reclassification may be initiated at any time by the Data Owner or Information Security. No additional approval is required beyond the Data Owner's confirmation. Steps 5–7 of the classification process (labelling, controls, registration) must be repeated for the new tier immediately upon reclassification.</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7.2  Downward Reclassification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Reclassification</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Additional Approval Required</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tier → lower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sign-off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justification by Data Owner + InfoSec approval record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 lower tier</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DPO sign-off</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impact assessment confirming personal data no longer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5 → lower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CISO sign-off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justification + CISO approval record</w:t>
            </w:r>
          </w:p>
        </w:tc>
      </w:tr>
    </w:tbl>
    <w:p>
      <w:pPr>
        <w:spacing w:before="80" w:after="0"/>
      </w:pPr>
      <w:r>
        <w:t xml:space="preserve"/>
      </w:r>
    </w:p>
    <w:p>
      <w:pPr>
        <w:spacing w:before="80" w:after="80"/>
      </w:pPr>
      <w:r>
        <w:rPr>
          <w:rFonts w:ascii="Arial" w:cs="Arial" w:eastAsia="Arial" w:hAnsi="Arial"/>
          <w:color w:val="333333"/>
          <w:sz w:val="22"/>
          <w:szCs w:val="22"/>
        </w:rPr>
        <w:t xml:space="preserve">All downward reclassification decisions must be recorded in the Corporate Asset Register with: date of change, previous tier, new tier, justification, approvers, and any residual handling obligations.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8.  Dispute Resolution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Where there is disagreement about the appropriate classification of a data asset, the following escalation path applies:</w:t>
      </w:r>
    </w:p>
    <w:p>
      <w:pPr>
        <w:spacing w:before="80" w:after="0"/>
      </w:pPr>
      <w:r>
        <w:t xml:space="preserve"/>
      </w:r>
    </w:p>
    <w:p>
      <w:pPr>
        <w:pStyle w:val="ListParagraph"/>
        <w:numPr>
          <w:ilvl w:val="0"/>
          <w:numId w:val="3"/>
        </w:numPr>
        <w:spacing w:before="60" w:after="60"/>
      </w:pPr>
      <w:r>
        <w:rPr>
          <w:rFonts w:ascii="Arial" w:cs="Arial" w:eastAsia="Arial" w:hAnsi="Arial"/>
          <w:color w:val="333333"/>
          <w:sz w:val="22"/>
          <w:szCs w:val="22"/>
        </w:rPr>
        <w:t xml:space="preserve">The Creator or Data Owner submits a written query to Information Security, setting out the nature of the dispute and the competing tier assessments.</w:t>
      </w:r>
    </w:p>
    <w:p>
      <w:pPr>
        <w:pStyle w:val="ListParagraph"/>
        <w:numPr>
          <w:ilvl w:val="0"/>
          <w:numId w:val="3"/>
        </w:numPr>
        <w:spacing w:before="60" w:after="60"/>
      </w:pPr>
      <w:r>
        <w:rPr>
          <w:rFonts w:ascii="Arial" w:cs="Arial" w:eastAsia="Arial" w:hAnsi="Arial"/>
          <w:color w:val="333333"/>
          <w:sz w:val="22"/>
          <w:szCs w:val="22"/>
        </w:rPr>
        <w:t xml:space="preserve">Information Security reviews the asset and consults with the DPO (if personal data is involved) within 5 business days.</w:t>
      </w:r>
    </w:p>
    <w:p>
      <w:pPr>
        <w:pStyle w:val="ListParagraph"/>
        <w:numPr>
          <w:ilvl w:val="0"/>
          <w:numId w:val="3"/>
        </w:numPr>
        <w:spacing w:before="60" w:after="60"/>
      </w:pPr>
      <w:r>
        <w:rPr>
          <w:rFonts w:ascii="Arial" w:cs="Arial" w:eastAsia="Arial" w:hAnsi="Arial"/>
          <w:color w:val="333333"/>
          <w:sz w:val="22"/>
          <w:szCs w:val="22"/>
        </w:rPr>
        <w:t xml:space="preserve">Information Security issues a written adjudication. This decision is binding pending any further escalation.</w:t>
      </w:r>
    </w:p>
    <w:p>
      <w:pPr>
        <w:pStyle w:val="ListParagraph"/>
        <w:numPr>
          <w:ilvl w:val="0"/>
          <w:numId w:val="3"/>
        </w:numPr>
        <w:spacing w:before="60" w:after="60"/>
      </w:pPr>
      <w:r>
        <w:rPr>
          <w:rFonts w:ascii="Arial" w:cs="Arial" w:eastAsia="Arial" w:hAnsi="Arial"/>
          <w:color w:val="333333"/>
          <w:sz w:val="22"/>
          <w:szCs w:val="22"/>
        </w:rPr>
        <w:t xml:space="preserve">If the Data Owner disputes the adjudication, the matter is escalated to the CISO for final determination.</w:t>
      </w:r>
    </w:p>
    <w:p>
      <w:pPr>
        <w:pStyle w:val="ListParagraph"/>
        <w:numPr>
          <w:ilvl w:val="0"/>
          <w:numId w:val="3"/>
        </w:numPr>
        <w:spacing w:before="60" w:after="60"/>
      </w:pPr>
      <w:r>
        <w:rPr>
          <w:rFonts w:ascii="Arial" w:cs="Arial" w:eastAsia="Arial" w:hAnsi="Arial"/>
          <w:color w:val="333333"/>
          <w:sz w:val="22"/>
          <w:szCs w:val="22"/>
        </w:rPr>
        <w:t xml:space="preserve">The CISO's determination is final. It is recorded in the Asset Register and this SOP's exception log.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During an active classification dispute, the asset must be handled at the higher of the two competing tiers until the dispute is resolved.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Non-Compliance and Incident Reporting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Failure to classify data in accordance with this SOP or POL-001 constitutes a policy non-compliance. The following applies:</w:t>
      </w:r>
    </w:p>
    <w:p>
      <w:pPr>
        <w:pStyle w:val="ListParagraph"/>
        <w:numPr>
          <w:ilvl w:val="0"/>
          <w:numId w:val="2"/>
        </w:numPr>
        <w:spacing w:before="60" w:after="60"/>
      </w:pPr>
      <w:r>
        <w:rPr>
          <w:rFonts w:ascii="Arial" w:cs="Arial" w:eastAsia="Arial" w:hAnsi="Arial"/>
          <w:color w:val="333333"/>
          <w:sz w:val="22"/>
          <w:szCs w:val="22"/>
        </w:rPr>
        <w:t xml:space="preserve">Any suspected misclassification must be reported to Information Security immediately upon discovery.</w:t>
      </w:r>
    </w:p>
    <w:p>
      <w:pPr>
        <w:pStyle w:val="ListParagraph"/>
        <w:numPr>
          <w:ilvl w:val="0"/>
          <w:numId w:val="2"/>
        </w:numPr>
        <w:spacing w:before="60" w:after="60"/>
      </w:pPr>
      <w:r>
        <w:rPr>
          <w:rFonts w:ascii="Arial" w:cs="Arial" w:eastAsia="Arial" w:hAnsi="Arial"/>
          <w:color w:val="333333"/>
          <w:sz w:val="22"/>
          <w:szCs w:val="22"/>
        </w:rPr>
        <w:t xml:space="preserve">If misclassification has resulted in data being handled with insufficient controls (e.g., Tier 4 data treated as Tier 2), Information Security must assess whether a data incident has occurred and invoke the Incident Response Policy (POL-012) if appropriate.</w:t>
      </w:r>
    </w:p>
    <w:p>
      <w:pPr>
        <w:pStyle w:val="ListParagraph"/>
        <w:numPr>
          <w:ilvl w:val="0"/>
          <w:numId w:val="2"/>
        </w:numPr>
        <w:spacing w:before="60" w:after="60"/>
      </w:pPr>
      <w:r>
        <w:rPr>
          <w:rFonts w:ascii="Arial" w:cs="Arial" w:eastAsia="Arial" w:hAnsi="Arial"/>
          <w:color w:val="333333"/>
          <w:sz w:val="22"/>
          <w:szCs w:val="22"/>
        </w:rPr>
        <w:t xml:space="preserve">Intentional misclassification to avoid applicable controls is a disciplinary matter.</w:t>
      </w:r>
    </w:p>
    <w:p>
      <w:pPr>
        <w:pStyle w:val="ListParagraph"/>
        <w:numPr>
          <w:ilvl w:val="0"/>
          <w:numId w:val="2"/>
        </w:numPr>
        <w:spacing w:before="60" w:after="60"/>
      </w:pPr>
      <w:r>
        <w:rPr>
          <w:rFonts w:ascii="Arial" w:cs="Arial" w:eastAsia="Arial" w:hAnsi="Arial"/>
          <w:color w:val="333333"/>
          <w:sz w:val="22"/>
          <w:szCs w:val="22"/>
        </w:rPr>
        <w:t xml:space="preserve">All non-compliance reports are logged and reviewed quarterly by the ISSG.</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Records and Evidence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records must be maintained as evidence of compliance with this SOP: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860"/>
      </w:tblGrid>
      <w:tr>
        <w:trPr>
          <w:tblHeader/>
        </w:trPr>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Record</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Retention Period</w:t>
            </w:r>
          </w:p>
        </w:tc>
        <w:tc>
          <w:tcPr>
            <w:tcW w:type="dxa" w:w="1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Completed WI-001 questionnaire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 or document management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asset + 3 years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Classification confirmation (Data Owner)</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asset + 3 years</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review confirmations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years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Reclassification records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Asset Register</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asset + 5 years</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Dispute adjudications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records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years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Non-compliance reports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incident log</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 years</w:t>
            </w:r>
          </w:p>
        </w:tc>
        <w:tc>
          <w:tcPr>
            <w:tcW w:type="dxa" w:w="1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4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Overarching framework; defines classification schema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WI-001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Questionnaire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Task-level execution tool used in Steps 2 and 3</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SOP-005</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Process</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is informed by data classification outputs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periods assigned at Step 7</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flag assigned at Step 7; ALCOA+ applies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Governs Tier 4 assets; DPO involvement triggered at Step 4</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Invoked if misclassification results in a data incident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be checked before any Tier 3+ data is shared externally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standard applied to GxP electronic records: Attributable, Legible, Contemporaneous, Original, Accurate, Complete.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Asset Register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central corporate inventory of all data assets and systems, including their classification and ownership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Asset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collection of data, in any format, that has value to [Company Name].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business leader accountable for a data domain, including its classification and appropriate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IT or system function responsible for implementing technical controls on behalf of the Data Owner.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Flag</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designation applied in the Asset Register to data assets that contain or constitute GxP electronic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Sensitivity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classification label (1–5) assigned to a data asset under POL-001, reflecting its confidentiality risk.</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SOP-001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DATA CLASSIFICATION PROCESS  |  SOP-001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2026-03-07T05:43:47.801Z</dcterms:created>
  <dcterms:modified xsi:type="dcterms:W3CDTF">2026-03-07T05:43:47.802Z</dcterms:modified>
</cp:coreProperties>
</file>

<file path=docProps/custom.xml><?xml version="1.0" encoding="utf-8"?>
<Properties xmlns="http://schemas.openxmlformats.org/officeDocument/2006/custom-properties" xmlns:vt="http://schemas.openxmlformats.org/officeDocument/2006/docPropsVTypes"/>
</file>