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SYSTEM CLASSIFICATION PROCESS</w:t>
      </w:r>
    </w:p>
    <w:p>
      <w:pPr>
        <w:shd w:fill="1B2A4A" w:val="clear"/>
        <w:spacing w:before="40" w:after="0"/>
        <w:ind w:left="1440"/>
      </w:pPr>
      <w:r>
        <w:rPr>
          <w:rFonts w:ascii="Arial" w:cs="Arial" w:eastAsia="Arial" w:hAnsi="Arial"/>
          <w:i/>
          <w:iCs/>
          <w:color w:val="D6E4F7"/>
          <w:sz w:val="24"/>
          <w:szCs w:val="24"/>
        </w:rPr>
        <w:t xml:space="preserve">SOP-005  |  Issued under POL-005 System Classification Policy</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SOP-005</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POL-005  —  System Classification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Process 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 System Classification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 — Data Classification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WI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WI-005 — System Classification Questionnaire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By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Standard Operating Procedure defines the end-to-end process by which information systems at [Company Name] are classified by criticality, approved, registered, and periodically reviewed in accordance with the System Classification Policy (POL-005).</w:t>
      </w:r>
    </w:p>
    <w:p>
      <w:pPr>
        <w:spacing w:before="60" w:after="0"/>
      </w:pPr>
      <w:r>
        <w:t xml:space="preserve"/>
      </w:r>
    </w:p>
    <w:p>
      <w:pPr>
        <w:spacing w:before="80" w:after="80"/>
      </w:pPr>
      <w:r>
        <w:rPr>
          <w:rFonts w:ascii="Arial" w:cs="Arial" w:eastAsia="Arial" w:hAnsi="Arial"/>
          <w:color w:val="333333"/>
          <w:sz w:val="22"/>
          <w:szCs w:val="22"/>
        </w:rPr>
        <w:t xml:space="preserve">It translates POL-005 into a repeatable, auditable workflow — specifically operationalising the dual-input assessment model (data-derived criticality and functional criticality) and the reconciliation rule that produces a final system classification. Step-by-step task execution is supported by the System Classification Questionnaire (WI-005).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No system may be deployed into a production environment without a completed, approved, and registered criticality classification. This is a hard gate.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w:t>
      </w:r>
    </w:p>
    <w:p>
      <w:pPr>
        <w:pStyle w:val="ListParagraph"/>
        <w:numPr>
          <w:ilvl w:val="0"/>
          <w:numId w:val="2"/>
        </w:numPr>
        <w:spacing w:before="60" w:after="60"/>
      </w:pPr>
      <w:r>
        <w:rPr>
          <w:rFonts w:ascii="Arial" w:cs="Arial" w:eastAsia="Arial" w:hAnsi="Arial"/>
          <w:color w:val="333333"/>
          <w:sz w:val="22"/>
          <w:szCs w:val="22"/>
        </w:rPr>
        <w:t xml:space="preserve">All information systems being newly procured, developed, or onboarded into the [Company Name] environment</w:t>
      </w:r>
    </w:p>
    <w:p>
      <w:pPr>
        <w:pStyle w:val="ListParagraph"/>
        <w:numPr>
          <w:ilvl w:val="0"/>
          <w:numId w:val="2"/>
        </w:numPr>
        <w:spacing w:before="60" w:after="60"/>
      </w:pPr>
      <w:r>
        <w:rPr>
          <w:rFonts w:ascii="Arial" w:cs="Arial" w:eastAsia="Arial" w:hAnsi="Arial"/>
          <w:color w:val="333333"/>
          <w:sz w:val="22"/>
          <w:szCs w:val="22"/>
        </w:rPr>
        <w:t xml:space="preserve">All existing systems undergoing material changes to their function, data holdings, integrations, or regulatory scope</w:t>
      </w:r>
    </w:p>
    <w:p>
      <w:pPr>
        <w:pStyle w:val="ListParagraph"/>
        <w:numPr>
          <w:ilvl w:val="0"/>
          <w:numId w:val="2"/>
        </w:numPr>
        <w:spacing w:before="60" w:after="60"/>
      </w:pPr>
      <w:r>
        <w:rPr>
          <w:rFonts w:ascii="Arial" w:cs="Arial" w:eastAsia="Arial" w:hAnsi="Arial"/>
          <w:color w:val="333333"/>
          <w:sz w:val="22"/>
          <w:szCs w:val="22"/>
        </w:rPr>
        <w:t xml:space="preserve">All systems subject to annual classification review</w:t>
      </w:r>
    </w:p>
    <w:p>
      <w:pPr>
        <w:pStyle w:val="ListParagraph"/>
        <w:numPr>
          <w:ilvl w:val="0"/>
          <w:numId w:val="2"/>
        </w:numPr>
        <w:spacing w:before="60" w:after="60"/>
      </w:pPr>
      <w:r>
        <w:rPr>
          <w:rFonts w:ascii="Arial" w:cs="Arial" w:eastAsia="Arial" w:hAnsi="Arial"/>
          <w:color w:val="333333"/>
          <w:sz w:val="22"/>
          <w:szCs w:val="22"/>
        </w:rPr>
        <w:t xml:space="preserve">All deployment models: on-premises, cloud (IaaS, PaaS, SaaS), hybrid, and third-party managed</w:t>
      </w:r>
    </w:p>
    <w:p>
      <w:pPr>
        <w:spacing w:before="80" w:after="0"/>
      </w:pPr>
      <w:r>
        <w:t xml:space="preserve"/>
      </w:r>
    </w:p>
    <w:p>
      <w:pPr>
        <w:spacing w:before="80" w:after="80"/>
      </w:pPr>
      <w:r>
        <w:rPr>
          <w:rFonts w:ascii="Arial" w:cs="Arial" w:eastAsia="Arial" w:hAnsi="Arial"/>
          <w:color w:val="333333"/>
          <w:sz w:val="22"/>
          <w:szCs w:val="22"/>
        </w:rPr>
        <w:t xml:space="preserve">This SOP does not cover data asset classification (SOP-001), though data classification outputs are a direct input to this process. System Owners must ensure that the relevant data assets held by their system are classified under SOP-001 before or in parallel with completing this process.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 Procurement Lead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Initiates the classification process at the point a new system acquisition or development is approved. Ensures the System Owner is identified before classification begins.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primary participant in the classification process. Completes WI-005 (with IT input on Section B). Confirms the final classification and signs off the Asset Register entry. Accountable for annual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Co-completes Section B of WI-005 (functional criticality) with the System Owner. Responsible for implementing technical controls per the assigned tier. Advises on system dependencies and integration footprint.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and validates all classifications. Sole approver for Tier 2 and Tier 3 classifications. Co-approver with CISO for Tier 1 classifications. Maintains this SOP and WI-005. Coordinates annual review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Co-approver (with Information Security) for all Tier 1 — Extremely Critical classifications. Final escalation point for classification disputes.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GxP and regulatory flag assignments. Confirms CSV/CSA requirements under POL-006 and SOX ITGC scope determination.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that RPO and RTO targets for Tier 1 and Tier 2 systems are achievable given the proposed architecture and DR strategy.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Approves policy exceptions. Receives summary classification report as part of ISSG governance.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Trigger Events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system classification process must be initiated when any of the following events occur: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4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Initiated By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system procurement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decision to procure a new system (including SaaS/cloud) has been approved. Classification must be completed before contract signature for systems anticipated to be Tier 1 or Tier 2, and before go-live for all systems.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 Procurement Lead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system development</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development of a new application or platform is initiated. Classification must be completed at the design phase before development of production-bound components begins.</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Lead / System 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Material system change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existing system undergoes a change that materially alters its function, data holdings, integrations, or regulatory scope. Examples: GxP data is introduced; the system becomes a dependency of a Tier 1 system; a major new module is deployed.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scope change</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system is newly brought within GxP, SOX, HIPAA, or other regulated scope. Reclassification is mandatory.</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 System 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classified systems are reviewed annually. The review date is set at initial classification and recorded in the Asset Register.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Post-incident review</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Following a significant incident involving a system, its classification must be reviewed to ensure controls remain appropriate.</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CISO</w:t>
            </w:r>
          </w:p>
        </w:tc>
      </w:tr>
    </w:tbl>
    <w:p>
      <w:r>
        <w:br w:type="page"/>
      </w:r>
    </w:p>
    <w:p>
      <w:pPr>
        <w:pStyle w:val="Heading1"/>
        <w:spacing w:before="360" w:after="120"/>
      </w:pPr>
      <w:r>
        <w:rPr>
          <w:rFonts w:ascii="Arial" w:cs="Arial" w:eastAsia="Arial" w:hAnsi="Arial"/>
          <w:b/>
          <w:bCs/>
          <w:color w:val="1B2A4A"/>
          <w:sz w:val="36"/>
          <w:szCs w:val="36"/>
        </w:rPr>
        <w:t xml:space="preserve">5.  Pre-Conditions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Before the system classification process begins, the following must be in place: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Pre-Condition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For</w:t>
            </w:r>
          </w:p>
        </w:tc>
        <w:tc>
          <w:tcPr>
            <w:tcW w:type="dxa" w:w="4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if Not Met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identified and confirmed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Lead escalates to relevant business unit head to nominate a System Owner before classification proceeds.</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completed for primary data types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initiates SOP-001 for the relevant data assets. System classification proceeds in parallel but is not finalised until data classification outputs are 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High-level system description 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prepares a one-page system description covering: purpose, primary users, data held, integrations, and deployment model.</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information available (for SaaS/cloud)</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hosted systems</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obtains vendor BCR/DR documentation, SLA commitments, and security certifications before completing WI-005 Section B.</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Classification Process — Step by Step</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steps constitute the full system classification workflow. For task-level execution detail, refer to WI-005 (System Classification Questionnaire).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Initiation and System Owner Confirmation</w:t>
            </w:r>
          </w:p>
          <w:p>
            <w:pPr>
              <w:spacing w:before="0" w:after="0"/>
            </w:pPr>
            <w:r>
              <w:rPr>
                <w:rFonts w:ascii="Arial" w:cs="Arial" w:eastAsia="Arial" w:hAnsi="Arial"/>
                <w:color w:val="444444"/>
                <w:sz w:val="20"/>
                <w:szCs w:val="20"/>
              </w:rPr>
              <w:t xml:space="preserve">The trigger event is identified (see Section 4). The Project or Procurement Lead confirms that a System Owner has been named and notifies Information Security that a classification is required. Information Security opens a classification record and provides the System Owner with WI-005.</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Project Lead / InfoSec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Data Classification Input (Section A of WI-005)</w:t>
            </w:r>
          </w:p>
          <w:p>
            <w:pPr>
              <w:spacing w:before="0" w:after="0"/>
            </w:pPr>
            <w:r>
              <w:rPr>
                <w:rFonts w:ascii="Arial" w:cs="Arial" w:eastAsia="Arial" w:hAnsi="Arial"/>
                <w:color w:val="444444"/>
                <w:sz w:val="20"/>
                <w:szCs w:val="20"/>
              </w:rPr>
              <w:t xml:space="preserve">The System Owner completes Section A of WI-005, which captures the data-derived criticality assessment. For each primary data type held or processed by the system, the System Owner references the existing data classification (from SOP-001 / POL-001) and assesses: what is the operational impact if this data becomes unavailable or corrupted? The highest data criticality across all data types in the system is carried forward as Input 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Input A must be based on completed data classifications from SOP-001. Do not estimate data classification within this process. If data is unclassified, pause at this step and initiate SOP-001 before proceeding.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Functional Criticality Assessment (Section B of WI-005)</w:t>
            </w:r>
          </w:p>
          <w:p>
            <w:pPr>
              <w:spacing w:before="0" w:after="0"/>
            </w:pPr>
            <w:r>
              <w:rPr>
                <w:rFonts w:ascii="Arial" w:cs="Arial" w:eastAsia="Arial" w:hAnsi="Arial"/>
                <w:color w:val="444444"/>
                <w:sz w:val="20"/>
                <w:szCs w:val="20"/>
              </w:rPr>
              <w:t xml:space="preserve">The System Owner and IT jointly complete Section B of WI-005, which captures the functional criticality assessment. This assessment is independent of the data held and asks: what is the operational impact if this system is unavailable, regardless of its data? Factors considered include: downstream system dependencies, number and seniority of users, regulatory process dependencies, availability of manual workarounds, and estimated time to material impact.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 +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6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Guidance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systems or processes depend on this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List all upstream and downstream integrations. If a Tier 1 system depends on this system, functional criticality is at minimum Tier 1.</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quickly does business impact occur if the system fails?</w:t>
            </w:r>
          </w:p>
        </w:tc>
        <w:tc>
          <w:tcPr>
            <w:tcW w:type="dxa" w:w="6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(minutes) → Tier 1.  Hours → Tier 2.  Days → Tier 3.  Weeks or longer → Tier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a viable manual workaround exist?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workaround → elevates tier. Unsustainable workaround → Tier 2 at minimum. Practical workaround → may support Tier 3.</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is the regulatory impact of unavailability?</w:t>
            </w:r>
          </w:p>
        </w:tc>
        <w:tc>
          <w:tcPr>
            <w:tcW w:type="dxa" w:w="6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breach or patient/product safety risk → Tier 1 minimum. SOX reporting impact → Tier 2 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is the user population and its criticality?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Company-wide dependency → elevates tier. Single team dependency with workaround → may support Tier 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Reconciliation — Determine Final Classification</w:t>
            </w:r>
          </w:p>
          <w:p>
            <w:pPr>
              <w:spacing w:before="0" w:after="0"/>
            </w:pPr>
            <w:r>
              <w:rPr>
                <w:rFonts w:ascii="Arial" w:cs="Arial" w:eastAsia="Arial" w:hAnsi="Arial"/>
                <w:color w:val="444444"/>
                <w:sz w:val="20"/>
                <w:szCs w:val="20"/>
              </w:rPr>
              <w:t xml:space="preserve">The System Owner records Input A (data-derived) and Input B (functional) on WI-005. The final classification is the higher of the two. This is a non-negotiable rule: a system cannot be classified below either of its two inputs. The System Owner documents the rationale for both inputs on WI-005.</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060"/>
        <w:gridCol w:w="3100"/>
      </w:tblGrid>
      <w:tr>
        <w:trPr>
          <w:tblHeader/>
        </w:trPr>
        <w:tc>
          <w:tcPr>
            <w:tcW w:type="dxa" w:w="2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 A (Data-Derived)</w:t>
            </w:r>
          </w:p>
        </w:tc>
        <w:tc>
          <w:tcPr>
            <w:tcW w:type="dxa" w:w="2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 B (Functional)</w:t>
            </w:r>
          </w:p>
        </w:tc>
        <w:tc>
          <w:tcPr>
            <w:tcW w:type="dxa" w:w="20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Final Classification</w:t>
            </w:r>
          </w:p>
        </w:tc>
        <w:tc>
          <w:tcPr>
            <w:tcW w:type="dxa" w:w="3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 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Extremely Critical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Extremely Critical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DNS: no critical data, but immediate operational impact if down</w:t>
            </w:r>
          </w:p>
        </w:tc>
      </w:tr>
      <w:tr>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Extremely Critical</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 Critical</w:t>
            </w:r>
          </w:p>
        </w:tc>
        <w:tc>
          <w:tcPr>
            <w:tcW w:type="dxa" w:w="2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Extremely Critical</w:t>
            </w:r>
          </w:p>
        </w:tc>
        <w:tc>
          <w:tcPr>
            <w:tcW w:type="dxa" w:w="3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Clinical CDMS: critical GxP data, significant functional role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 Critical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Extremely Critical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Extremely Critical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ERP at month-end: critical financial data, company-wide dependency</w:t>
            </w:r>
          </w:p>
        </w:tc>
      </w:tr>
      <w:tr>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 Standard</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 None</w:t>
            </w:r>
          </w:p>
        </w:tc>
        <w:tc>
          <w:tcPr>
            <w:tcW w:type="dxa" w:w="2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 Standard</w:t>
            </w:r>
          </w:p>
        </w:tc>
        <w:tc>
          <w:tcPr>
            <w:tcW w:type="dxa" w:w="3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Archival document store: moderate data value, low functional criticality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 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 Standard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 Standard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wiki: low data value, specific team dependency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Regulatory Flag Assignment</w:t>
            </w:r>
          </w:p>
          <w:p>
            <w:pPr>
              <w:spacing w:before="0" w:after="0"/>
            </w:pPr>
            <w:r>
              <w:rPr>
                <w:rFonts w:ascii="Arial" w:cs="Arial" w:eastAsia="Arial" w:hAnsi="Arial"/>
                <w:color w:val="444444"/>
                <w:sz w:val="20"/>
                <w:szCs w:val="20"/>
              </w:rPr>
              <w:t xml:space="preserve">The System Owner, with Compliance/QA input, assigns applicable regulatory flags in WI-005. Flags are not tiers — a system may carry multiple flags regardless of its criticality tier. Flags drive additional control obligations (CSV/CSA, ITGC testing, audit trail requirements) as detailed in POL-005 Section 7.</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 + Compliance/QA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Flag</w:t>
            </w:r>
          </w:p>
        </w:tc>
        <w:tc>
          <w:tcPr>
            <w:tcW w:type="dxa" w:w="3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Condition</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Additional Obligation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GxP-Regulated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creates, modifies, stores, archives, retrieves, or transmits GxP electronic 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CSV or CSA required (POL-006). Immutable audit trail. Minimum Tier 2 classification.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 Annex 11</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uses electronic records or e-signatures in place of paper under FDA or EMA jurisdiction.</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E-signature controls. Audit trail integrity. System validation to 21 CFR Part 11 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In-Scope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is within the ITGC boundary for SOX financial reporting controls.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ITGC testing. Access management, change management, and backup controls evidenced. Minimum Tier 2.</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processes US Protected Health Information (PHI).</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PHI access controls. Breach notification readiness. Business Associate Agreement with vendors.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 Privacy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processes EU or other regulated personal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inventory entry. DPIA if high risk. Data retention controls per POL-002.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A GxP-Regulated or SOX In-Scope flag always elevates the minimum classification to Tier 2 — Critical, regardless of Input A and Input B results. If either flag is assigned and both inputs are Tier 3 or Tier 4, the final classification must be raised to Tier 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Approval</w:t>
            </w:r>
          </w:p>
          <w:p>
            <w:pPr>
              <w:spacing w:before="0" w:after="0"/>
            </w:pPr>
            <w:r>
              <w:rPr>
                <w:rFonts w:ascii="Arial" w:cs="Arial" w:eastAsia="Arial" w:hAnsi="Arial"/>
                <w:color w:val="444444"/>
                <w:sz w:val="20"/>
                <w:szCs w:val="20"/>
              </w:rPr>
              <w:t xml:space="preserve">The completed WI-005 is submitted to Information Security for review. Information Security validates both inputs, the reconciliation, and the regulatory flag assignments. Approval authority is tier-dependent: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CISO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Final Classification</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Approvers</w:t>
            </w:r>
          </w:p>
        </w:tc>
        <w:tc>
          <w:tcPr>
            <w:tcW w:type="dxa" w:w="3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Turnaround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Extremely 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CISO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business days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 Critical</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business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 Standard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business days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 None</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(light review)</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business days</w:t>
            </w:r>
          </w:p>
        </w:tc>
      </w:tr>
    </w:tbl>
    <w:p>
      <w:pPr>
        <w:spacing w:before="80" w:after="0"/>
      </w:pPr>
      <w:r>
        <w:t xml:space="preserve"/>
      </w:r>
    </w:p>
    <w:p>
      <w:pPr>
        <w:spacing w:before="80" w:after="80"/>
      </w:pPr>
      <w:r>
        <w:rPr>
          <w:rFonts w:ascii="Arial" w:cs="Arial" w:eastAsia="Arial" w:hAnsi="Arial"/>
          <w:color w:val="333333"/>
          <w:sz w:val="22"/>
          <w:szCs w:val="22"/>
        </w:rPr>
        <w:t xml:space="preserve">If Information Security identifies issues with the assessment, the WI-005 is returned to the System Owner with documented feedback. The System Owner must address all feedback and resubmit before approval is granted.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Asset Register Entry</w:t>
            </w:r>
          </w:p>
          <w:p>
            <w:pPr>
              <w:spacing w:before="0" w:after="0"/>
            </w:pPr>
            <w:r>
              <w:rPr>
                <w:rFonts w:ascii="Arial" w:cs="Arial" w:eastAsia="Arial" w:hAnsi="Arial"/>
                <w:color w:val="444444"/>
                <w:sz w:val="20"/>
                <w:szCs w:val="20"/>
              </w:rPr>
              <w:t xml:space="preserve">Upon approval, Information Security or the Data Custodian creates or updates the system record in the Corporate Asset Register. All mandatory fields must be completed before the system is cleared for production deployment.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IT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Asset Register 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Name and Description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(WI-005)</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 assigned on registration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Criticality Tier (Final)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WI-005 reconciliation output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Input A — Data-Derived Tier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WI-005 Section 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Input B — Functional Tier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WI-005 Section B</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Flags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WI-005 Section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WI-005</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Custodian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Classification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CISO/InfoSec approval</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Classification date + 12 months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RPO Target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POL-005 Section 4, by tier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 Target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POL-005 Section 4, by tier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Deployment 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(WI-005)</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 Strategy Confirmed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sign-off (Tier 1 and 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08</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Controls Implementation Verification</w:t>
            </w:r>
          </w:p>
          <w:p>
            <w:pPr>
              <w:spacing w:before="0" w:after="0"/>
            </w:pPr>
            <w:r>
              <w:rPr>
                <w:rFonts w:ascii="Arial" w:cs="Arial" w:eastAsia="Arial" w:hAnsi="Arial"/>
                <w:color w:val="444444"/>
                <w:sz w:val="20"/>
                <w:szCs w:val="20"/>
              </w:rPr>
              <w:t xml:space="preserve">IT confirms that the technical controls mandated for the assigned criticality tier (per POL-005 Section 6) are in place or have a documented implementation plan with a target date. For Tier 1 systems, controls must be verified as in place before production go-live. For Tier 2 systems, a gap remediation plan with a maximum 30-day completion window is acceptable at go-live. Information Security signs off controls verification.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IT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 Domain</w:t>
            </w:r>
          </w:p>
        </w:tc>
        <w:tc>
          <w:tcPr>
            <w:tcW w:type="dxa" w:w="328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1 Verification Required</w:t>
            </w:r>
          </w:p>
        </w:tc>
        <w:tc>
          <w:tcPr>
            <w:tcW w:type="dxa" w:w="328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2 Verification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Architecture / HA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 configuration confirmed. Failover tested.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 or DR strategy documented and approved.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w:t>
            </w:r>
          </w:p>
        </w:tc>
        <w:tc>
          <w:tcPr>
            <w:tcW w:type="dxa" w:w="328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running. Restore tested. RPO confirmed.</w:t>
            </w:r>
          </w:p>
        </w:tc>
        <w:tc>
          <w:tcPr>
            <w:tcW w:type="dxa" w:w="328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configured. Restore test scheduled within 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24/7 monitoring active. Alerting tested. 15-min SLA set.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hours monitoring active. On-call process documented.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Patching</w:t>
            </w:r>
          </w:p>
        </w:tc>
        <w:tc>
          <w:tcPr>
            <w:tcW w:type="dxa" w:w="328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patch process documented.</w:t>
            </w:r>
          </w:p>
        </w:tc>
        <w:tc>
          <w:tcPr>
            <w:tcW w:type="dxa" w:w="328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Patch schedule aligned to criticality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access review scheduled.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Semi-annual access review scheduled.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 Test</w:t>
            </w:r>
          </w:p>
        </w:tc>
        <w:tc>
          <w:tcPr>
            <w:tcW w:type="dxa" w:w="328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DR test scheduled within 90 days of go-live.</w:t>
            </w:r>
          </w:p>
        </w:tc>
        <w:tc>
          <w:tcPr>
            <w:tcW w:type="dxa" w:w="328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 test scheduled within 12 months of go-live.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CSV/CSA (if flagged)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documentation complete. QA signed off.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plan approved. Execution scheduled.</w:t>
            </w:r>
          </w:p>
        </w:tc>
      </w:tr>
    </w:tbl>
    <w:p>
      <w:r>
        <w:br w:type="page"/>
      </w:r>
    </w:p>
    <w:p>
      <w:pPr>
        <w:pStyle w:val="Heading1"/>
        <w:spacing w:before="360" w:after="120"/>
      </w:pPr>
      <w:r>
        <w:rPr>
          <w:rFonts w:ascii="Arial" w:cs="Arial" w:eastAsia="Arial" w:hAnsi="Arial"/>
          <w:b/>
          <w:bCs/>
          <w:color w:val="1B2A4A"/>
          <w:sz w:val="36"/>
          <w:szCs w:val="36"/>
        </w:rPr>
        <w:t xml:space="preserve">7.  Annual Review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classified systems must be reviewed and the classification reconfirmed at least annually. The review cycle is managed by Information Security.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21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6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 days before a system's review date, Information Security sends a review notification to the System Owner, including the current classification, regulatory flags, and Asset Register 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7.2</w:t>
            </w:r>
          </w:p>
        </w:tc>
        <w:tc>
          <w:tcPr>
            <w:tcW w:type="dxa" w:w="6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System Owner reviews the system against the trigger events in Section 4. Have there been changes to data types, functionality, integrations, or regulatory scope since the last classification?</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7.3</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no material changes: System Owner confirms the classification in writing. The next review date is updated to 12 months from the confirmation 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7.4</w:t>
            </w:r>
          </w:p>
        </w:tc>
        <w:tc>
          <w:tcPr>
            <w:tcW w:type="dxa" w:w="6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material changes have occurred: the full classification process (Steps 1–8) is repeated for the affected inputs. The previous classification remains in force until the new classification is approved.</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a system has been decommissioned or is no longer active, the System Owner notifies Information Security. The system is marked as decommissioned in the Asset Register. Data disposal must comply with POL-002.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IT</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7.6</w:t>
            </w:r>
          </w:p>
        </w:tc>
        <w:tc>
          <w:tcPr>
            <w:tcW w:type="dxa" w:w="6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overdue for review by more than 30 days are flagged as non-compliant in the Asset Register and escalated to the System Owner's line manager and the ISSG.</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Reclassification</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8.1  Upward Reclassification</w:t>
      </w:r>
    </w:p>
    <w:p>
      <w:pPr>
        <w:spacing w:before="80" w:after="80"/>
      </w:pPr>
      <w:r>
        <w:rPr>
          <w:rFonts w:ascii="Arial" w:cs="Arial" w:eastAsia="Arial" w:hAnsi="Arial"/>
          <w:color w:val="333333"/>
          <w:sz w:val="22"/>
          <w:szCs w:val="22"/>
        </w:rPr>
        <w:t xml:space="preserve">Upward reclassification (to a higher criticality tier) may be initiated at any time by the System Owner or Information Security. It follows the same approval workflow as Steps 4–8 above. Controls for the new tier must be implemented or gap-remediated within the timelines defined in Section 6, Step 8. The previous classification remains in force until the new one is approved.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8.2  Downward Reclassification</w:t>
      </w:r>
    </w:p>
    <w:p>
      <w:pPr>
        <w:spacing w:before="80" w:after="80"/>
      </w:pPr>
      <w:r>
        <w:rPr>
          <w:rFonts w:ascii="Arial" w:cs="Arial" w:eastAsia="Arial" w:hAnsi="Arial"/>
          <w:color w:val="333333"/>
          <w:sz w:val="22"/>
          <w:szCs w:val="22"/>
        </w:rPr>
        <w:t xml:space="preserve">Downward reclassification requires a higher standard of evidence and approval: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From → To</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Additional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Tier 2 or below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submits written justification. Information Security validates both inputs have genuinely changed. CISO approval required. Business Continuity confirms revised DR obligations are met.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 Tier 3 or below</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submits written justification. Information Security validates both inputs. Compliance/QA confirms no regulatory flag uplift applies.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 below regulatory minimum (GxP / SOX)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permissible while regulatory flag is active. Flag must be removed first, with Compliance/QA and CISO approval.</w:t>
            </w:r>
          </w:p>
        </w:tc>
      </w:tr>
    </w:tbl>
    <w:p>
      <w:pPr>
        <w:spacing w:before="80" w:after="0"/>
      </w:pPr>
      <w:r>
        <w:t xml:space="preserve"/>
      </w:r>
    </w:p>
    <w:p>
      <w:pPr>
        <w:spacing w:before="80" w:after="80"/>
      </w:pPr>
      <w:r>
        <w:rPr>
          <w:rFonts w:ascii="Arial" w:cs="Arial" w:eastAsia="Arial" w:hAnsi="Arial"/>
          <w:color w:val="333333"/>
          <w:sz w:val="22"/>
          <w:szCs w:val="22"/>
        </w:rPr>
        <w:t xml:space="preserve">All reclassification decisions — upward or downward — must be recorded in the Asset Register with: date, previous classification, new classification, rationale, and approver names.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Dispute Resolution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Where there is disagreement between the System Owner, IT, Compliance/QA, or Information Security on the appropriate classification, the following escalation path applies:</w:t>
      </w:r>
    </w:p>
    <w:p>
      <w:pPr>
        <w:spacing w:before="80" w:after="0"/>
      </w:pPr>
      <w:r>
        <w:t xml:space="preserve"/>
      </w:r>
    </w:p>
    <w:p>
      <w:pPr>
        <w:pStyle w:val="ListParagraph"/>
        <w:numPr>
          <w:ilvl w:val="0"/>
          <w:numId w:val="3"/>
        </w:numPr>
        <w:spacing w:before="60" w:after="60"/>
      </w:pPr>
      <w:r>
        <w:rPr>
          <w:rFonts w:ascii="Arial" w:cs="Arial" w:eastAsia="Arial" w:hAnsi="Arial"/>
          <w:color w:val="333333"/>
          <w:sz w:val="22"/>
          <w:szCs w:val="22"/>
        </w:rPr>
        <w:t xml:space="preserve">The party raising the dispute submits a written statement to Information Security, identifying the disputed input (A or B) or regulatory flag and the competing assessments.</w:t>
      </w:r>
    </w:p>
    <w:p>
      <w:pPr>
        <w:pStyle w:val="ListParagraph"/>
        <w:numPr>
          <w:ilvl w:val="0"/>
          <w:numId w:val="3"/>
        </w:numPr>
        <w:spacing w:before="60" w:after="60"/>
      </w:pPr>
      <w:r>
        <w:rPr>
          <w:rFonts w:ascii="Arial" w:cs="Arial" w:eastAsia="Arial" w:hAnsi="Arial"/>
          <w:color w:val="333333"/>
          <w:sz w:val="22"/>
          <w:szCs w:val="22"/>
        </w:rPr>
        <w:t xml:space="preserve">Information Security convenes a review meeting with the relevant parties within 5 business days. Business Continuity and Compliance/QA are included if RPO/RTO or regulatory flags are in dispute.</w:t>
      </w:r>
    </w:p>
    <w:p>
      <w:pPr>
        <w:pStyle w:val="ListParagraph"/>
        <w:numPr>
          <w:ilvl w:val="0"/>
          <w:numId w:val="3"/>
        </w:numPr>
        <w:spacing w:before="60" w:after="60"/>
      </w:pPr>
      <w:r>
        <w:rPr>
          <w:rFonts w:ascii="Arial" w:cs="Arial" w:eastAsia="Arial" w:hAnsi="Arial"/>
          <w:color w:val="333333"/>
          <w:sz w:val="22"/>
          <w:szCs w:val="22"/>
        </w:rPr>
        <w:t xml:space="preserve">Information Security issues a written determination within 3 business days of the review meeting. This determination is binding pending escalation.</w:t>
      </w:r>
    </w:p>
    <w:p>
      <w:pPr>
        <w:pStyle w:val="ListParagraph"/>
        <w:numPr>
          <w:ilvl w:val="0"/>
          <w:numId w:val="3"/>
        </w:numPr>
        <w:spacing w:before="60" w:after="60"/>
      </w:pPr>
      <w:r>
        <w:rPr>
          <w:rFonts w:ascii="Arial" w:cs="Arial" w:eastAsia="Arial" w:hAnsi="Arial"/>
          <w:color w:val="333333"/>
          <w:sz w:val="22"/>
          <w:szCs w:val="22"/>
        </w:rPr>
        <w:t xml:space="preserve">If the System Owner or another party disputes the determination, the matter is escalated to the CISO for final resolution.</w:t>
      </w:r>
    </w:p>
    <w:p>
      <w:pPr>
        <w:pStyle w:val="ListParagraph"/>
        <w:numPr>
          <w:ilvl w:val="0"/>
          <w:numId w:val="3"/>
        </w:numPr>
        <w:spacing w:before="60" w:after="60"/>
      </w:pPr>
      <w:r>
        <w:rPr>
          <w:rFonts w:ascii="Arial" w:cs="Arial" w:eastAsia="Arial" w:hAnsi="Arial"/>
          <w:color w:val="333333"/>
          <w:sz w:val="22"/>
          <w:szCs w:val="22"/>
        </w:rPr>
        <w:t xml:space="preserve">The CISO's determination is final. It is recorded in the Asset Register and the exception log maintained by Information Security.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While a classification dispute is active, the system must operate under the higher of the two competing classifications.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Third-Party and Cloud-Hosted Systems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Third-party and cloud-hosted systems follow the same classification process as internally hosted systems, with the following additional steps embedded within the workflow: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Additional Requirement for Third-Party Systems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 3 (Functional Assessment)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System Owner must obtain and review the vendor's BCR/DR documentation before completing Input B. Vendor-stated RPO/RTO must be compared against the tier requirement.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 5 (Regulatory Flags)</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GxP-Regulated flag: a Technical Agreement must be in place with the vendor specifying CSV/CSA and audit trail obligations. SOX In-Scope flag: vendor must demonstrate ITGC controls (SOC 2 Type II or equivalent).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 6 (Approval)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Tier 1 third-party systems, the CISO must confirm that contractual right-to-audit is in place before approval is granted.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 7 (Asset Register)</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Asset Register entry must include: vendor name, vendor contact, contract expiry date, SLA reference, and date of last vendor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 8 (Controls Verification)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Tier 1 and Tier 2 third-party systems, Business Continuity must confirm that the vendor's DR commitments meet the RPO/RTO requirements of the tier.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Records and Evidence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860"/>
      </w:tblGrid>
      <w:tr>
        <w:trPr>
          <w:tblHeader/>
        </w:trPr>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Record</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 Period</w:t>
            </w:r>
          </w:p>
        </w:tc>
        <w:tc>
          <w:tcPr>
            <w:tcW w:type="dxa" w:w="1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Completed WI-005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 / document management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system + 5 years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Classification approval (InfoSec / CISO)</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system + 5 years</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 confirmations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years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Controls verification sign-off</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 / IT records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system + 5 years</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 Information 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Reclassification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system + 5 years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Dispute adjudications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records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 years</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Decommission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years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4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Overarching framework; defines dual-input classification schema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Questionnaire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Task-level execution tool used in Steps 2–5</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SOP-001</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Process</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outputs are a required input to Step 2 (Input 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Defines data sensitivity tiers referenced in Input A assessment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A (GxP flag) → Full CSV/CSA. Track B (SOX, non-GxP) → ITGC. Track C (Tier 1/2, no flag) → Structured Qualification. Track D (Tier 3/4, no flag) → Lightweight. Governs CSV/CSA requirements triggered by GxP regulatory flag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Governs change type eligibility and approval authority by criticality tier and regulatory flags. GxP-flagged: validation impact assessment mandatory for all changes.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 cadence is a direct output of system classification — Tier 1/GxP: quarterly; Tier 2: semi-annual/quarterly; Tier 3/4: annual. Controls verification (Step 6) confirms POL-008 access controls are implemented per tier.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JIT privileged access and session recording requirements are tier-scaled controls verified at Step 6; PAM platform requirement applies to Tier 1 and Tier 2 systems.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System-level risk assessment is a required pre-go-live input (Step 5) for Tier 1/2 systems; the classification output (criticality tier, regulatory flags) feeds directly into risk scoring context; system risks identified during classification flow into the IS Risk Register under POL-010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 strategy and RPO/RTO requirements by tier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Additional requirements for third-party classified systems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13.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Asset Register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central corporate inventory of all data assets and systems, including classification, ownership, and regulatory flag records.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CSA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Software Assurance — the FDA's risk-based approach to assuring software used in regulated activities.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CSV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 documented demonstration that a system does what it purports to do consistently and reproducibly.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Data-Derived Criticality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Input A: the criticality assessment based on the operational impact of the data the system holds becoming unavailable or corrupted.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Functional Criticality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Input B: the criticality assessment based on the operational impact of the system itself being unavailable, independent of its data.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GxP-Regulated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system that creates, modifies, stores, archives, retrieves, or transmits electronic records required under applicable Good Practice regulations.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Availability — architecture designed to minimise downtime through redundancy and automated failover.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ITGC</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General Controls — IT controls that support the effectiveness of application controls for SOX financial reporting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Recovery Point Objective — the maximum acceptable age of data at the point of recovery following a failure.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Recovery Time Objective — the maximum acceptable duration of a system outage before recovery must be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individual accountable for the lifecycle, classification, and controls applied to a specific information system.</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SOP-005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SYSTEM CLASSIFICATION PROCESS  |  SOP-005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2026-03-07T08:40:17.339Z</dcterms:created>
  <dcterms:modified xsi:type="dcterms:W3CDTF">2026-03-07T08:40:17.369Z</dcterms:modified>
</cp:coreProperties>
</file>

<file path=docProps/custom.xml><?xml version="1.0" encoding="utf-8"?>
<Properties xmlns="http://schemas.openxmlformats.org/officeDocument/2006/custom-properties" xmlns:vt="http://schemas.openxmlformats.org/officeDocument/2006/docPropsVTypes"/>
</file>