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ACCESS CONTROL PROCESS</w:t>
      </w:r>
    </w:p>
    <w:p>
      <w:pPr>
        <w:shd w:fill="1B2A4A" w:val="clear"/>
        <w:spacing w:before="40" w:after="0"/>
        <w:ind w:left="1440"/>
      </w:pPr>
      <w:r>
        <w:rPr>
          <w:rFonts w:ascii="Arial" w:cs="Arial" w:eastAsia="Arial" w:hAnsi="Arial"/>
          <w:i/>
          <w:iCs/>
          <w:color w:val="D6E4F7"/>
          <w:sz w:val="24"/>
          <w:szCs w:val="24"/>
        </w:rPr>
        <w:t xml:space="preserve">SOP-008  |  Standard Operating Procedure  |  Issued under POL-008</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SOP-008</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POL-008  —  Access Control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Data Custodian (IT)</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 — Access Control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POL-009 (PAM), POL-010 (IS Risk), POL-012 (Incident Response), POL-013 (Third Party), POL-014 (Audit Trail), SOP-006 (Validation Process), SOP-007 (Change Management Process), SOP-009 (PAM Process), SOP-013 (Vendor Risk Process), EXC-001 (Exception Management)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SOP governs standard user access — provisioning, modification, and deprovisioning of named individual accounts across [Company Name] systems. Privileged access (system administrator, database administrator, break-glass, and service accounts) is governed by SOP-009. Where a provisioning action would also grant privileged access, both SOPs apply and SOP-009 takes precedence on the privileged element.</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identity lifecycle process for all [Company Name] system users — from initial provisioning through role changes to final deprovisioning. It operationalises the access control requirements of POL-008 by establishing the specific steps, timelines, approval authorities, and documentation requirements for every access change event.</w:t>
      </w:r>
    </w:p>
    <w:p>
      <w:pPr>
        <w:spacing w:before="60" w:after="0"/>
      </w:pPr>
      <w:r>
        <w:t xml:space="preserve"/>
      </w:r>
    </w:p>
    <w:p>
      <w:pPr>
        <w:spacing w:before="80" w:after="80"/>
      </w:pPr>
      <w:r>
        <w:rPr>
          <w:rFonts w:ascii="Arial" w:cs="Arial" w:eastAsia="Arial" w:hAnsi="Arial"/>
          <w:color w:val="333333"/>
          <w:sz w:val="22"/>
          <w:szCs w:val="22"/>
        </w:rPr>
        <w:t xml:space="preserve">The process has three equal priorities: security (ensuring access is always proportionate to role and business need), regulatory compliance (ensuring GxP and SOX ITGC access requirements are met), and operational efficiency (ensuring legitimate users receive access promptly and reliably). These priorities occasionally create tension — for example, the requirement to complete GxP training before provisioning access to a GxP system may delay go-live. This SOP resolves those tensions by being explicit about the sequence and the non-negotiable steps.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access provisioning, modification, and deprovisioning for named individual user accounts across all [Company Name] systems — on-premises, cloud, and SaaS. It covers:</w:t>
      </w:r>
    </w:p>
    <w:p>
      <w:pPr>
        <w:pStyle w:val="ListParagraph"/>
        <w:numPr>
          <w:ilvl w:val="0"/>
          <w:numId w:val="2"/>
        </w:numPr>
        <w:spacing w:before="60" w:after="60"/>
      </w:pPr>
      <w:r>
        <w:rPr>
          <w:rFonts w:ascii="Arial" w:cs="Arial" w:eastAsia="Arial" w:hAnsi="Arial"/>
          <w:color w:val="333333"/>
          <w:sz w:val="22"/>
          <w:szCs w:val="22"/>
        </w:rPr>
        <w:t xml:space="preserve">Employee and contractor access (joiners, movers, leavers)</w:t>
      </w:r>
    </w:p>
    <w:p>
      <w:pPr>
        <w:pStyle w:val="ListParagraph"/>
        <w:numPr>
          <w:ilvl w:val="0"/>
          <w:numId w:val="2"/>
        </w:numPr>
        <w:spacing w:before="60" w:after="60"/>
      </w:pPr>
      <w:r>
        <w:rPr>
          <w:rFonts w:ascii="Arial" w:cs="Arial" w:eastAsia="Arial" w:hAnsi="Arial"/>
          <w:color w:val="333333"/>
          <w:sz w:val="22"/>
          <w:szCs w:val="22"/>
        </w:rPr>
        <w:t xml:space="preserve">Third-party user access (vendor and partner access provisioned under POL-013 / SOP-013 commercial controls)</w:t>
      </w:r>
    </w:p>
    <w:p>
      <w:pPr>
        <w:pStyle w:val="ListParagraph"/>
        <w:numPr>
          <w:ilvl w:val="0"/>
          <w:numId w:val="2"/>
        </w:numPr>
        <w:spacing w:before="60" w:after="60"/>
      </w:pPr>
      <w:r>
        <w:rPr>
          <w:rFonts w:ascii="Arial" w:cs="Arial" w:eastAsia="Arial" w:hAnsi="Arial"/>
          <w:color w:val="333333"/>
          <w:sz w:val="22"/>
          <w:szCs w:val="22"/>
        </w:rPr>
        <w:t xml:space="preserve">Temporary access (time-bounded access for specific projects or activities)</w:t>
      </w:r>
    </w:p>
    <w:p>
      <w:pPr>
        <w:pStyle w:val="ListParagraph"/>
        <w:numPr>
          <w:ilvl w:val="0"/>
          <w:numId w:val="2"/>
        </w:numPr>
        <w:spacing w:before="60" w:after="60"/>
      </w:pPr>
      <w:r>
        <w:rPr>
          <w:rFonts w:ascii="Arial" w:cs="Arial" w:eastAsia="Arial" w:hAnsi="Arial"/>
          <w:color w:val="333333"/>
          <w:sz w:val="22"/>
          <w:szCs w:val="22"/>
        </w:rPr>
        <w:t xml:space="preserve">Role-based access control (RBAC) role definitions and role assignment</w:t>
      </w:r>
    </w:p>
    <w:p>
      <w:pPr>
        <w:spacing w:before="60" w:after="0"/>
      </w:pPr>
      <w:r>
        <w:t xml:space="preserve"/>
      </w:r>
    </w:p>
    <w:p>
      <w:pPr>
        <w:spacing w:before="80" w:after="80"/>
      </w:pPr>
      <w:r>
        <w:rPr>
          <w:rFonts w:ascii="Arial" w:cs="Arial" w:eastAsia="Arial" w:hAnsi="Arial"/>
          <w:color w:val="333333"/>
          <w:sz w:val="22"/>
          <w:szCs w:val="22"/>
        </w:rPr>
        <w:t xml:space="preserve">Explicitly outside scope: privileged and administrator accounts (SOP-009); service and system accounts (SOP-009); guest or anonymous access to public-facing systems; access management for systems undergoing initial validation where access is provisioned as part of the IQ/OQ process (SOP-006 governs, though access controls confirmed in IQ must subsequently be maintained via this SOP).</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 owner. Approves access provisioning for Tier 1 and GxP systems. Oversees periodic access reviews. Escalates access anomalies detected during review.</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Implements approved access changes in the identity management system or directly in target systems where no IAM integration exists. Confirms implementation within required timelines. Executes access deprovisioning on leaver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Line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access requests for their direct reports. Confirms that access requested is consistent with the employee's role and business need. Initiates leaver notifications when a direct report leaves or changes role. Certifies accuracy of access during periodic access reviews.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access requests for their system where elevated approval is required (Tier 1, GxP). Defines and maintains the RBAC role definitions for their system. Participates in periodic access review for their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Confirms GxP training completion before access is provisioned to any GxP system. Co-approves access to GxP systems requiring Compliance / QA sign-off. Reviews access review results for GxP systems.</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6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Authoritative source of joiner, mover, and leaver events. Issues timely notifications to Information Security and Data Custodian (IT) per the timelines in this SOP. Confirms contractor and third-party access termination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access requests and access review outputs for systems with GDPR flag where access involves personal data processing. Confirms adequacy of access controls for personal data systems.</w:t>
            </w:r>
          </w:p>
        </w:tc>
      </w:tr>
    </w:tbl>
    <w:p>
      <w:r>
        <w:br w:type="page"/>
      </w:r>
    </w:p>
    <w:p>
      <w:pPr>
        <w:pStyle w:val="Heading1"/>
        <w:spacing w:before="360" w:after="120"/>
      </w:pPr>
      <w:r>
        <w:rPr>
          <w:rFonts w:ascii="Arial" w:cs="Arial" w:eastAsia="Arial" w:hAnsi="Arial"/>
          <w:b/>
          <w:bCs/>
          <w:color w:val="1B2A4A"/>
          <w:sz w:val="36"/>
          <w:szCs w:val="36"/>
        </w:rPr>
        <w:t xml:space="preserve">4.  Joiner Process — New Access Provisioning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joiner process governs the provisioning of access for new employees, contractors, and third-party users. Access provisioning is initiated by the Line Manager or System Owner and follows the approval and implementation sequence below.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No access may be provisioned before all mandatory pre-conditions for the target system are confirmed. The pre-conditions differ by system tier and regulatory flag. Provisional or 'temporary until training is complete' access to GxP systems is not permitted — training completion is a pre-condition, not a post-provisioning obligation.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Request Submission</w:t>
            </w:r>
          </w:p>
          <w:p>
            <w:pPr>
              <w:spacing w:before="0" w:after="0"/>
            </w:pPr>
            <w:r>
              <w:rPr>
                <w:rFonts w:ascii="Arial" w:cs="Arial" w:eastAsia="Arial" w:hAnsi="Arial"/>
                <w:color w:val="444444"/>
                <w:sz w:val="20"/>
                <w:szCs w:val="20"/>
              </w:rPr>
              <w:t xml:space="preserve">The Line Manager (for employee/contractor access) or System Owner (for third-party access or direct system requests) submits an Access Request via the ITSM platform.
Mandatory Access Request fields:
— User name, employee/contractor ID, role title
— Target system(s) and requested access role(s)
— Business justification: why this access is needed for this role
— Access duration: permanent (until role change or departure) or time-limited (specify end date)
— For third-party users: reference to approved SOP-013 vendor assessment and DPA/BAA/Technical Agreement where applicable
— Manager confirmation that Least Privilege principle has been applied — the minimum access required to perform the role, not the maximum available
Requests without complete mandatory fields are returned to the requester without processing.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Line Manager / System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Pre-Condition Verification</w:t>
            </w:r>
          </w:p>
          <w:p>
            <w:pPr>
              <w:spacing w:before="0" w:after="0"/>
            </w:pPr>
            <w:r>
              <w:rPr>
                <w:rFonts w:ascii="Arial" w:cs="Arial" w:eastAsia="Arial" w:hAnsi="Arial"/>
                <w:color w:val="444444"/>
                <w:sz w:val="20"/>
                <w:szCs w:val="20"/>
              </w:rPr>
              <w:t xml:space="preserve">Information Security verifies that all pre-conditions for the requested access are satisfied before the approval routing step.
Pre-conditions by system type:
All systems:
— User identity confirmed in HR system (employee/contractor record active)
— No open access conflicts (user does not already hold conflicting access — SoD check)
Tier 1 and Tier 2 systems additionally:
— MFA enrolment confirmed in identity provider
— Security awareness training completed (current year)
GxP systems additionally:
— System-specific GxP training completed and recorded — confirmed by Compliance / QA
— Named individual account confirmed (shared/generic account requested → rejected and returned)
— Access role confirmed to be in the approved RBAC role set for the system
SOX ITGC systems additionally:
— SoD matrix reviewed for finance roles — no SoD conflict permitted
Failed pre-conditions: request placed On Hold. Requester notified with specific outstanding items. Request does not progress until all pre-conditions are satisfied.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Approval</w:t>
            </w:r>
          </w:p>
          <w:p>
            <w:pPr>
              <w:spacing w:before="0" w:after="0"/>
            </w:pPr>
            <w:r>
              <w:rPr>
                <w:rFonts w:ascii="Arial" w:cs="Arial" w:eastAsia="Arial" w:hAnsi="Arial"/>
                <w:color w:val="444444"/>
                <w:sz w:val="20"/>
                <w:szCs w:val="20"/>
              </w:rPr>
              <w:t xml:space="preserve">Approval routing is determined by the target system's tier and regulatory flags:
Tier 4 and Tier 3 (no regulatory flags):
— Line Manager approval is sufficient
— Implementation may proceed on Line Manager approval
Tier 2 (no GxP or SOX flag):
— Line Manager approval + Information Security review
— Information Security may approve or escalate to System Owner
Tier 1 and GxP systems:
— Line Manager approval
— System Owner approval
— Information Security Manager approval
— Compliance / QA confirmation of GxP training (GxP systems)
— All four approvals required before provisioning proceeds
SOX ITGC systems:
— Line Manager approval
— System Owner approval
— Information Security Manager approval (SoD check confirmed)
All approvals are recorded in the ITSM platform with approver identity and timestamp. Verbal or email approvals outside the ITSM platform are not valid.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Line Manager / System Owner / Information Security Manager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Implementation</w:t>
            </w:r>
          </w:p>
          <w:p>
            <w:pPr>
              <w:spacing w:before="0" w:after="0"/>
            </w:pPr>
            <w:r>
              <w:rPr>
                <w:rFonts w:ascii="Arial" w:cs="Arial" w:eastAsia="Arial" w:hAnsi="Arial"/>
                <w:color w:val="444444"/>
                <w:sz w:val="20"/>
                <w:szCs w:val="20"/>
              </w:rPr>
              <w:t xml:space="preserve">Data Custodian (IT) implements the approved access change within the required timeline:
Implementation timelines (from final approval):
— Tier 1 and GxP systems: within 1 business day
— Tier 2 systems: within 2 business days
— Tier 3/4 systems: within 5 business days
Implementation is recorded as a Standard Change under SOP-007 (standard user provisioning is a pre-approved Standard change procedure).
On implementation:
— Access confirmed in target system against the approved role specification
— MFA confirmed active for Tier 1/2 users (system will not permit access without MFA)
— For GxP systems: audit trail entry for access provisioning confirmed — user identity, timestamp, and access role recorded in the system audit trail
— Implementation confirmation sent to Line Manager and user
If implementation cannot be completed within the timeline: Information Security Manager notified with reason and revised timeline.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Record Update</w:t>
            </w:r>
          </w:p>
          <w:p>
            <w:pPr>
              <w:spacing w:before="0" w:after="0"/>
            </w:pPr>
            <w:r>
              <w:rPr>
                <w:rFonts w:ascii="Arial" w:cs="Arial" w:eastAsia="Arial" w:hAnsi="Arial"/>
                <w:color w:val="444444"/>
                <w:sz w:val="20"/>
                <w:szCs w:val="20"/>
              </w:rPr>
              <w:t xml:space="preserve">On confirmed implementation:
— Access Register (or IAM system record) updated: user, system, access role, approval reference, provisioning date, scheduled review date
— For GxP systems: VMF access record updated (Section 11 of VMF structure per SOP-006)
— For SOX systems: access provisioning evidence filed for ITGC audit trail
— For time-limited access: expiry date recorded; automated reminder set for 5 business days before expiry
ITSM ticket closed with implementation confirmation.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Mover Process — Access Modification on Role Change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mover process governs access changes when an existing user changes role — through promotion, lateral move, secondment, or significant change in responsibilities. The key risk in the mover process is access accumulation: a user who moves roles retains their previous access plus gains new access, resulting in a profile that no longer reflects least privilege. This SOP mandates an explicit delta assessment at every role change.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Role Change Notification</w:t>
            </w:r>
          </w:p>
          <w:p>
            <w:pPr>
              <w:spacing w:before="0" w:after="0"/>
            </w:pPr>
            <w:r>
              <w:rPr>
                <w:rFonts w:ascii="Arial" w:cs="Arial" w:eastAsia="Arial" w:hAnsi="Arial"/>
                <w:color w:val="444444"/>
                <w:sz w:val="20"/>
                <w:szCs w:val="20"/>
              </w:rPr>
              <w:t xml:space="preserve">HR issues a Role Change Notification to Information Security and the user's new and previous Line Managers on the effective date of the role change — not after the fact.
Notification must include:
— User name and employee ID
— Previous role and new role
— Effective date of change
— Whether the change involves a change of Line Manager
— Whether the new role is in a different business unit (increases the likelihood of access profile incompatibility)
For promotions within the same team where access requirements are unchanged: new Line Manager may confirm 'no access change required' in writing — Information Security records this confirmation and no further action is required.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 / Line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Delta Assessment</w:t>
            </w:r>
          </w:p>
          <w:p>
            <w:pPr>
              <w:spacing w:before="0" w:after="0"/>
            </w:pPr>
            <w:r>
              <w:rPr>
                <w:rFonts w:ascii="Arial" w:cs="Arial" w:eastAsia="Arial" w:hAnsi="Arial"/>
                <w:color w:val="444444"/>
                <w:sz w:val="20"/>
                <w:szCs w:val="20"/>
              </w:rPr>
              <w:t xml:space="preserve">Information Security, working with the new Line Manager and System Owner, produces an Access Delta Assessment covering:
— Access to revoke: all access from previous role that is not required in the new role (previous role access is revoked by default unless explicitly retained)
— Access to add: new access required for the new role (follows Joiner process for each new system)
— Access to retain: access that is required in both roles — explicitly confirmed, not assumed
The access delta assessment must be completed within 3 business days of the role change effective date. Pending completion, the user operates with their existing access profile — new access is not provisioned until the delta assessment is approved.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New Line Manager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Approval and Implementation</w:t>
            </w:r>
          </w:p>
          <w:p>
            <w:pPr>
              <w:spacing w:before="0" w:after="0"/>
            </w:pPr>
            <w:r>
              <w:rPr>
                <w:rFonts w:ascii="Arial" w:cs="Arial" w:eastAsia="Arial" w:hAnsi="Arial"/>
                <w:color w:val="444444"/>
                <w:sz w:val="20"/>
                <w:szCs w:val="20"/>
              </w:rPr>
              <w:t xml:space="preserve">Access revocations are implemented immediately on Line Manager approval — no further approval required (removing access is always lower risk than granting it).
Access additions follow the Joiner Process (Section 4) — pre-conditions, approval routing, and implementation timelines apply.
Implementation timelines for access revocations:
— Tier 1 and GxP systems: within 1 business day of approval
— Tier 2: within 2 business days
— Tier 3/4: within 5 business days
On completion of all revocations and additions: new Line Manager confirms access profile is correct. Confirmation recorded in ITSM. Access Register updated.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Leaver Process — Access Deprovisioning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leaver process is the highest-risk identity lifecycle event. A former employee, contractor, or third-party user retaining active access after departure is an immediate security and compliance risk. The timelines in this section are non-negotiable — they reflect regulatory requirements (GxP, SOX ITGC) and the risk profile of continued access after the employment or engagement relationship has ended.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Immediate suspension (Step 2 below) and full deprovisioning (Step 3) are separate steps for a reason: suspension is a rapid security measure; full deprovisioning is a deliberate, confirmed process. Do not skip suspension in favour of 'we'll do the full deprovision now' — the risk of a missed account is higher when proceeding directly to full removal without the suspension safety net.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Leaver Notification</w:t>
            </w:r>
          </w:p>
          <w:p>
            <w:pPr>
              <w:spacing w:before="0" w:after="0"/>
            </w:pPr>
            <w:r>
              <w:rPr>
                <w:rFonts w:ascii="Arial" w:cs="Arial" w:eastAsia="Arial" w:hAnsi="Arial"/>
                <w:color w:val="444444"/>
                <w:sz w:val="20"/>
                <w:szCs w:val="20"/>
              </w:rPr>
              <w:t xml:space="preserve">HR issues a Leaver Notification to Information Security and Data Custodian (IT) on the same day that the decision to terminate the employment or engagement is confirmed — not on the last day of employment.
Notification must include:
— User name and employee/contractor ID
— Last day of access (not necessarily the same as last day of employment — access may need to end earlier for sensitive departures)
— Departure type: voluntary resignation / involuntary termination / contract end / redundancy
— Flag if the individual had privileged access (SOP-009 parallel process triggered)
— Flag if the individual had GxP system access
— Flag if the individual had SOX ITGC system access
For involuntary terminations and departures where the departure is not amicable: Information Security Manager is notified immediately (same day) and access suspension is immediate rather than on the last day of access.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HR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Access Suspension — Within 24 Hours of Last Day of Access</w:t>
            </w:r>
          </w:p>
          <w:p>
            <w:pPr>
              <w:spacing w:before="0" w:after="0"/>
            </w:pPr>
            <w:r>
              <w:rPr>
                <w:rFonts w:ascii="Arial" w:cs="Arial" w:eastAsia="Arial" w:hAnsi="Arial"/>
                <w:color w:val="444444"/>
                <w:sz w:val="20"/>
                <w:szCs w:val="20"/>
              </w:rPr>
              <w:t xml:space="preserve">Data Custodian (IT) suspends (disables, not deletes) all accounts for the departing individual within 24 hours of the last day of access:
— Corporate identity provider account: disabled (blocks SSO to all federated systems)
— Email account: disabled and mail flow redirected per manager instruction
— VPN and remote access: revoked immediately
— MFA enrolment: deactivated
— Physical access (if applicable): badge deactivated
For involuntary terminations: all of the above are completed at the time of notification — not at end of day. Line Manager confirms individual is no longer on premises before badge deactivation is delayed for operational reasons.
Suspension is distinct from deletion — suspended accounts are preserved for 30 days to allow:
— Investigation if a security concern is identified post-departure
— GxP audit trail continuity (suspended accounts are still attributed in historical records)
— Data recovery if required by Line Manager within the 30-day window
Suspension confirmation sent to HR and Line Manager. Information Security records suspension timestamp.</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Full Deprovisioning — Within 5 Business Days</w:t>
            </w:r>
          </w:p>
          <w:p>
            <w:pPr>
              <w:spacing w:before="0" w:after="0"/>
            </w:pPr>
            <w:r>
              <w:rPr>
                <w:rFonts w:ascii="Arial" w:cs="Arial" w:eastAsia="Arial" w:hAnsi="Arial"/>
                <w:color w:val="444444"/>
                <w:sz w:val="20"/>
                <w:szCs w:val="20"/>
              </w:rPr>
              <w:t xml:space="preserve">Within 5 business days of the last day of access, Data Custodian (IT) completes full deprovisioning:
1. System-by-system access removal: all systems identified in the Access Register for this user. Access Register used as the checklist — if the register is incomplete, the gap is itself a finding.
2. Each access removal confirmed in the target system — not assumed from SSO deactivation alone (SSO deactivation does not revoke directly-provisioned access that predates or bypasses SSO)
3. Service accounts owned by the departing individual: ownership transferred per SOP-009 before account is closed
4. For GxP systems: audit trail entry confirming access removal recorded. VMF access record updated.
5. For SOX systems: deprovisioning evidence filed for ITGC audit trail record
6. Shared drive and data ownership transferred to Line Manager
7. License reclaim: software licences released within 30 days
Deprovisioning Checklist completed in ITSM platform — one row per system with confirmation timestamp. Line Manager signs off that deprovisioning is complete. ITSM ticket closed.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Account Deletion — After 30-Day Retention Window</w:t>
            </w:r>
          </w:p>
          <w:p>
            <w:pPr>
              <w:spacing w:before="0" w:after="0"/>
            </w:pPr>
            <w:r>
              <w:rPr>
                <w:rFonts w:ascii="Arial" w:cs="Arial" w:eastAsia="Arial" w:hAnsi="Arial"/>
                <w:color w:val="444444"/>
                <w:sz w:val="20"/>
                <w:szCs w:val="20"/>
              </w:rPr>
              <w:t xml:space="preserve">After 30 days from suspension date (extended to 90 days for GxP systems where audit trail records must remain attributed and accessible):
— Corporate identity account: deleted from identity provider
— Remaining system accounts not already removed: deleted
— For GxP systems: account record retained in system for audit trail attribution even after active account is deleted — confirm with Data Custodian (IT) that historical audit trail records remain attributed to the former user identity after account deletion
Deletion recorded in ITSM. Access Register updated: status 'Deprovisioned', deletion date recorded.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r>
        <w:br w:type="page"/>
      </w:r>
    </w:p>
    <w:p>
      <w:pPr>
        <w:pStyle w:val="Heading1"/>
        <w:spacing w:before="360" w:after="120"/>
      </w:pPr>
      <w:r>
        <w:rPr>
          <w:rFonts w:ascii="Arial" w:cs="Arial" w:eastAsia="Arial" w:hAnsi="Arial"/>
          <w:b/>
          <w:bCs/>
          <w:color w:val="1B2A4A"/>
          <w:sz w:val="36"/>
          <w:szCs w:val="36"/>
        </w:rPr>
        <w:t xml:space="preserve">7.  Third-Party Access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Third-party access — vendor, partner, contractor, and consultant access — follows the same joiner/mover/leaver lifecycle as employee access, with additional controls reflecting the higher risk of external access. The commercial framework (DPA, BAA, Technical Agreement, Right to Audit) governing the third-party relationship is established via SOP-013 before any access is provisioned under this SOP.</w:t>
      </w:r>
    </w:p>
    <w:p>
      <w:pPr>
        <w:spacing w:before="8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600"/>
        <w:gridCol w:w="1600"/>
        <w:gridCol w:w="16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A Vendor
(Tier 1 / GxP access)</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B Vendor
(Tier 2 / SOX)</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C Vendor
(Tier 3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individual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vendor user must have a named individual account. No shared or generic accounts.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 — rejection of any shared account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Mandatory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scope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Restricted to the specific systems and functions required for the engagement — not broad system access.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system and function list in Technical Agreement or access request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system list in access request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system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Time-limited to the engagement period — not open-ended.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90 days per access grant, renewable with re-approval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Maximum 6 months, renewable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contract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Persistent access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Standing access between engagement activities is prohibited for Tier 1 and GxP systems.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 per SOP-009 — access activated per maintenance window, deactivated after</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suspended between active engagement periods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Persistent permitted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supervision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sessions supervised or recorded.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Real-time supervision or PAM session recording mandatory (SOP-009)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 where available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required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access pre-conditions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training equivalent confirmed before access.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user training records confirmed by Compliance / QA</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 (not GxP systems)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reviewed at engagement milestone or maximum period.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review of active third-party access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 contract renewal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Third-party access must be suspended immediately on any of: engagement completion, vendor contract termination, vendor security incident (POL-013 trigger), regulatory inspection finding related to the vendor, or vendor offboarding per SOP-013. Suspension does not wait for the formal leaver process — it is immediate.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Periodic Access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Periodic access reviews confirm that all active access remains current, appropriate, and consistent with the least privilege principle. Access reviews are a regulatory obligation for GxP and SOX ITGC systems — the absence of documented access review evidence is a common inspection finding.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200"/>
        <w:gridCol w:w="1960"/>
      </w:tblGrid>
      <w:tr>
        <w:trPr>
          <w:tblHeader/>
        </w:trPr>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Frequency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Scope</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Evidence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GxP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accounts. Role assignments verified against current HR role. Dormant accounts (no login for 30 days) flagged for removal. Privileged accounts reviewed under SOP-009.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Signed access review record per system. Exported account list from authoritative system source (not cached list). Remediation actions recorded in ITSM. GxP: review record filed in VMF.</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 Manager + Finance Controller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accounts on SOX-scoped systems. SoD conflicts identified and resolved. Finance role access verified against approved role matrix.</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Signed access review record. SoD conflict log with resolution evidence. Retained 7 years per POL-002.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(non-SOX)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accounts. Dormant accounts (no login for 60 days) flagged.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Signed access review record per system.</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 4</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Annually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accounts. Role appropriateness confirmed by Line Manager.</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review confirmation per system. Remediation actions recorded.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users
(Tier A/B vendors)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(Tier A) / Quarterly (Tier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relevant System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third-party accounts. Engagement status confirmed. Access scope confirmed against current contract.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access review record. Engagement status confirmation from relationship owner.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8.1  Review Execution</w:t>
      </w:r>
    </w:p>
    <w:p>
      <w:pPr>
        <w:spacing w:before="80" w:after="80"/>
      </w:pPr>
      <w:r>
        <w:rPr>
          <w:rFonts w:ascii="Arial" w:cs="Arial" w:eastAsia="Arial" w:hAnsi="Arial"/>
          <w:color w:val="333333"/>
          <w:sz w:val="22"/>
          <w:szCs w:val="22"/>
        </w:rPr>
        <w:t xml:space="preserve">Access reviews are conducted against an authoritative export from the target system — not a cached list or the Access Register alone. The register is verified against the system export, not the other way around. Discrepancies between the register and the system export are access anomalies and must be investigated.</w:t>
      </w:r>
    </w:p>
    <w:p>
      <w:pPr>
        <w:spacing w:before="60" w:after="0"/>
      </w:pPr>
      <w:r>
        <w:t xml:space="preserve"/>
      </w:r>
    </w:p>
    <w:p>
      <w:pPr>
        <w:spacing w:before="80" w:after="80"/>
      </w:pPr>
      <w:r>
        <w:rPr>
          <w:rFonts w:ascii="Arial" w:cs="Arial" w:eastAsia="Arial" w:hAnsi="Arial"/>
          <w:color w:val="333333"/>
          <w:sz w:val="22"/>
          <w:szCs w:val="22"/>
        </w:rPr>
        <w:t xml:space="preserve">Review steps:</w:t>
      </w:r>
    </w:p>
    <w:p>
      <w:pPr>
        <w:pStyle w:val="ListParagraph"/>
        <w:numPr>
          <w:ilvl w:val="0"/>
          <w:numId w:val="2"/>
        </w:numPr>
        <w:spacing w:before="60" w:after="60"/>
      </w:pPr>
      <w:r>
        <w:rPr>
          <w:rFonts w:ascii="Arial" w:cs="Arial" w:eastAsia="Arial" w:hAnsi="Arial"/>
          <w:color w:val="333333"/>
          <w:sz w:val="22"/>
          <w:szCs w:val="22"/>
        </w:rPr>
        <w:t xml:space="preserve">Export active account list from each in-scope system (Data Custodian IT)</w:t>
      </w:r>
    </w:p>
    <w:p>
      <w:pPr>
        <w:pStyle w:val="ListParagraph"/>
        <w:numPr>
          <w:ilvl w:val="0"/>
          <w:numId w:val="2"/>
        </w:numPr>
        <w:spacing w:before="60" w:after="60"/>
      </w:pPr>
      <w:r>
        <w:rPr>
          <w:rFonts w:ascii="Arial" w:cs="Arial" w:eastAsia="Arial" w:hAnsi="Arial"/>
          <w:color w:val="333333"/>
          <w:sz w:val="22"/>
          <w:szCs w:val="22"/>
        </w:rPr>
        <w:t xml:space="preserve">For each account: confirm user is still employed/engaged, confirm role is still current, confirm access scope is appropriate for current role</w:t>
      </w:r>
    </w:p>
    <w:p>
      <w:pPr>
        <w:pStyle w:val="ListParagraph"/>
        <w:numPr>
          <w:ilvl w:val="0"/>
          <w:numId w:val="2"/>
        </w:numPr>
        <w:spacing w:before="60" w:after="60"/>
      </w:pPr>
      <w:r>
        <w:rPr>
          <w:rFonts w:ascii="Arial" w:cs="Arial" w:eastAsia="Arial" w:hAnsi="Arial"/>
          <w:color w:val="333333"/>
          <w:sz w:val="22"/>
          <w:szCs w:val="22"/>
        </w:rPr>
        <w:t xml:space="preserve">Flag for removal: leavers not yet deprovisioned (immediate action), dormant accounts, role mismatches, SoD conflicts</w:t>
      </w:r>
    </w:p>
    <w:p>
      <w:pPr>
        <w:pStyle w:val="ListParagraph"/>
        <w:numPr>
          <w:ilvl w:val="0"/>
          <w:numId w:val="2"/>
        </w:numPr>
        <w:spacing w:before="60" w:after="60"/>
      </w:pPr>
      <w:r>
        <w:rPr>
          <w:rFonts w:ascii="Arial" w:cs="Arial" w:eastAsia="Arial" w:hAnsi="Arial"/>
          <w:color w:val="333333"/>
          <w:sz w:val="22"/>
          <w:szCs w:val="22"/>
        </w:rPr>
        <w:t xml:space="preserve">Remediation actions raised as ITSM tickets — each with a named owner and target date</w:t>
      </w:r>
    </w:p>
    <w:p>
      <w:pPr>
        <w:pStyle w:val="ListParagraph"/>
        <w:numPr>
          <w:ilvl w:val="0"/>
          <w:numId w:val="2"/>
        </w:numPr>
        <w:spacing w:before="60" w:after="60"/>
      </w:pPr>
      <w:r>
        <w:rPr>
          <w:rFonts w:ascii="Arial" w:cs="Arial" w:eastAsia="Arial" w:hAnsi="Arial"/>
          <w:color w:val="333333"/>
          <w:sz w:val="22"/>
          <w:szCs w:val="22"/>
        </w:rPr>
        <w:t xml:space="preserve">Reviewer signs the access review record confirming completion and accuracy</w:t>
      </w:r>
    </w:p>
    <w:p>
      <w:pPr>
        <w:pStyle w:val="ListParagraph"/>
        <w:numPr>
          <w:ilvl w:val="0"/>
          <w:numId w:val="2"/>
        </w:numPr>
        <w:spacing w:before="60" w:after="60"/>
      </w:pPr>
      <w:r>
        <w:rPr>
          <w:rFonts w:ascii="Arial" w:cs="Arial" w:eastAsia="Arial" w:hAnsi="Arial"/>
          <w:color w:val="333333"/>
          <w:sz w:val="22"/>
          <w:szCs w:val="22"/>
        </w:rPr>
        <w:t xml:space="preserve">Information Security Manager countersigns for Tier 1, GxP, and SOX reviews</w:t>
      </w:r>
    </w:p>
    <w:p>
      <w:pPr>
        <w:spacing w:before="60" w:after="0"/>
      </w:pPr>
      <w:r>
        <w:t xml:space="preserve"/>
      </w:r>
    </w:p>
    <w:p>
      <w:pPr>
        <w:pStyle w:val="Heading2"/>
        <w:spacing w:before="280" w:after="100"/>
      </w:pPr>
      <w:r>
        <w:rPr>
          <w:rFonts w:ascii="Arial" w:cs="Arial" w:eastAsia="Arial" w:hAnsi="Arial"/>
          <w:b/>
          <w:bCs/>
          <w:color w:val="2E5EA8"/>
          <w:sz w:val="28"/>
          <w:szCs w:val="28"/>
        </w:rPr>
        <w:t xml:space="preserve">8.2  Dormant Account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Dormant Threshold</w:t>
            </w:r>
          </w:p>
        </w:tc>
        <w:tc>
          <w:tcPr>
            <w:tcW w:type="dxa" w:w="5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GxP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 without login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Automatic disable. Information Security and Line Manager notified. Re-activation requires Line Manager justification and Information Security approval.</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60 days without login</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in access review. Line Manager confirms ongoing need or account 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90 days without login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Flag in annual review. Account disabled if no justification provided within 10 business days.</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login activity expected</w:t>
            </w:r>
          </w:p>
        </w:tc>
        <w:tc>
          <w:tcPr>
            <w:tcW w:type="dxa" w:w="5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Governed by SOP-009 — anomalous login activity is a security alert, not a dormancy threshold.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Segregation of Duties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Segregation of duties (SoD) controls prevent a single individual from having sufficient access to both initiate and approve a sensitive transaction — a key fraud prevention control for SOX and a data integrity control for GxP.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Conflict Type</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Systems Affected</w:t>
            </w:r>
          </w:p>
        </w:tc>
        <w:tc>
          <w:tcPr>
            <w:tcW w:type="dxa" w:w="5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SoD: Accounts Payable creation + Accounts Payable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financial systems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individual may hold both roles. Conflict detected during access review and at provisioning. Conflict resolution requires Finance Controller approval with documented compensating control.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SoD: Data entry + Data approval</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systems with electronic approval workflows</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Reviewer/approver role must be assigned to a different individual than the data entry role. Enforced in system configuration where technically possible; confirmed in OQ.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SoD: Change implementation + Change approval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individual implementing a change may not be the sole approver of that change. Enforced through SOP-007 CAB process.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administration SoD: Access provisioning + Access approval</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systems</w:t>
            </w:r>
          </w:p>
        </w:tc>
        <w:tc>
          <w:tcPr>
            <w:tcW w:type="dxa" w:w="5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implements access but does not approve access requests. Line Manager approves but does not implement. Separation enforced through ITSM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SoD: System use + Audit trail modification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Tier 1 systems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user — including system administrators — may modify audit trail records. Technical control (immutability) is the primary control; access control is a defence-in-depth layer per POL-014.</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POL-008</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and regulatory flags determine approval authority, review frequency, and pre-conditions for access provisioning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access provisioning must not precede training confirmation; access changes to GxP systems are Standard changes via SOP-007 with VMF documentation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provisioning, modification, and deprovisioning are implemented as Standard changes under SOP-007; access changes to Tier 1/GxP systems are recorded as change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 governs all privileged accounts; where an access request includes privileged elements, SOP-009 takes precedence on the privileged component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anomalies detected during access review that indicate systemic risk are escalated to the IS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accounts and unauthorised access events are security incidents under POL-012; SOP-008 leaver process is triggered immediately on account compromise confirmation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framework for third-party access is established via SOP-013 before access is provisioned under this SOP; vendor offboarding per SOP-013 triggers immediate access suspension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provisioning and deprovisioning events are recorded in the system audit trail; access review records are retained per POL-014 retention requirements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access is a validated configuration element — access changes require VMF documentation per SOP-006 Section 6.1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changes implemented as Standard changes under SOP-007; privileged access changes are Normal changes minimum</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Companion SOP for privileged access — governs elements outside scope of this SOP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Assessment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 access commercial pre-conditions established via SOP-013 before access provisioning under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exceptions (MFA, provisioning timeline) governed by EXC-001; shared accounts on GxP systems are non-approvable per EXC-001 Section 5; 3-month maximum exception duration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access control governance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authoritative record of all user accounts and their access rights across [Company Name] systems. Maintained by Data Custodian (IT) and verified against system exports during periodic access reviews.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Dormant Account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user account that has not had any login activity for the threshold period defined by system tier (30/60/90 days). Subject to automated or review-triggered disablement.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Identity 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central authentication system (e.g., Azure AD, Okta) through which SSO-federated access to connected systems is managed.</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Just-in-time access — time-bounded, session-specific privileged access issued on demand rather than as standing access. Governed by SOP-009.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Least Privilege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principle that a user should have the minimum access rights necessary to perform their role — no more.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Leaver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individual whose employment, contract, or engagement with [Company Name] ends, resulting in the deprovisioning of their system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individual who changes role within [Company Name], triggering an access delta assessment and modification of their access profile.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RBAC</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Role-Based Access Control — an access management approach where access rights are associated with defined roles rather than individual users. Individual users are assigned to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Segregation of Duties — the principle of dividing critical functions so that no single individual can both initiate and complete a sensitive or high-risk transaction.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SSO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Single Sign-On — authentication through a central identity provider that grants access to federated systems without separate login.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SOP-008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ACCESS CONTROL PROCESS  |  SOP-008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2026-03-08T05:50:18.671Z</dcterms:created>
  <dcterms:modified xsi:type="dcterms:W3CDTF">2026-03-08T05:50:18.672Z</dcterms:modified>
</cp:coreProperties>
</file>

<file path=docProps/custom.xml><?xml version="1.0" encoding="utf-8"?>
<Properties xmlns="http://schemas.openxmlformats.org/officeDocument/2006/custom-properties" xmlns:vt="http://schemas.openxmlformats.org/officeDocument/2006/docPropsVTypes"/>
</file>