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CRYPTOGRAPHY AND KEY MANAGEMENT PROCESS</w:t>
      </w:r>
    </w:p>
    <w:p>
      <w:pPr>
        <w:shd w:fill="1B2A4A" w:val="clear"/>
        <w:spacing w:before="40" w:after="0"/>
        <w:ind w:left="1440"/>
      </w:pPr>
      <w:r>
        <w:rPr>
          <w:rFonts w:ascii="Arial" w:cs="Arial" w:eastAsia="Arial" w:hAnsi="Arial"/>
          <w:i/>
          <w:iCs/>
          <w:color w:val="D6E4F7"/>
          <w:sz w:val="24"/>
          <w:szCs w:val="24"/>
        </w:rPr>
        <w:t xml:space="preserve">SOP-018  |  Standard Operating Procedure  |  Issued under POL-018</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SOP-018</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POL-018  —  Cryptography and Key Management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Cryptography and Key Management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POL-018 — Cryptography and Key Management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POL-007 (SOP-007 Change Management), POL-009 (SOP-009 PAM), POL-014 (SOP-014 Audit Trail), POL-016 (SOP-016 Backup), POL-017 (SOP-017 Vulnerability), SOP-006 (Validation), EXC-001,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Data Custodian (IT)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procedures for managing [Company Name]'s cryptographic controls — including the Key Register, key generation and issuance, key rotation, key destruction, certificate inventory and renewal, HSM administration, and the annual cryptographic programme review. It operationalises POL-018 and provides the step-by-step processes that multiple other SOPs (SOP-009, SOP-014, SOP-016) depend on for their cryptographic obligations.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Key Register</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Key Register is the authoritative inventory of all cryptographic keys and certificates in use at [Company Name]. It is maintained by Information Security and reviewed at minimum quarterly. No key may be placed in production use without a Key Register entry.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2.1  Key Register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Unique identifier: KEY-YYYY-NNN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type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Symmetric / Asymmetric (RSA/ECC/Ed25519) / HMAC / Certificate / Code Signing / SSH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Algorithm and length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POL-018 Section 2. e.g. AES-256-GCM, RSA-4096, ECDSA P-384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Purpose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the key protects: data-at-rest encryption, backup encryption, TLS, audit trail integrity, code signing, SSH access,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ID(s) from System Register that use this key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of the highest-tier system using this key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Storage location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(with HSM ID), cloud KMS (with resource ARN/URI), PAM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custodians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roles with access to this key — minimum two custodians for Tier 1 and GxP keys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Generation date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the key was 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rotated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most recent rotation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rotation due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Calculated from rotation schedule per POL-018 Section 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 Pending Rotation / Superseded (awaiting destruction) / Destroyed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Destruction date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status is Destroyed: date destroyed, method, confirming individual, witness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VIA references for GxP keys, change record references for key rotation events, incident references for emergency rotations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Key Provisioning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New Key Request</w:t>
            </w:r>
          </w:p>
          <w:p>
            <w:pPr>
              <w:spacing w:before="0" w:after="0"/>
            </w:pPr>
            <w:r>
              <w:rPr>
                <w:rFonts w:ascii="Arial" w:cs="Arial" w:eastAsia="Arial" w:hAnsi="Arial"/>
                <w:color w:val="444444"/>
                <w:sz w:val="20"/>
                <w:szCs w:val="20"/>
              </w:rPr>
              <w:t xml:space="preserve">A new cryptographic key is required when: a new system is being deployed, an existing system adds an encryption requirement, a key is being replaced due to compromise, or a new certificate is required. The requesting team submits a key request to Information Security specifying:
— Purpose and system that will use the key
— Required algorithm and key length (must meet POL-018 Section 2)
— Required storage location (HSM is mandatory for Tier 1 and GxP)
— Proposed key custodians (minimum 2 for Tier 1 and GxP)
— GxP flag and whether the key will be a validated parameter
Information Security reviews the request within 2 business days. If algorithm or storage location does not meet POL-018 requirements, Information Security returns the request with required changes before proceeding.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Key Generation</w:t>
            </w:r>
          </w:p>
          <w:p>
            <w:pPr>
              <w:spacing w:before="0" w:after="0"/>
            </w:pPr>
            <w:r>
              <w:rPr>
                <w:rFonts w:ascii="Arial" w:cs="Arial" w:eastAsia="Arial" w:hAnsi="Arial"/>
                <w:color w:val="444444"/>
                <w:sz w:val="20"/>
                <w:szCs w:val="20"/>
              </w:rPr>
              <w:t xml:space="preserve">Information Security generates the key per POL-018 Section 3.1:
Tier 1 and GxP keys: generated on the HSM using the HSM key generation function. HSM operator accesses the HSM using two-person integrity (two HSM administrators present). HSM generates the key internally — key material never exposed outside the HSM. HSM generates a key creation audit log entry.
Tier 2 keys: generated on the cloud KMS or HSM. Cloud KMS key generation via console or API with access logged.
Tier 3/4 keys: generated using approved software CSPRNG. Immediately stored in the approved key management service — never written to disk in plaintext.
Key Register entry created at generation: status → Active.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Key Distribution and System Configuration</w:t>
            </w:r>
          </w:p>
          <w:p>
            <w:pPr>
              <w:spacing w:before="0" w:after="0"/>
            </w:pPr>
            <w:r>
              <w:rPr>
                <w:rFonts w:ascii="Arial" w:cs="Arial" w:eastAsia="Arial" w:hAnsi="Arial"/>
                <w:color w:val="444444"/>
                <w:sz w:val="20"/>
                <w:szCs w:val="20"/>
              </w:rPr>
              <w:t xml:space="preserve">The generated key is made available to the system that will use it — without the key material being exposed:
HSM-based keys: the system accesses the key via the HSM API. The key never leaves the HSM — the HSM performs the cryptographic operation on behalf of the system. System is configured with the key reference (ID/ARN), not the key material.
Cloud KMS keys: the system is granted IAM permissions to use the key for cryptographic operations. Key material remains in the KMS. System configured with key ARN/URI.
PAM-managed secrets: secret stored in PAM platform. System accesses via PAM API with service account credentials (SOP-009).
GxP systems: key configuration is a validated parameter. IQ checklist updated to document: key ID, algorithm, storage location. Change managed per SOP-007.</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QA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Key Rotation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Key rotation replaces an active key with a new key. For symmetric encryption keys protecting stored data, rotation requires either re-encryption of the data under the new key, or a key wrapping scheme where rotating the master key is sufficient. The rotation approach is documented in the Key Register entry at time of initial provisioning.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Rotation Scheduling</w:t>
            </w:r>
          </w:p>
          <w:p>
            <w:pPr>
              <w:spacing w:before="0" w:after="0"/>
            </w:pPr>
            <w:r>
              <w:rPr>
                <w:rFonts w:ascii="Arial" w:cs="Arial" w:eastAsia="Arial" w:hAnsi="Arial"/>
                <w:color w:val="444444"/>
                <w:sz w:val="20"/>
                <w:szCs w:val="20"/>
              </w:rPr>
              <w:t xml:space="preserve">Information Security maintains a key rotation calendar derived from the Key Register. Automated alerts are configured at 30 days before rotation due date.
Annual review: at the start of each calendar year, Information Security reviews the Key Register for all keys with rotation due in the coming year and schedules rotation windows. Key rotation for Tier 1 and GxP systems is coordinated with the system owner and scheduled in the SOP-007 change calendar.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Scheduled Key Rotation — Execution</w:t>
            </w:r>
          </w:p>
          <w:p>
            <w:pPr>
              <w:spacing w:before="0" w:after="0"/>
            </w:pPr>
            <w:r>
              <w:rPr>
                <w:rFonts w:ascii="Arial" w:cs="Arial" w:eastAsia="Arial" w:hAnsi="Arial"/>
                <w:color w:val="444444"/>
                <w:sz w:val="20"/>
                <w:szCs w:val="20"/>
              </w:rPr>
              <w:t xml:space="preserve">1. New key generated per Section 3 Step 2
2. New key deployed to system: system configured to use new key for all new encryption operations
3. Re-encryption (where applicable): data currently encrypted under the old key is re-encrypted under the new key. For large datasets: re-encryption scheduled as a maintenance window in SOP-007.
4. Old key status updated in Key Register: Active → Superseded. Superseded key retained for the period required to decrypt any data not yet migrated, then destroyed per Section 5.
5. Rotation confirmed: Information Security verifies the system is actively using the new key (test encryption/decryption operation using new key reference).
6. For GxP systems: SOP-007 change record raised. If key rotation is a Standard Change (included in validated operational procedures with no algorithm change): Standard Change with Compliance / QA notification. If algorithm or key length also changes: Normal Change with VIA.
7. Key Register updated: last rotated date, next rotation due date.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Emergency Key Rotation</w:t>
            </w:r>
          </w:p>
          <w:p>
            <w:pPr>
              <w:spacing w:before="0" w:after="0"/>
            </w:pPr>
            <w:r>
              <w:rPr>
                <w:rFonts w:ascii="Arial" w:cs="Arial" w:eastAsia="Arial" w:hAnsi="Arial"/>
                <w:color w:val="444444"/>
                <w:sz w:val="20"/>
                <w:szCs w:val="20"/>
              </w:rPr>
              <w:t xml:space="preserve">Emergency rotation is triggered by: suspected or confirmed key compromise, personnel change in key custodian, security incident on the system the key protects, or HSM migration.
Emergency rotation follows the same technical steps as scheduled rotation but on an accelerated timeline:
— New key generated immediately (do not wait for a maintenance window)
— System re-keyed as fast as operationally possible
— If key compromise is confirmed: SOP-012 security incident activated in parallel
— If GxP system: Compliance / QA notified immediately. Emergency Change in SOP-007. Risk-based decision on whether to delay the re-key for a SOP-007 approval window (typically: if the compromise is confirmed, re-key immediately, raise Emergency Change retrospectively per SOP-007 emergency change process)
— Old key: destroyed as soon as re-encryption is complete — do not retain a compromised key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CISO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Key Destruction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Destruction Eligibility</w:t>
            </w:r>
          </w:p>
          <w:p>
            <w:pPr>
              <w:spacing w:before="0" w:after="0"/>
            </w:pPr>
            <w:r>
              <w:rPr>
                <w:rFonts w:ascii="Arial" w:cs="Arial" w:eastAsia="Arial" w:hAnsi="Arial"/>
                <w:color w:val="444444"/>
                <w:sz w:val="20"/>
                <w:szCs w:val="20"/>
              </w:rPr>
              <w:t xml:space="preserve">A key is eligible for destruction when:
— It has been superseded by rotation AND all data previously encrypted under it has been re-encrypted under the new key (confirm via system owner)
— The system it protects has been decommissioned AND data retention obligations for data protected by this key have been met
— Emergency destruction following confirmed compromise (immediate)
GxP keys: Compliance / QA confirms that destruction of the key does not affect the ability to verify audit trail integrity for records within the retention period before destruction proceeds.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Destruction Execution</w:t>
            </w:r>
          </w:p>
          <w:p>
            <w:pPr>
              <w:spacing w:before="0" w:after="0"/>
            </w:pPr>
            <w:r>
              <w:rPr>
                <w:rFonts w:ascii="Arial" w:cs="Arial" w:eastAsia="Arial" w:hAnsi="Arial"/>
                <w:color w:val="444444"/>
                <w:sz w:val="20"/>
                <w:szCs w:val="20"/>
              </w:rPr>
              <w:t xml:space="preserve">HSM keys: Information Security executes key deletion via the HSM management console using two-person integrity (two HSM administrators). HSM generates a key deletion record.
Cloud KMS keys: key deletion scheduled via the KMS API or console. Note: most cloud KMS services enforce a mandatory waiting period (7–30 days) before permanent deletion — this is intentional and must not be bypassed. Key status set to Pending Deletion in the Key Register during the waiting period.
Software-managed keys: key material overwritten in memory and on storage per NIST SP 800-57. All backup copies of the key (including any key escrow copies) destroyed simultaneously.
Verification: Information Security attempts to use the destroyed key to confirm it is irrecoverable. Verification result documented.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Destruction Documentation</w:t>
            </w:r>
          </w:p>
          <w:p>
            <w:pPr>
              <w:spacing w:before="0" w:after="0"/>
            </w:pPr>
            <w:r>
              <w:rPr>
                <w:rFonts w:ascii="Arial" w:cs="Arial" w:eastAsia="Arial" w:hAnsi="Arial"/>
                <w:color w:val="444444"/>
                <w:sz w:val="20"/>
                <w:szCs w:val="20"/>
              </w:rPr>
              <w:t xml:space="preserve">Key Register updated: status → Destroyed. Destruction record includes:
— Date of destruction
— Method of destruction
— Confirming individual
— Witness (mandatory for Tier 1 and GxP keys)
— Verification result
— Any associated SOP-007 change record or SOP-012 incident reference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Certificate Management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Certificate Discovery and Inventory</w:t>
            </w:r>
          </w:p>
          <w:p>
            <w:pPr>
              <w:spacing w:before="0" w:after="0"/>
            </w:pPr>
            <w:r>
              <w:rPr>
                <w:rFonts w:ascii="Arial" w:cs="Arial" w:eastAsia="Arial" w:hAnsi="Arial"/>
                <w:color w:val="444444"/>
                <w:sz w:val="20"/>
                <w:szCs w:val="20"/>
              </w:rPr>
              <w:t xml:space="preserve">Information Security runs a certificate discovery scan monthly across all in-scope network ranges to identify:
— All TLS/SSL certificates serving on network-accessible ports
— Certificates approaching expiry
— Self-signed certificates in production (prohibited per POL-018)
— Certificates with algorithms or key lengths below the POL-018 minimums
Discovery results reconciled against the Key Register certificate inventory. Discrepancies (certificates found in scan but not in the register) are investigated and added to the register within 5 business days.
Automated expiry monitoring: Information Security configures automated alerting in the certificate management platform (or SIEM) at 90, 60, 30, and 14 days before expiry for all registered certificates.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Certificate Renewal</w:t>
            </w:r>
          </w:p>
          <w:p>
            <w:pPr>
              <w:spacing w:before="0" w:after="0"/>
            </w:pPr>
            <w:r>
              <w:rPr>
                <w:rFonts w:ascii="Arial" w:cs="Arial" w:eastAsia="Arial" w:hAnsi="Arial"/>
                <w:color w:val="444444"/>
                <w:sz w:val="20"/>
                <w:szCs w:val="20"/>
              </w:rPr>
              <w:t xml:space="preserve">At 60 days before expiry (Tier 1 and GxP) or 30 days (all others):
1. Information Security notifies the system owner and Data Custodian (IT) that renewal is due
2. New key pair generated (per Section 3 Step 2 — do not reuse the existing private key)
3. CSR (Certificate Signing Request) generated from the new key pair
4. Certificate issued by [Company Name] internal CA or approved public CA
5. New certificate deployed to system: SOP-007 Standard Change (pre-approved for routine certificate renewal where there is no algorithm change and no system configuration change)
6. GxP systems: if the certificate is a validated parameter, Compliance / QA notified. VIPA confirms whether the renewal (new key pair, same algorithm, same validity period) is a Standard Change or requires a VIA.
7. Old certificate: revoked with the issuing CA on the date the new certificate is confirmed active
8. Key Register updated: new KEY-YYYY-NNN entry for the new key pair; old entry status → Destroyed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Certificate Expiry Escalation</w:t>
            </w:r>
          </w:p>
          <w:p>
            <w:pPr>
              <w:spacing w:before="0" w:after="0"/>
            </w:pPr>
            <w:r>
              <w:rPr>
                <w:rFonts w:ascii="Arial" w:cs="Arial" w:eastAsia="Arial" w:hAnsi="Arial"/>
                <w:color w:val="444444"/>
                <w:sz w:val="20"/>
                <w:szCs w:val="20"/>
              </w:rPr>
              <w:t xml:space="preserve">If a certificate reaches 14 days before expiry and renewal has not been completed:
— Information Security Manager escalates to CIO and CISO
— Emergency renewal initiated
— If Tier 1 or GxP: SOP-015 incident record raised (certificate expiry imminent is a P2 operational incident)
If a certificate expires before renewal:
— SOP-015 P1 incident activated (service impact)
— Emergency certificate issued: internal CA can issue an emergency certificate with a 30-day validity to restore service while a full renewal is completed
— Root cause analysis completed within 5 business days: why did the certificate expire? Problem record in SOP-015 if the cause is a process gap.</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HSM Administration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HSM is the highest-trust component of [Company Name]'s cryptographic infrastructure. Its administration requires the most stringent controls in the suite.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HSM Administration 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Two-person integrity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HSM administrator may make administrative changes (key generation, key deletion, configuration change, firmware update) unilaterally. All HSM administrative actions require two named HSM administrators to be present and authenticated.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administrator accounts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administrator accounts are managed in the PAM platform per SOP-009. No shared accounts. Each HSM administrator has a named, individual account. HSM administrator access is reviewed quarterly.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access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HSM access and administrative events are logged. Logs forwarded to SIEM per POL-014. HSM audit log integrity: the HSM generates signed audit logs that cannot be modified without HSM key access.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firmware updates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firmware updates are treated as a Major Change in SOP-007 — they may affect the validated state of GxP keys stored on the HSM. Compliance / QA notified. Update tested in non-production environment before production deployment where a non-production HSM is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key material is backed up per the HSM manufacturer's recommended key backup procedure (typically wrapped key export to a secure backup token). HSM backups stored in a physically separate, access-controlled location. HSM backup restore tested annually.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decommission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physical disposal: HSM is zeroised per manufacturer specification. Zeroisation confirmed by two HSM administrators. All Key Register entries for keys on the decommissioned HSM updated to reflect the new storage location (or status Destroyed if keys are not migrated).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HSM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HSM (AWS CloudHSM, Azure Dedicated HSM) is administered via the cloud provider console with IAM controls. HSM administrator IAM roles reviewed quarterly. Key material in cloud HSM: same access and audit requirements as on-premises HSM.</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Algorithm Deprecation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When an algorithm currently in use at [Company Name] is reclassified from Approved to Acceptable or from Acceptable to Prohibited in POL-018 Section 2 — due to industry standards change, NIST guidance, or identified cryptographic weakness — the following process applies: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Deprecation Notification</w:t>
            </w:r>
          </w:p>
          <w:p>
            <w:pPr>
              <w:spacing w:before="0" w:after="0"/>
            </w:pPr>
            <w:r>
              <w:rPr>
                <w:rFonts w:ascii="Arial" w:cs="Arial" w:eastAsia="Arial" w:hAnsi="Arial"/>
                <w:color w:val="444444"/>
                <w:sz w:val="20"/>
                <w:szCs w:val="20"/>
              </w:rPr>
              <w:t xml:space="preserve">Information Security receives notification of algorithm deprecation via: NIST advisory, CISA guidance, POL-018 annual review, or vulnerability programme (POL-017) identification.
Information Security assesses the impact on [Company Name] systems by querying the Key Register for all keys using the affected algorithm. Affected systems are identified from the owner system field.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Affected System Communication</w:t>
            </w:r>
          </w:p>
          <w:p>
            <w:pPr>
              <w:spacing w:before="0" w:after="0"/>
            </w:pPr>
            <w:r>
              <w:rPr>
                <w:rFonts w:ascii="Arial" w:cs="Arial" w:eastAsia="Arial" w:hAnsi="Arial"/>
                <w:color w:val="444444"/>
                <w:sz w:val="20"/>
                <w:szCs w:val="20"/>
              </w:rPr>
              <w:t xml:space="preserve">Within 5 business days of identification:
— System owners of affected systems notified of the deprecation and the required migration timeline
— GxP systems: Compliance / QA notified simultaneously — algorithm upgrade on a GxP system requires a VIA
— Vulnerability register entries created per POL-017: Acceptable → Prohibited = High vulnerability; Approved → Acceptable = Medium vulnerability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Migration Planning and Execution</w:t>
            </w:r>
          </w:p>
          <w:p>
            <w:pPr>
              <w:spacing w:before="0" w:after="0"/>
            </w:pPr>
            <w:r>
              <w:rPr>
                <w:rFonts w:ascii="Arial" w:cs="Arial" w:eastAsia="Arial" w:hAnsi="Arial"/>
                <w:color w:val="444444"/>
                <w:sz w:val="20"/>
                <w:szCs w:val="20"/>
              </w:rPr>
              <w:t xml:space="preserve">Each affected system owner, with Data Custodian (IT) support, produces a migration plan:
— Target algorithm (must meet POL-018 requirements)
— Migration timeline (within POL-017 vulnerability SLA)
— Testing approach (staging environment, regression testing)
— GxP VIA reference and Compliance / QA sign-off
— SOP-007 change record(s)
Migration executed per the plan. Key Register updated for each migrated key: old algorithm entry status → Superseded/Destroyed; new entry created.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 / Compliance QA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Annual Cryptographic Programme Review</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Item</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Question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Register completeness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in-production keys and certificates registered? Any certificates found in discovery scan not in the register?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rotation compliance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all keys rotated within their scheduled rotation window? Any overdue rotations?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Certificate expiry incidents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Did any certificates expire in the year? Root cause and corrective action?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Algorithm compliance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Key Register contain any keys using algorithms now classified as Acceptable or Prohibited? Remediation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HSM firmware current? HSM backup tested? HSM administrator access reviewed and appropriate?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cryptographic parameters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GxP system cryptographic parameters documented in the VMF System Description? Any GxP keys using deprecated algorithms?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Have any regulatory standards (NIST, FDA, EMA) issued guidance that changes the approved algorithm list? Any NIST PQC (post-quantum cryptography) guidance requiring planning?</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custodian review</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key custodians current for all Tier 1 and GxP keys? Any departed employees still listed as custodians?</w:t>
            </w:r>
          </w:p>
        </w:tc>
      </w:tr>
    </w:tbl>
    <w:p>
      <w:pPr>
        <w:spacing w:before="60" w:after="0"/>
      </w:pPr>
      <w:r>
        <w:t xml:space="preserve"/>
      </w:r>
    </w:p>
    <w:p>
      <w:pPr>
        <w:spacing w:before="80" w:after="80"/>
      </w:pPr>
      <w:r>
        <w:rPr>
          <w:rFonts w:ascii="Arial" w:cs="Arial" w:eastAsia="Arial" w:hAnsi="Arial"/>
          <w:color w:val="333333"/>
          <w:sz w:val="22"/>
          <w:szCs w:val="22"/>
        </w:rPr>
        <w:t xml:space="preserve">Annual review report produced by Information Security Manager, approved by CISO. Findings raised as SOP-007 changes and SOP-010 IS Risk Register entries as appropriate. Presented to ISSG. Retained as a controlled record per POL-002.</w:t>
      </w:r>
    </w:p>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SOP-018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CRYPTOGRAPHY AND KEY MANAGEMENT PROCESS  |  SOP-018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2026-03-08T10:44:20.967Z</dcterms:created>
  <dcterms:modified xsi:type="dcterms:W3CDTF">2026-03-08T10:44:20.968Z</dcterms:modified>
</cp:coreProperties>
</file>

<file path=docProps/custom.xml><?xml version="1.0" encoding="utf-8"?>
<Properties xmlns="http://schemas.openxmlformats.org/officeDocument/2006/custom-properties" xmlns:vt="http://schemas.openxmlformats.org/officeDocument/2006/docPropsVTypes"/>
</file>