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before="2880" w:after="0"/>
      </w:pPr>
    </w:p>
    <w:p>
      <w:pPr>
        <w:shd w:fill="1B2A4A" w:val="clear"/>
        <w:spacing w:before="0" w:after="0"/>
        <w:ind w:left="144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COMMUNICATIONS SECURITY PROCESS</w:t>
      </w:r>
    </w:p>
    <w:p>
      <w:pPr>
        <w:shd w:fill="1B2A4A" w:val="clear"/>
        <w:spacing w:before="40" w:after="0"/>
        <w:ind w:left="1440"/>
      </w:pPr>
      <w:r>
        <w:rPr>
          <w:rFonts w:ascii="Arial" w:cs="Arial" w:eastAsia="Arial" w:hAnsi="Arial"/>
          <w:i/>
          <w:iCs/>
          <w:color w:val="D6E4F7"/>
          <w:sz w:val="24"/>
          <w:szCs w:val="24"/>
        </w:rPr>
        <w:t xml:space="preserve">SOP-022  |  Standard Operating Procedure  |  Information Management Framework</w:t>
      </w:r>
    </w:p>
    <w:p>
      <w:pPr>
        <w:spacing w:before="240" w:after="0"/>
      </w:pPr>
      <w:r>
        <w:t xml:space="preserve"/>
      </w:r>
    </w:p>
    <w:p>
      <w:pPr>
        <w:pBdr>
          <w:top w:val="single" w:color="2E5EA8" w:sz="6"/>
        </w:pBdr>
        <w:shd w:fill="1B2A4A" w:val="clear"/>
        <w:spacing w:before="0" w:after="0"/>
      </w:pPr>
    </w:p>
    <w:p>
      <w:pPr>
        <w:spacing w:before="240" w:after="0"/>
      </w:pPr>
      <w:r>
        <w:t xml:space="preserve"/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Document ID: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SOP-022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1.0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Classification: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Internal Use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Parent Policy: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POL-022 Communications Security Policy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Owner: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Information Security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Review Frequency: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Annual</w:t>
      </w:r>
    </w:p>
    <w:p>
      <w:pPr>
        <w:shd w:fill="1B2A4A" w:val="clear"/>
        <w:spacing w:before="40" w:after="40"/>
        <w:ind w:left="14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Status:  </w:t>
      </w:r>
      <w:r>
        <w:rPr>
          <w:rFonts w:ascii="Arial" w:cs="Arial" w:eastAsia="Arial" w:hAnsi="Arial"/>
          <w:color w:val="D6E4F7"/>
          <w:sz w:val="20"/>
          <w:szCs w:val="20"/>
        </w:rPr>
        <w:t xml:space="preserve">Active</w:t>
      </w:r>
    </w:p>
    <w:p>
      <w:pPr>
        <w:spacing w:before="2880" w:after="0"/>
      </w:pPr>
      <w:r>
        <w:t xml:space="preserve"/>
      </w:r>
    </w:p>
    <w:p>
      <w:pPr>
        <w:shd w:fill="2E5EA8" w:val="clear"/>
        <w:spacing w:before="0" w:after="0"/>
        <w:ind w:left="14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 Purpose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SOP defines the operational procedures for: approving and managing communications platforms; configuring email security controls; establishing and testing the out-of-band emergency communications channel; and investigating communications security violations. It implements POL-022.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 Process 1 — Communications Platform Approval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communications platform not on the Approved Communications Platform Register that a business team wishes to use for [Company Name] business communications must be approved before deployment.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2.1  Platform 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Request submission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requesting team submits a Platform Approval Request to Information Security, including: platform name and vendor; proposed use case and user audience; expected data classifications that will be communicated via the platform; estimated volume of users; whether personal data (including employee data) will be processed by the platform.
Platforms intended for Restricted communications must include CISO approval in the request.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Vendor assessment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Information Security initiates a vendor assessment under SOP-013. The assessment tier is determined by the data classification of intended use:
• Restricted / Special Category: Tier A assessment
• Internal Use with personal data: Tier B assessment
• Internal Use without personal data: Tier C assessment
The assessment evaluates the platform against all criteria in POL-022 Section 3.1.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Security configuration review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Information Security reviews the platform's available security configuration against corporate requirements:
• MFA: can MFA be enforced at the corporate tenant level?
• SSO: does the platform support SAML 2.0 or OIDC integration with the corporate IdP?
• E2E encryption: is E2E encryption available and configurable at the tenant level?
• Data residency: can data residency be locked to the required region?
• Retention/eDiscovery: can [Company Name] extract communications content for legal hold?
• DLP integration: does the platform support DLP policy enforcement or alerting?
Configuration gaps are documented. Critical gaps (MFA cannot be enforced, no E2E encryption for Restricted use) = rejection. Non-critical gaps = risk accepted and documented.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Approval decision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Information Security Manager prepares an approval memo: assessment outcome, configuration requirements, approved use case and classification limits, any conditions.
• Restricted platforms: CISO approval required
• Internal Use platforms: Information Security Manager approval
• Special Category platforms: CISO + DPO approval required
Decision documented in the Platform Approval Register.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Register update and publication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Information Security adds the approved platform to the Approved Communications Platform Register with: platform name, vendor, approved classification tier, approved use cases, security configuration requirements, approval date, next review date. The register is published on the corporate intranet within 5 business days of approval.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Procurement and deployment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CIO / Data Custodian IT procures the platform under POL-013 contractual requirements. The platform is deployed with the security configuration confirmed in Step 3. Training material is issued to intended users if configuration differs materially from existing platforms.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 Process 2 — Email Security Configuration and Maintenance</w:t>
      </w:r>
    </w:p>
    <w:p>
      <w:pPr>
        <w:pBdr>
          <w:bottom w:val="single" w:color="2E5EA8" w:sz="8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2000"/>
        <w:gridCol w:w="1660"/>
      </w:tblGrid>
      <w:tr>
        <w:trPr>
          <w:tblHeader/>
        </w:trPr>
        <w:tc>
          <w:tcPr>
            <w:tcW w:type="dxa" w:w="25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Standard</w:t>
            </w:r>
          </w:p>
        </w:tc>
        <w:tc>
          <w:tcPr>
            <w:tcW w:type="dxa" w:w="20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  <w:tc>
          <w:tcPr>
            <w:tcW w:type="dxa" w:w="16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Publish SPF record listing all authorised sending IP ranges. Hard fail (-all) preferred. Soft fail (~all) acceptable if hard fail causes delivery issues — document rationale.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 review of authorised senders list. Annual SPF record audit.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Custodian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DKIM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 all outbound corporate email with DKIM. Key length minimum 2048 bits. Key rotation every 12 months or on any suspected compromise.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key rotation. Immediate rotation on suspected compromise.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Custodian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DMARC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DMARC policy minimum 'quarantine'. Target policy: 'reject'. Aggregate (rua) and forensic (ruf) reporting enabled. Reports reviewed monthly by Information Security.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DMARC report review. Annual policy review to progress toward reject.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gateway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Anti-phishing, anti-malware, URL rewriting, attachment sandboxing. Block executable attachments. Block password-protected archives without prior approval.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gateway log review. Quarterly threat detection effectiveness review.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Custodian IT / Information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 enforcement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 TLS 1.2+ for email transmission. Log TLS failures for domains in the approved supplier list.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Quarterly TLS compliance report.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Custodian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DLP 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Rules reviewed and updated at minimum annually and within 30 days of any new Restricted data category being defined in POL-001.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review. Ad-hoc review on POL-001 changes.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Information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forwarding block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 automatic forwarding rules to external domains at the email gateway. Monthly audit of forwarding rules in user mailboxes.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automated audit.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Custodian IT</w:t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 Process 3 — Out-of-Band Emergency Communications Setup and Testing</w:t>
      </w:r>
    </w:p>
    <w:p>
      <w:pPr>
        <w:pBdr>
          <w:bottom w:val="single" w:color="2E5EA8" w:sz="8" w:space="1"/>
        </w:pBdr>
        <w:spacing w:before="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4.1  Initial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Platform selection and procurement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CIO selects an out-of-band communications platform meeting the criteria in POL-022 Section 6. The platform must: not be hosted in the primary corporate cloud tenant; support end-to-end encryption; support authentication via personal devices (not corporate-device-dependent); have an SLA independent of the primary corporate cloud provider.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Account provisioning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IRT members, CISO, CIO, CEO, General Counsel, and Board Chair are provisioned with accounts on the out-of-band platform. Account credentials and access instructions are stored in the physical security vault and in the DR Run-Book (SOP-011) in the out-of-band location.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DR Run-Book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out-of-band channel details are documented in the DR Run-Book: platform name and access URL, login procedure, emergency contact list structure, channel naming convention for incident response. The DR Run-Book copy in the out-of-band location is updated immediately after any change to the channel configuration.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Staff communication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IRT members receive training on the out-of-band channel: how to access, how to authenticate, and when to use it. This training is documented in the LMS as part of Tier 4 training.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EA8"/>
          <w:sz w:val="28"/>
          <w:szCs w:val="28"/>
        </w:rPr>
        <w:t xml:space="preserve">4.2  Quarterly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Test activation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Information Security Manager or CISO activates a quarterly test of the out-of-band channel. The test is unannounced to IRT members at least annually (announced for the other quarterly tests).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Test scope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Each test confirms: (a) all IRT members can authenticate to the platform from outside the corporate network within 15 minutes; (b) messages can be sent and received; (c) end-to-end encryption is confirmed active; (d) the emergency contact list is accessible and current; (e) the platform is accessible from at least two different device types (smartphone and laptop).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Test recording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Results are recorded in the DR test log (SOP-011): date, scope, participants, pass/fail per criterion, any issues identified. Issues are tracked as action items and resolved before the next test.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Annual full-DR integration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 least one annual test integrates the out-of-band channel with a full DR exercise, simulating a scenario where the primary corporate infrastructure is unavailable. All incident response communications for the exercise are conducted via the out-of-band channel.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 Process 4 — Communications Security Violation Investigation</w:t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communications security violation occurs when Restricted or above content is transmitted via a prohibited or unapproved channel, when email authentication controls detect spoofing, or when DLP detects an attempt to exfiltrate sensitive content.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Detection and triage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Violations may be detected by: DLP alert from email gateway; staff self-report; Information Security monitoring; third-party notification. Information Security Manager assesses severity:
• Critical: Restricted/Special Category data transmitted externally via prohibited channel
• High: Restricted data transmitted via unapproved channel (internal)
• Medium: Internal Use data via personal email; DLP false positive requiring review
• Low: Policy education opportunity; no sensitive data involved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Investigation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 and High violations are escalated to a formal investigation under SOP-012 as a security incident. Medium and Low violations are investigated by Information Security:
• Confirm what data was transmitted, to whom, via which channel
• Confirm whether data was received/accessed by unintended parties
• Identify root cause: misunderstanding, deliberate workaround, or system failure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Containment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Where sensitive data has been transmitted to an unintended recipient: Legal is notified immediately; attempt to recall or request deletion of the content; assess notification obligations under POL-004 (GDPR/HIPAA breach) and SOP-012.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1600"/>
      </w:tblGrid>
      <w:tr>
        <w:tc>
          <w:tcPr>
            <w:tcW w:type="dxa" w:w="9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
04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Outcome and escalation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Critical violations: CISO notified immediately. Report to DPO (data breach assessment). HR involvement for disciplinary action under POL-021.
High violations: CISO notified. Targeted training issued.
Medium/Low: Remedial guidance issued. Pattern tracking — three Medium violations from the same individual within 12 months escalates to High treatment.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Responsible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EA8"/>
                <w:sz w:val="18"/>
                <w:szCs w:val="18"/>
              </w:rPr>
            </w:r>
          </w:p>
        </w:tc>
      </w:tr>
    </w:tbl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 Related Documents</w:t>
      </w:r>
    </w:p>
    <w:p>
      <w:pPr>
        <w:pBdr>
          <w:bottom w:val="single" w:color="2E5EA8" w:sz="8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960"/>
            <w:tcBorders>
              <w:top w:val="single" w:color="2E5EA8" w:sz="1"/>
              <w:left w:val="single" w:color="2E5EA8" w:sz="1"/>
              <w:bottom w:val="single" w:color="2E5EA8" w:sz="1"/>
              <w:right w:val="single" w:color="2E5EA8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POL-022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Communications Security Policy (parent policy)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POL-011/SOP-011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Business Continuity Policy/Process — DR Run-Book and out-of-band channel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POL-012/SOP-012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Incident Response Policy/Process — violations escalated as security incidents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POL-013/SOP-013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Third Party and Vendor Risk — platform vendor assessments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GOV-001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NIS2 Governance Instrument — Art. 21(j) evidence requirements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2E5EA8" w:sz="8" w:space="1"/>
        </w:pBdr>
        <w:spacing w:before="0" w:after="120"/>
      </w:pP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SOP-022 v1.0  |  [Company Name]  |  INTERNAL USE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8" w:sz="6" w:space="1"/>
      </w:pBdr>
      <w:tabs>
        <w:tab w:val="center" w:pos="4680"/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[Company Name] Confidential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8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888888"/>
        <w:sz w:val="18"/>
        <w:szCs w:val="18"/>
      </w:rPr>
      <w:t xml:space="preserve">COMMUNICATIONS SECURITY PROCESS  |  SOP-022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2026-03-08T13:03:38.645Z</dcterms:created>
  <dcterms:modified xsi:type="dcterms:W3CDTF">2026-03-08T13:03:38.646Z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