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AI GOVERNANCE PROCESS</w:t>
      </w:r>
    </w:p>
    <w:p>
      <w:pPr>
        <w:shd w:fill="1B2A4A" w:val="clear"/>
        <w:spacing w:before="40" w:after="0"/>
        <w:ind w:left="1440"/>
      </w:pPr>
      <w:r>
        <w:rPr>
          <w:rFonts w:ascii="Arial" w:cs="Arial" w:eastAsia="Arial" w:hAnsi="Arial"/>
          <w:i/>
          <w:iCs/>
          <w:color w:val="D6E4F7"/>
          <w:sz w:val="24"/>
          <w:szCs w:val="24"/>
        </w:rPr>
        <w:t xml:space="preserve">SOP-023  |  Standard Operating Procedure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SOP-023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POL-023 AI Governance and Acceptable Use Policy</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Compliance/QA</w:t>
      </w:r>
    </w:p>
    <w:p>
      <w:pPr>
        <w:shd w:fill="1B2A4A" w:val="clear"/>
        <w:spacing w:before="40" w:after="40"/>
        <w:ind w:left="1440"/>
      </w:pPr>
      <w:r>
        <w:rPr>
          <w:rFonts w:ascii="Arial" w:cs="Arial" w:eastAsia="Arial" w:hAnsi="Arial"/>
          <w:b/>
          <w:bCs/>
          <w:color w:val="FFFFFF"/>
          <w:sz w:val="20"/>
          <w:szCs w:val="20"/>
        </w:rPr>
        <w:t xml:space="preserve">Review Frequency:  </w:t>
      </w:r>
      <w:r>
        <w:rPr>
          <w:rFonts w:ascii="Arial" w:cs="Arial" w:eastAsia="Arial" w:hAnsi="Arial"/>
          <w:color w:val="D6E4F7"/>
          <w:sz w:val="20"/>
          <w:szCs w:val="20"/>
        </w:rPr>
        <w:t xml:space="preserve">Annual</w:t>
      </w:r>
    </w:p>
    <w:p>
      <w:pPr>
        <w:shd w:fill="1B2A4A" w:val="clear"/>
        <w:spacing w:before="40" w:after="40"/>
        <w:ind w:left="1440"/>
      </w:pPr>
      <w:r>
        <w:rPr>
          <w:rFonts w:ascii="Arial" w:cs="Arial" w:eastAsia="Arial" w:hAnsi="Arial"/>
          <w:b/>
          <w:bCs/>
          <w:color w:val="FFFFFF"/>
          <w:sz w:val="20"/>
          <w:szCs w:val="20"/>
        </w:rPr>
        <w:t xml:space="preserve">Status:  </w:t>
      </w:r>
      <w:r>
        <w:rPr>
          <w:rFonts w:ascii="Arial" w:cs="Arial" w:eastAsia="Arial" w:hAnsi="Arial"/>
          <w:color w:val="D6E4F7"/>
          <w:sz w:val="20"/>
          <w:szCs w:val="20"/>
        </w:rPr>
        <w:t xml:space="preserve">Active</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processes for: approving AI tools for use at [Company Name]; assessing AI tools in GxP contexts; managing the Approved AI Tool Register; reviewing and updating the AI governance programme; and investigating AI-related incidents. It implements POL-023.</w:t>
      </w:r>
    </w:p>
    <w:p>
      <w:pPr>
        <w:pStyle w:val="Heading1"/>
        <w:spacing w:before="360" w:after="120"/>
      </w:pPr>
      <w:r>
        <w:rPr>
          <w:rFonts w:ascii="Arial" w:cs="Arial" w:eastAsia="Arial" w:hAnsi="Arial"/>
          <w:b/>
          <w:bCs/>
          <w:color w:val="1B2A4A"/>
          <w:sz w:val="36"/>
          <w:szCs w:val="36"/>
        </w:rPr>
        <w:t xml:space="preserve">2.  Process 1 — AI Tool Approval (Category A and Category B)</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Request submission</w:t>
            </w:r>
          </w:p>
          <w:p>
            <w:pPr>
              <w:spacing w:before="0" w:after="0"/>
            </w:pPr>
            <w:r>
              <w:rPr>
                <w:rFonts w:ascii="Arial" w:cs="Arial" w:eastAsia="Arial" w:hAnsi="Arial"/>
                <w:color w:val="444444"/>
                <w:sz w:val="20"/>
                <w:szCs w:val="20"/>
              </w:rPr>
              <w:t xml:space="preserve">Staff or managers who wish to use an AI tool not currently on the Approved AI Tool Register submit an AI Tool Approval Request to Information Security. The request must include: tool name and vendor; URL or API endpoint; proposed use case and intended users; data that will be input to the tool (including classification under POL-001); whether the tool is intended for any GxP-relevant process; whether the tool is embedded in a product the company is developing.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trigger assessment</w:t>
            </w:r>
          </w:p>
          <w:p>
            <w:pPr>
              <w:spacing w:before="0" w:after="0"/>
            </w:pPr>
            <w:r>
              <w:rPr>
                <w:rFonts w:ascii="Arial" w:cs="Arial" w:eastAsia="Arial" w:hAnsi="Arial"/>
                <w:color w:val="444444"/>
                <w:sz w:val="20"/>
                <w:szCs w:val="20"/>
              </w:rPr>
              <w:t xml:space="preserve">Information Security and Compliance/QA Director jointly assess within 3 business days whether the proposed use is GxP-relevant:
• If YES: the tool enters the Category D pathway (Section 3 of this SOP). The standard approval process does not apply.
• If NO: proceed to Step 3.</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exposure and privacy assessment</w:t>
            </w:r>
          </w:p>
          <w:p>
            <w:pPr>
              <w:spacing w:before="0" w:after="0"/>
            </w:pPr>
            <w:r>
              <w:rPr>
                <w:rFonts w:ascii="Arial" w:cs="Arial" w:eastAsia="Arial" w:hAnsi="Arial"/>
                <w:color w:val="444444"/>
                <w:sz w:val="20"/>
                <w:szCs w:val="20"/>
              </w:rPr>
              <w:t xml:space="preserve">Information Security assesses the data exposure risk using the AI Risk Assessment Framework (POL-023 Section 7):
• What data will be input? What is the maximum classification?
• Does the vendor use input data to train models? Review vendor terms of service and data processing agreement.
• Where is data processed? Does data leave the EEA/UK?
• Does the tool process personal data? If yes, DPO assessment required.
• If Special Category or PHI data will be processed: DPIA required under SOP-004 before approval.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Vendor assessment</w:t>
            </w:r>
          </w:p>
          <w:p>
            <w:pPr>
              <w:spacing w:before="0" w:after="0"/>
            </w:pPr>
            <w:r>
              <w:rPr>
                <w:rFonts w:ascii="Arial" w:cs="Arial" w:eastAsia="Arial" w:hAnsi="Arial"/>
                <w:color w:val="444444"/>
                <w:sz w:val="20"/>
                <w:szCs w:val="20"/>
              </w:rPr>
              <w:t xml:space="preserve">Information Security initiates a vendor assessment under SOP-013:
• Tier A assessment: if Restricted, Special Category, or PHI data will be processed, or if the tool is directly integrated with a Tier 1 or Tier 2 system.
• Tier B assessment: Internal Use data only, limited integration.
• Tier C assessment: Public data only, no integration with corporate systems.
The vendor assessment includes the AI-specific elements from POL-013: AI model training data sources, model version control, output reliability assessment, and EU AI Act risk category if applicable.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Security configuration review</w:t>
            </w:r>
          </w:p>
          <w:p>
            <w:pPr>
              <w:spacing w:before="0" w:after="0"/>
            </w:pPr>
            <w:r>
              <w:rPr>
                <w:rFonts w:ascii="Arial" w:cs="Arial" w:eastAsia="Arial" w:hAnsi="Arial"/>
                <w:color w:val="444444"/>
                <w:sz w:val="20"/>
                <w:szCs w:val="20"/>
              </w:rPr>
              <w:t xml:space="preserve">Information Security reviews the tool's security configuration:
• Authentication: SSO integration available? MFA enforceable?
• Data residency: configurable to EEA/UK?
• Retention: does the vendor retain inputs/outputs? For how long? Can [Company Name] request deletion?
• Access controls: can [Company Name] manage user access centrally? Can access be revoked promptly on offboarding?
• Audit logging: does the tool log user activity? Can [Company Name] access logs for investigation?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Approval decision and conditions</w:t>
            </w:r>
          </w:p>
          <w:p>
            <w:pPr>
              <w:spacing w:before="0" w:after="0"/>
            </w:pPr>
            <w:r>
              <w:rPr>
                <w:rFonts w:ascii="Arial" w:cs="Arial" w:eastAsia="Arial" w:hAnsi="Arial"/>
                <w:color w:val="444444"/>
                <w:sz w:val="20"/>
                <w:szCs w:val="20"/>
              </w:rPr>
              <w:t xml:space="preserve">Information Security Manager (with CISO for Restricted/Special Category use) prepares an approval decision:
• Approve as Category A: if the tool meets all criteria and is deployed within the [Company Name] managed tenant with confirmed controls.
• Approve as Category B with conditions: if the tool meets core criteria but has restrictions on data classification, use case, or configuration.
• Reject: if the tool cannot meet the minimum criteria (e.g., vendor trains on input data with no opt-out; data residency cannot be confirmed; no MFA capability).
All decisions are documented. Rejections include the reason. Rejected tools may be resubmitted if the vendor modifies their terms or the requester proposes a more limited use case.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Register update and communication</w:t>
            </w:r>
          </w:p>
          <w:p>
            <w:pPr>
              <w:spacing w:before="0" w:after="0"/>
            </w:pPr>
            <w:r>
              <w:rPr>
                <w:rFonts w:ascii="Arial" w:cs="Arial" w:eastAsia="Arial" w:hAnsi="Arial"/>
                <w:color w:val="444444"/>
                <w:sz w:val="20"/>
                <w:szCs w:val="20"/>
              </w:rPr>
              <w:t xml:space="preserve">Approved tools are added to the Approved AI Tool Register within 5 business days of approval. The register entry includes: tool name, vendor, category, approved use cases, data classification limits, conditions, assessment date, next review date. Information Security publishes the updated register to the corporate intranet and notifies the requesting team.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p>
      <w:pPr>
        <w:pStyle w:val="Heading1"/>
        <w:spacing w:before="360" w:after="120"/>
      </w:pPr>
      <w:r>
        <w:rPr>
          <w:rFonts w:ascii="Arial" w:cs="Arial" w:eastAsia="Arial" w:hAnsi="Arial"/>
          <w:b/>
          <w:bCs/>
          <w:color w:val="1B2A4A"/>
          <w:sz w:val="36"/>
          <w:szCs w:val="36"/>
        </w:rPr>
        <w:t xml:space="preserve">3.  Process 2 — AI Tool Assessment in GxP Contexts (Category D)</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Category D assessment cannot be bypassed. Any AI tool that functions within or influences a GxP-regulated process requires system classification and validation before deployment. This applies even if the tool is already Category A or B approved for non-GxP use.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scope confirmation</w:t>
            </w:r>
          </w:p>
          <w:p>
            <w:pPr>
              <w:spacing w:before="0" w:after="0"/>
            </w:pPr>
            <w:r>
              <w:rPr>
                <w:rFonts w:ascii="Arial" w:cs="Arial" w:eastAsia="Arial" w:hAnsi="Arial"/>
                <w:color w:val="444444"/>
                <w:sz w:val="20"/>
                <w:szCs w:val="20"/>
              </w:rPr>
              <w:t xml:space="preserve">Compliance/QA Director confirms in writing that the proposed AI use is within a GxP-regulated process. GxP scope includes: batch record systems; quality management systems; laboratory information systems; manufacturing execution systems; clinical trial data systems; regulatory submission systems; any system where AI output can affect product quality, patient safety, or data integrity of a regulated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System classification assessment</w:t>
            </w:r>
          </w:p>
          <w:p>
            <w:pPr>
              <w:spacing w:before="0" w:after="0"/>
            </w:pPr>
            <w:r>
              <w:rPr>
                <w:rFonts w:ascii="Arial" w:cs="Arial" w:eastAsia="Arial" w:hAnsi="Arial"/>
                <w:color w:val="444444"/>
                <w:sz w:val="20"/>
                <w:szCs w:val="20"/>
              </w:rPr>
              <w:t xml:space="preserve">Information Security and Compliance/QA complete WI-005 (System Classification Questionnaire) for the AI system. AI systems operating in GxP contexts will typically classify as Tier 2 or Tier 1 depending on the criticality of the process. The AI model version is documented as part of the system configuration.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Validation Impact Assessment</w:t>
            </w:r>
          </w:p>
          <w:p>
            <w:pPr>
              <w:spacing w:before="0" w:after="0"/>
            </w:pPr>
            <w:r>
              <w:rPr>
                <w:rFonts w:ascii="Arial" w:cs="Arial" w:eastAsia="Arial" w:hAnsi="Arial"/>
                <w:color w:val="444444"/>
                <w:sz w:val="20"/>
                <w:szCs w:val="20"/>
              </w:rPr>
              <w:t xml:space="preserve">If the AI system is being introduced to replace or augment an existing validated system, a Validation Impact Assessment is completed under POL-006/SOP-006. The key questions:
• What decisions or data elements does the AI affect?
• What is the risk to data integrity if the AI produces an incorrect output?
• What human oversight mechanism is in place to detect AI errors?
• How is model performance validated against the intended use?
A VIPA (Validation Impact Pre-Assessment) is completed within 5 days of the Category D trigger.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Full validation</w:t>
            </w:r>
          </w:p>
          <w:p>
            <w:pPr>
              <w:spacing w:before="0" w:after="0"/>
            </w:pPr>
            <w:r>
              <w:rPr>
                <w:rFonts w:ascii="Arial" w:cs="Arial" w:eastAsia="Arial" w:hAnsi="Arial"/>
                <w:color w:val="444444"/>
                <w:sz w:val="20"/>
                <w:szCs w:val="20"/>
              </w:rPr>
              <w:t xml:space="preserve">A full validation protocol is developed under SOP-006 for the AI system. The validation must include:
• Specification: what is the AI expected to do? What are the acceptable output ranges?
• Performance testing: test cases covering representative inputs, edge cases, and known failure modes.
• Human oversight testing: confirm that the human oversight mechanism reliably detects AI errors in the test population.
• Model version control: document the specific model version validated. Any model version update is a change requiring SOP-007 change control.
The validation report is reviewed and signed off by Compliance/QA Director before the AI system is deployed in the GxP context.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Ongoing performance monitoring</w:t>
            </w:r>
          </w:p>
          <w:p>
            <w:pPr>
              <w:spacing w:before="0" w:after="0"/>
            </w:pPr>
            <w:r>
              <w:rPr>
                <w:rFonts w:ascii="Arial" w:cs="Arial" w:eastAsia="Arial" w:hAnsi="Arial"/>
                <w:color w:val="444444"/>
                <w:sz w:val="20"/>
                <w:szCs w:val="20"/>
              </w:rPr>
              <w:t xml:space="preserve">After deployment, AI system performance in the GxP context is monitored as part of routine system oversight:
• Unexpected AI outputs are recorded as deviations and investigated.
• Model version changes are change-controlled under SOP-007 and trigger a Validation Impact Assessment.
• Annual periodic review includes review of AI performance metrics: accuracy, error rate, and the proportion of decisions overridden by human reviewers.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p>
      <w:pPr>
        <w:pStyle w:val="Heading1"/>
        <w:spacing w:before="360" w:after="120"/>
      </w:pPr>
      <w:r>
        <w:rPr>
          <w:rFonts w:ascii="Arial" w:cs="Arial" w:eastAsia="Arial" w:hAnsi="Arial"/>
          <w:b/>
          <w:bCs/>
          <w:color w:val="1B2A4A"/>
          <w:sz w:val="36"/>
          <w:szCs w:val="36"/>
        </w:rPr>
        <w:t xml:space="preserve">4.  Process 3 — Approved AI Tool Register Maintenance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 of all Category A and B 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entries reviewed against current vendor terms, data processing agreements, and security configuration. Changes that affect the approval basis are escalated for re-assessment.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new approval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AI tools approved in the past quarter are reviewed at the quarterly ISSG meeting for programme-level awareness.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terms change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A and B vendors are monitored for changes to terms of service, privacy policy, and data processing practices. Monitoring includes vendor email notifications and quarterly manual review of terms. Material changes trigger an immediate re-assessment.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monitoring; quarterly manual check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Register publication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register is published and updated on the corporate intranet within 5 business days of any change.</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Decommissioning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When a tool is removed from the register (discontinued, failed reassessment, superseded): Information Security notifies users with 30 days' advance notice where possible; CIO/Data Custodian IT revokes corporate licences and removes the tool from the approved list; any data held in the tool is migrated or deleted per POL-002.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Data Custodian IT</w:t>
            </w:r>
          </w:p>
        </w:tc>
      </w:tr>
    </w:tbl>
    <w:p>
      <w:pPr>
        <w:pStyle w:val="Heading1"/>
        <w:spacing w:before="360" w:after="120"/>
      </w:pPr>
      <w:r>
        <w:rPr>
          <w:rFonts w:ascii="Arial" w:cs="Arial" w:eastAsia="Arial" w:hAnsi="Arial"/>
          <w:b/>
          <w:bCs/>
          <w:color w:val="1B2A4A"/>
          <w:sz w:val="36"/>
          <w:szCs w:val="36"/>
        </w:rPr>
        <w:t xml:space="preserve">5.  Process 4 — AI-Related Incident Investigation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events must be reported to Information Security and investigated under this SOP (in addition to any SOP-012 obligations where the event also constitutes a security incident):</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Restricted, Special Category, or PHI data input to a Category C (unapproved) AI tool.</w:t>
      </w:r>
    </w:p>
    <w:p>
      <w:pPr>
        <w:pStyle w:val="ListParagraph"/>
        <w:numPr>
          <w:ilvl w:val="0"/>
          <w:numId w:val="2"/>
        </w:numPr>
        <w:spacing w:before="60" w:after="60"/>
      </w:pPr>
      <w:r>
        <w:rPr>
          <w:rFonts w:ascii="Arial" w:cs="Arial" w:eastAsia="Arial" w:hAnsi="Arial"/>
          <w:color w:val="333333"/>
          <w:sz w:val="22"/>
          <w:szCs w:val="22"/>
        </w:rPr>
        <w:t xml:space="preserve">AI-generated content appearing in a GxP record without human verification or attribution.</w:t>
      </w:r>
    </w:p>
    <w:p>
      <w:pPr>
        <w:pStyle w:val="ListParagraph"/>
        <w:numPr>
          <w:ilvl w:val="0"/>
          <w:numId w:val="2"/>
        </w:numPr>
        <w:spacing w:before="60" w:after="60"/>
      </w:pPr>
      <w:r>
        <w:rPr>
          <w:rFonts w:ascii="Arial" w:cs="Arial" w:eastAsia="Arial" w:hAnsi="Arial"/>
          <w:color w:val="333333"/>
          <w:sz w:val="22"/>
          <w:szCs w:val="22"/>
        </w:rPr>
        <w:t xml:space="preserve">AI tool outputting another customer's or patient's data (AI data isolation failure).</w:t>
      </w:r>
    </w:p>
    <w:p>
      <w:pPr>
        <w:pStyle w:val="ListParagraph"/>
        <w:numPr>
          <w:ilvl w:val="0"/>
          <w:numId w:val="2"/>
        </w:numPr>
        <w:spacing w:before="60" w:after="60"/>
      </w:pPr>
      <w:r>
        <w:rPr>
          <w:rFonts w:ascii="Arial" w:cs="Arial" w:eastAsia="Arial" w:hAnsi="Arial"/>
          <w:color w:val="333333"/>
          <w:sz w:val="22"/>
          <w:szCs w:val="22"/>
        </w:rPr>
        <w:t xml:space="preserve">AI model producing systematically incorrect outputs in a GxP or regulated context.</w:t>
      </w:r>
    </w:p>
    <w:p>
      <w:pPr>
        <w:pStyle w:val="ListParagraph"/>
        <w:numPr>
          <w:ilvl w:val="0"/>
          <w:numId w:val="2"/>
        </w:numPr>
        <w:spacing w:before="60" w:after="60"/>
      </w:pPr>
      <w:r>
        <w:rPr>
          <w:rFonts w:ascii="Arial" w:cs="Arial" w:eastAsia="Arial" w:hAnsi="Arial"/>
          <w:color w:val="333333"/>
          <w:sz w:val="22"/>
          <w:szCs w:val="22"/>
        </w:rPr>
        <w:t xml:space="preserve">Staff circumventing AI controls (e.g., using personal accounts with company data after policy communication).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Triage</w:t>
            </w:r>
          </w:p>
          <w:p>
            <w:pPr>
              <w:spacing w:before="0" w:after="0"/>
            </w:pPr>
            <w:r>
              <w:rPr>
                <w:rFonts w:ascii="Arial" w:cs="Arial" w:eastAsia="Arial" w:hAnsi="Arial"/>
                <w:color w:val="444444"/>
                <w:sz w:val="20"/>
                <w:szCs w:val="20"/>
              </w:rPr>
              <w:t xml:space="preserve">Information Security receives the report and classifies severity:
• Critical: Restricted/Special Category/PHI data in unapproved tool; AI error in GxP record affecting product quality or patient safety.
• High: Restricted data in unapproved tool; AI isolation failure (other party's data visible); AI error in regulated document.
• Medium: Internal Use data in unapproved tool; AI attribution missing from non-GxP document.
• Low: Policy misunderstanding with no data exposure.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Critical and High — escalation</w:t>
            </w:r>
          </w:p>
          <w:p>
            <w:pPr>
              <w:spacing w:before="0" w:after="0"/>
            </w:pPr>
            <w:r>
              <w:rPr>
                <w:rFonts w:ascii="Arial" w:cs="Arial" w:eastAsia="Arial" w:hAnsi="Arial"/>
                <w:color w:val="444444"/>
                <w:sz w:val="20"/>
                <w:szCs w:val="20"/>
              </w:rPr>
              <w:t xml:space="preserve">Critical: CISO notified immediately. SOP-012 invoked as a security incident. DPO notified (assess data breach obligation). Compliance/QA notified if GxP context. Data access to the tool suspended pending investigation.
High: CISO notified within 4 hours. Investigation commenced. SOP-012 risk assessment completed.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Investigation</w:t>
            </w:r>
          </w:p>
          <w:p>
            <w:pPr>
              <w:spacing w:before="0" w:after="0"/>
            </w:pPr>
            <w:r>
              <w:rPr>
                <w:rFonts w:ascii="Arial" w:cs="Arial" w:eastAsia="Arial" w:hAnsi="Arial"/>
                <w:color w:val="444444"/>
                <w:sz w:val="20"/>
                <w:szCs w:val="20"/>
              </w:rPr>
              <w:t xml:space="preserve">Determine: what data was involved; whether data was retained by the AI provider; whether the data could be retrieved or was exposed to other parties; the root cause (misunderstanding / deliberate / systemic gap in controls). For GxP events: determine the impact on the regulated record and whether a deviation report is required.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Remediation and reporting</w:t>
            </w:r>
          </w:p>
          <w:p>
            <w:pPr>
              <w:spacing w:before="0" w:after="0"/>
            </w:pPr>
            <w:r>
              <w:rPr>
                <w:rFonts w:ascii="Arial" w:cs="Arial" w:eastAsia="Arial" w:hAnsi="Arial"/>
                <w:color w:val="444444"/>
                <w:sz w:val="20"/>
                <w:szCs w:val="20"/>
              </w:rPr>
              <w:t xml:space="preserve">Remediation actions: request data deletion from vendor if feasible; revoke the user's access to the unapproved tool at the corporate network level; update training materials if the incident reveals a training gap; update the Approved AI Tool Register if the incident reveals a control gap in an approved tool.
Reporting: all Critical and High AI incidents are included in the quarterly CISO report to the ISSG. Critical incidents with GxP impact are included in the Compliance/QA deviation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r>
          </w:p>
        </w:tc>
      </w:tr>
    </w:tbl>
    <w:p>
      <w:pPr>
        <w:pStyle w:val="Heading1"/>
        <w:spacing w:before="360" w:after="120"/>
      </w:pPr>
      <w:r>
        <w:rPr>
          <w:rFonts w:ascii="Arial" w:cs="Arial" w:eastAsia="Arial" w:hAnsi="Arial"/>
          <w:b/>
          <w:bCs/>
          <w:color w:val="1B2A4A"/>
          <w:sz w:val="36"/>
          <w:szCs w:val="36"/>
        </w:rPr>
        <w:t xml:space="preserve">6.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7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 Governance and Acceptable Use Policy (parent policy)</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POL-005/SOP-005/WI-005</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 for Category D AI system classification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POL-006/SOP-006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 for Category D validation</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POL-007/SOP-007</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 for AI model version changes in GxP contexts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POL-012/SOP-012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 AI incidents that are also security incidents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POL-013/SOP-013</w:t>
            </w:r>
          </w:p>
        </w:tc>
        <w:tc>
          <w:tcPr>
            <w:tcW w:type="dxa" w:w="7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 vendor assessment for AI tools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 DPIA Process — DPIA for AI tools processing personal data</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SOP-023 v1.0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AI GOVERNANCE PROCESS  |  SOP-023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2026-03-08T13:06:27.445Z</dcterms:created>
  <dcterms:modified xsi:type="dcterms:W3CDTF">2026-03-08T13:06:27.445Z</dcterms:modified>
</cp:coreProperties>
</file>

<file path=docProps/custom.xml><?xml version="1.0" encoding="utf-8"?>
<Properties xmlns="http://schemas.openxmlformats.org/officeDocument/2006/custom-properties" xmlns:vt="http://schemas.openxmlformats.org/officeDocument/2006/docPropsVTypes"/>
</file>