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6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40"/>
        </w:rPr>
        <w:t>One-Dimensional Modeling of CO Methanation in a Fixed-Bed Reactor</w:t>
      </w:r>
    </w:p>
    <w:p>
      <w:pPr>
        <w:keepNext/>
        <w:spacing w:after="2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Barno and Ashiq</w:t>
      </w:r>
    </w:p>
    <w:p>
      <w:pPr>
        <w:keepNext/>
        <w:spacing w:after="60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Abstract</w:t>
      </w:r>
    </w:p>
    <w:p>
      <w:pPr>
        <w:spacing w:after="100" w:line="254" w:lineRule="auto"/>
        <w:ind w:left="173" w:right="17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 one-dimensional fixed-bed model was used to evaluate CO methanation with the Full M4 kinetics of Celoria et al. Species, energy, and Ergun pressure balances were integrated in Python with SciPy solve_ivp using Radau or BDF. At 350 °C, 1 bar absolute, and 3.12 g catalyst, Full M4 predicts 78.72% CO conversion without parameter adjustment; the reported Experiment 1 value is 40.63%. This comparison is affected by conflicting pressure values in the source report and lies below the model's 5–15 bar fitted pressure range. A separate assumed 5 bar bed predicts 95.81% outlet conversion and a peak gas temperature of 819.7 K (546.5 °C), above the fitted temperature range of 250–400 °C. Sweeps of inlet temperature, pressure, H₂/CO ratio, catalyst space time, and N₂ flow characterize the model's response under specified conditions.</w:t>
      </w:r>
    </w:p>
    <w:p>
      <w:pPr>
        <w:spacing w:after="160"/>
      </w:pP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Keywords 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CO methanation; fixed-bed reactor; Full M4 kinetics; stiff ODE integration; sensitivity analysis</w:t>
      </w:r>
    </w:p>
    <w:p>
      <w:pPr>
        <w:pStyle w:val="Heading1"/>
      </w:pPr>
      <w:r>
        <w:t>Introduction</w:t>
      </w:r>
    </w:p>
    <w:p>
      <w:pPr>
        <w:ind w:firstLine="259"/>
      </w:pPr>
      <w:r>
        <w:t>CO methanation is strongly exothermic, so local rates change with gas composition and temperature along a packed bed. A reactor calculation must also account for heat exchange and pressure loss.</w:t>
      </w:r>
    </w:p>
    <w:p>
      <w:pPr>
        <w:ind w:firstLine="259"/>
      </w:pPr>
      <w:r>
        <w:t>Here, the Full M4 kinetics of Celoria et al. [1] are applied to a one-dimensional fixed-bed reactor. Its unadjusted prediction at the selected Experiment 1 basis is compared with two other literature rate laws [2, 3] and the reported conversion [5]. A separate assumed 5 bar case and operating sweeps are used to examine axial behavior and input sensitivity.</w:t>
      </w:r>
    </w:p>
    <w:p>
      <w:pPr>
        <w:pStyle w:val="Heading1"/>
      </w:pPr>
      <w:r>
        <w:t>Methodology</w:t>
      </w:r>
    </w:p>
    <w:p>
      <w:pPr>
        <w:pStyle w:val="Heading2"/>
      </w:pPr>
      <w:r>
        <w:t>Reactor model and reaction network</w:t>
      </w:r>
    </w:p>
    <w:p>
      <w:pPr>
        <w:ind w:firstLine="259"/>
      </w:pPr>
      <w:r>
        <w:t>The bed is represented as a steady, one-dimensional plug-flow reactor. The Full M4 network contains three reversible reactions, written below in the forward directions used to define the stoichiometric matrix. The published reverse water-gas-shift rate is sign-reversed for the forward direction used here.</w:t>
      </w:r>
    </w:p>
    <w:p>
      <w:pPr>
        <w:pStyle w:val="ListBullet"/>
        <w:spacing w:after="56"/>
        <w:ind w:left="360" w:hanging="202"/>
      </w:pPr>
      <w:r>
        <w:t>CO₂ + 4 H₂ ⇌ CH₄ + 2 H₂O</w:t>
      </w:r>
    </w:p>
    <w:p>
      <w:pPr>
        <w:pStyle w:val="ListBullet"/>
        <w:spacing w:after="56"/>
        <w:ind w:left="360" w:hanging="202"/>
      </w:pPr>
      <w:r>
        <w:t>CO + 3 H₂ ⇌ CH₄ + H₂O</w:t>
      </w:r>
    </w:p>
    <w:p>
      <w:pPr>
        <w:pStyle w:val="ListBullet"/>
        <w:spacing w:after="56"/>
        <w:ind w:left="360" w:hanging="202"/>
      </w:pPr>
      <w:r>
        <w:t>CO + H₂O ⇌ CO₂ + H₂</w:t>
      </w:r>
    </w:p>
    <w:p>
      <w:pPr>
        <w:ind w:firstLine="259"/>
      </w:pPr>
      <w:r>
        <w:t>Full M4 local rates are evaluated from temperature and gas partial pressures using the published Langmuir–Hinshelwood–Hougen–Watson form and central parameter values [1]. For comparison, the Kopyscinski implementation uses the corrected square-root CO adsorption term from its published corrigendum [2]. The Quindimil implementation was fitted to CO₂/H₂ feeds [3]; applying it to the CO/H₂/N₂ comparison is outside that feed scope.</w:t>
      </w:r>
    </w:p>
    <w:p>
      <w:pPr>
        <w:pStyle w:val="Heading2"/>
      </w:pPr>
      <w:r>
        <w:t>Material, energy, and momentum balances</w:t>
      </w:r>
    </w:p>
    <w:p>
      <w:pPr>
        <w:ind w:firstLine="259"/>
      </w:pPr>
      <w:r>
        <w:t>Species molar flows Fᵢ are integrated with catalyst mass W as the independent coordinate. The activity factor a multiplies each net reaction rate rⱼ. Local partial pressures follow the ideal-gas mixture relation pᵢ = yᵢP, and concentrations are calculated from cᵢ = pᵢ/(RT).</w:t>
      </w:r>
    </w:p>
    <w:p>
      <w:pPr>
        <w:keepLines/>
        <w:tabs>
          <w:tab w:pos="4680" w:val="center"/>
          <w:tab w:pos="9331" w:val="right"/>
        </w:tabs>
        <w:spacing w:before="40" w:after="80"/>
        <w:ind w:left="0" w:right="0"/>
      </w:pP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18"/>
        </w:rPr>
        <w:t>dFᵢ/dW = a ∑ⱼ νᵢⱼ rⱼ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(1)</w:t>
      </w:r>
    </w:p>
    <w:p>
      <w:pPr>
        <w:ind w:firstLine="259"/>
      </w:pPr>
      <w:r>
        <w:t>For non-isothermal cases, the gas energy balance includes reaction heat and, when enabled, heat transfer to a wall held at T_w. The model uses the species heat-capacity flow in the denominator and a cylindrical heat-transfer area per bed volume of 4/D_t.</w:t>
      </w:r>
    </w:p>
    <w:p>
      <w:pPr>
        <w:keepLines/>
        <w:tabs>
          <w:tab w:pos="4680" w:val="center"/>
          <w:tab w:pos="9331" w:val="right"/>
        </w:tabs>
        <w:spacing w:before="40" w:after="80"/>
        <w:ind w:left="0" w:right="0"/>
      </w:pP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18"/>
        </w:rPr>
        <w:t>dT/dW = [−a ∑ⱼ ΔHⱼ rⱼ − (4U/(Dₜρ_cat))(T − T_w)] / [∑ᵢ Fᵢ Cₚ,ᵢ]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(2)</w:t>
      </w:r>
    </w:p>
    <w:p>
      <w:pPr>
        <w:ind w:firstLine="259"/>
      </w:pPr>
      <w:r>
        <w:t>Pressure loss is computed from the viscous and inertial terms of the Ergun equation. The axial pressure gradient is converted to the catalyst-mass coordinate using the bed cross-sectional area A_c and catalyst loading per bed volume ρ_cat.</w:t>
      </w:r>
    </w:p>
    <w:p>
      <w:pPr>
        <w:keepLines/>
        <w:tabs>
          <w:tab w:pos="4680" w:val="center"/>
          <w:tab w:pos="9331" w:val="right"/>
        </w:tabs>
        <w:spacing w:before="40" w:after="80"/>
        <w:ind w:left="0" w:right="0"/>
      </w:pP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18"/>
        </w:rPr>
        <w:t>dP/dW = −[150μ(1−ε)²u/(dₚ²ε³) + 1.75ρ_g(1−ε)u²/(dₚε³)]/(ρ_cat A_c)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(3)</w:t>
      </w:r>
    </w:p>
    <w:p>
      <w:pPr>
        <w:keepLines/>
        <w:tabs>
          <w:tab w:pos="4680" w:val="center"/>
          <w:tab w:pos="9331" w:val="right"/>
        </w:tabs>
        <w:spacing w:before="40" w:after="80"/>
        <w:ind w:left="0" w:right="0"/>
      </w:pP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18"/>
        </w:rPr>
        <w:t>X_CO = 100(F_CO,0 − F_CO,out)/F_CO,0;   τ_cat = W_cat/F_CO,0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(4)</w:t>
      </w:r>
    </w:p>
    <w:p>
      <w:pPr>
        <w:pStyle w:val="Heading2"/>
      </w:pPr>
      <w:r>
        <w:t>Numerical solution and simulation cases</w:t>
      </w:r>
    </w:p>
    <w:p>
      <w:pPr>
        <w:ind w:firstLine="259"/>
      </w:pPr>
      <w:r>
        <w:t>The Python implementation integrates the balance equations with scipy.integrate.solve_ivp from SciPy 1.18.1 [4], using the implicit Radau or BDF method as listed in Table 1. The principal profile runs use relative tolerance 10⁻⁶, absolute flow tolerance 10⁻¹⁰ mol s⁻¹, temperature tolerance 10⁻⁵ K, and pressure tolerance 0.1 Pa. The independent literature-model profiles use Radau with relative tolerance 10⁻⁸ and absolute flow tolerance 10⁻¹⁴ mol s⁻¹. Dense solver output is sampled at 401 positions for reactor profiles and 101 catalyst-mass positions for the three-model comparison. Sweep results are reported at the bed outlet.</w:t>
      </w:r>
    </w:p>
    <w:p>
      <w:pPr>
        <w:ind w:firstLine="259"/>
      </w:pPr>
      <w:r>
        <w:t>A dry CO/H₂ inlet has zero initial H₂O, while the Full M4 CO₂ rate contains a water pressure denominator. The implementation uses a derived near-inlet series start for the stiff integration rather than adding an artificial steam feed.</w:t>
      </w:r>
    </w:p>
    <w:p>
      <w:pPr>
        <w:pStyle w:val="Caption"/>
        <w:keepNext/>
      </w:pPr>
      <w:r>
        <w:rPr>
          <w:b/>
        </w:rPr>
        <w:t xml:space="preserve">Table 1. </w:t>
      </w:r>
      <w:r>
        <w:t>Simulation cases represented in the figures.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0D7DC"/>
          <w:left w:val="single" w:sz="5" w:space="0" w:color="D0D7DC"/>
          <w:bottom w:val="single" w:sz="5" w:space="0" w:color="D0D7DC"/>
          <w:right w:val="single" w:sz="5" w:space="0" w:color="D0D7DC"/>
          <w:insideH w:val="single" w:sz="5" w:space="0" w:color="D0D7DC"/>
          <w:insideV w:val="single" w:sz="5" w:space="0" w:color="D0D7DC"/>
        </w:tblBorders>
      </w:tblPr>
      <w:tblGrid>
        <w:gridCol w:w="3182"/>
        <w:gridCol w:w="3182"/>
        <w:gridCol w:w="3182"/>
      </w:tblGrid>
      <w:tr>
        <w:trPr>
          <w:tblHeader w:val="true"/>
        </w:trPr>
        <w:tc>
          <w:tcPr>
            <w:tcW w:type="dxa" w:w="2045"/>
            <w:vAlign w:val="center"/>
            <w:shd w:fill="FFFFFF" w:val="clea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Case</w:t>
            </w:r>
          </w:p>
        </w:tc>
        <w:tc>
          <w:tcPr>
            <w:tcW w:type="dxa" w:w="5098"/>
            <w:vAlign w:val="center"/>
            <w:shd w:fill="FFFFFF" w:val="clea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Conditions and varied inputs</w:t>
            </w:r>
          </w:p>
        </w:tc>
        <w:tc>
          <w:tcPr>
            <w:tcW w:type="dxa" w:w="2160"/>
            <w:vAlign w:val="center"/>
            <w:shd w:fill="FFFFFF" w:val="clea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Integrator and coverage</w:t>
            </w:r>
          </w:p>
        </w:tc>
      </w:tr>
      <w:tr>
        <w:tc>
          <w:tcPr>
            <w:tcW w:type="dxa" w:w="204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Three-model comparison</w:t>
            </w:r>
          </w:p>
        </w:tc>
        <w:tc>
          <w:tcPr>
            <w:tcW w:type="dxa" w:w="509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350 °C; 1 bar abs.; 3.12 g; fixed Experiment 1 inlet flows; isothermal</w:t>
            </w:r>
          </w:p>
        </w:tc>
        <w:tc>
          <w:tcPr>
            <w:tcW w:type="dxa" w:w="216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Radau; 101 profile points per model</w:t>
            </w:r>
          </w:p>
        </w:tc>
      </w:tr>
      <w:tr>
        <w:tc>
          <w:tcPr>
            <w:tcW w:type="dxa" w:w="204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Assumed Full M4 profile</w:t>
            </w:r>
          </w:p>
        </w:tc>
        <w:tc>
          <w:tcPr>
            <w:tcW w:type="dxa" w:w="509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350 °C; 5 bar; CO:H₂:N₂ = 1:4:25; heat exchange; Ergun drop</w:t>
            </w:r>
          </w:p>
        </w:tc>
        <w:tc>
          <w:tcPr>
            <w:tcW w:type="dxa" w:w="216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Radau; 401 axial output points</w:t>
            </w:r>
          </w:p>
        </w:tc>
      </w:tr>
      <w:tr>
        <w:tc>
          <w:tcPr>
            <w:tcW w:type="dxa" w:w="204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Temperature–pressure sweep</w:t>
            </w:r>
          </w:p>
        </w:tc>
        <w:tc>
          <w:tcPr>
            <w:tcW w:type="dxa" w:w="509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22 × 22 grid; inlet temperature 250–400 °C; pressure 1–15 bar</w:t>
            </w:r>
          </w:p>
        </w:tc>
        <w:tc>
          <w:tcPr>
            <w:tcW w:type="dxa" w:w="216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Radau; 484 cases completed</w:t>
            </w:r>
          </w:p>
        </w:tc>
      </w:tr>
      <w:tr>
        <w:tc>
          <w:tcPr>
            <w:tcW w:type="dxa" w:w="204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Composition sensitivities</w:t>
            </w:r>
          </w:p>
        </w:tc>
        <w:tc>
          <w:tcPr>
            <w:tcW w:type="dxa" w:w="509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H₂/CO–space time, feed-flow and isolated N₂ sweeps at 1 bar</w:t>
            </w:r>
          </w:p>
        </w:tc>
        <w:tc>
          <w:tcPr>
            <w:tcW w:type="dxa" w:w="216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BDF; 462, 819 and 42 cases completed</w:t>
            </w:r>
          </w:p>
        </w:tc>
      </w:tr>
    </w:tbl>
    <w:p>
      <w:pPr>
        <w:spacing w:after="20"/>
      </w:pPr>
    </w:p>
    <w:p>
      <w:pPr>
        <w:ind w:firstLine="259"/>
      </w:pPr>
      <w:r>
        <w:t>The Full M4 kinetic fit covers 250–400 °C and 5–15 bar. The 1 bar Experiment 1 comparison and sensitivity runs are pressure extrapolations. The assumed reactor case uses a 0.0254 m tube, 0.3048 m bed, 0.4 void fraction, 3 mm particles, and 750 kg catalyst m⁻³ bed; these are specified modeling inputs, not dimensions or packing measurements confirmed by Experiment 1.</w:t>
      </w:r>
    </w:p>
    <w:p>
      <w:pPr>
        <w:pStyle w:val="Heading1"/>
      </w:pPr>
      <w:r>
        <w:t>Results and Discussion</w:t>
      </w:r>
    </w:p>
    <w:p>
      <w:pPr>
        <w:pStyle w:val="Heading2"/>
      </w:pPr>
      <w:r>
        <w:t>Comparison with Experiment 1</w:t>
      </w:r>
    </w:p>
    <w:p>
      <w:pPr>
        <w:ind w:firstLine="259"/>
      </w:pPr>
      <w:r>
        <w:t>The common comparison basis is 350 °C, 1.00 bar absolute, 3.12 g catalyst, and inlet flows of 0.320 mol h⁻¹ CO, 0.959 mol h⁻¹ H₂, and 0.799 mol h⁻¹ N₂. The source reports 40.63% CO conversion [5]. No rate or activity parameter was fitted to that value.</w:t>
      </w:r>
    </w:p>
    <w:p>
      <w:pPr>
        <w:pStyle w:val="Caption"/>
        <w:keepNext/>
      </w:pPr>
      <w:r>
        <w:rPr>
          <w:b/>
        </w:rPr>
        <w:t xml:space="preserve">Table 2. </w:t>
      </w:r>
      <w:r>
        <w:t>Independent model predictions at the common Experiment 1 basis.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0D7DC"/>
          <w:left w:val="single" w:sz="5" w:space="0" w:color="D0D7DC"/>
          <w:bottom w:val="single" w:sz="5" w:space="0" w:color="D0D7DC"/>
          <w:right w:val="single" w:sz="5" w:space="0" w:color="D0D7DC"/>
          <w:insideH w:val="single" w:sz="5" w:space="0" w:color="D0D7DC"/>
          <w:insideV w:val="single" w:sz="5" w:space="0" w:color="D0D7DC"/>
        </w:tblBorders>
      </w:tblPr>
      <w:tblGrid>
        <w:gridCol w:w="2387"/>
        <w:gridCol w:w="2387"/>
        <w:gridCol w:w="2387"/>
        <w:gridCol w:w="2387"/>
      </w:tblGrid>
      <w:tr>
        <w:trPr>
          <w:tblHeader w:val="true"/>
        </w:trPr>
        <w:tc>
          <w:tcPr>
            <w:tcW w:type="dxa" w:w="1555"/>
            <w:vAlign w:val="center"/>
            <w:shd w:fill="FFFFFF" w:val="clea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Model</w:t>
            </w:r>
          </w:p>
        </w:tc>
        <w:tc>
          <w:tcPr>
            <w:tcW w:type="dxa" w:w="1699"/>
            <w:vAlign w:val="center"/>
            <w:shd w:fill="FFFFFF" w:val="clea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Predicted conversion</w:t>
            </w:r>
          </w:p>
        </w:tc>
        <w:tc>
          <w:tcPr>
            <w:tcW w:type="dxa" w:w="2059"/>
            <w:vAlign w:val="center"/>
            <w:shd w:fill="FFFFFF" w:val="clea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Difference</w:t>
            </w:r>
          </w:p>
        </w:tc>
        <w:tc>
          <w:tcPr>
            <w:tcW w:type="dxa" w:w="3989"/>
            <w:vAlign w:val="center"/>
            <w:shd w:fill="FFFFFF" w:val="clea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Scope at 1 bar</w:t>
            </w:r>
          </w:p>
        </w:tc>
      </w:tr>
      <w:tr>
        <w:tc>
          <w:tcPr>
            <w:tcW w:type="dxa" w:w="155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Full M4</w:t>
            </w:r>
          </w:p>
        </w:tc>
        <w:tc>
          <w:tcPr>
            <w:tcW w:type="dxa" w:w="169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78.723%</w:t>
            </w:r>
          </w:p>
        </w:tc>
        <w:tc>
          <w:tcPr>
            <w:tcW w:type="dxa" w:w="205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+38.09 percentage points</w:t>
            </w:r>
          </w:p>
        </w:tc>
        <w:tc>
          <w:tcPr>
            <w:tcW w:type="dxa" w:w="398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Below the 5–15 bar fit range</w:t>
            </w:r>
          </w:p>
        </w:tc>
      </w:tr>
      <w:tr>
        <w:tc>
          <w:tcPr>
            <w:tcW w:type="dxa" w:w="155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Kopyscinski</w:t>
            </w:r>
          </w:p>
        </w:tc>
        <w:tc>
          <w:tcPr>
            <w:tcW w:type="dxa" w:w="169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99.985%</w:t>
            </w:r>
          </w:p>
        </w:tc>
        <w:tc>
          <w:tcPr>
            <w:tcW w:type="dxa" w:w="205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+59.35 percentage points</w:t>
            </w:r>
          </w:p>
        </w:tc>
        <w:tc>
          <w:tcPr>
            <w:tcW w:type="dxa" w:w="398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Within the published 1–2 bar range</w:t>
            </w:r>
          </w:p>
        </w:tc>
      </w:tr>
      <w:tr>
        <w:tc>
          <w:tcPr>
            <w:tcW w:type="dxa" w:w="155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Quindimil</w:t>
            </w:r>
          </w:p>
        </w:tc>
        <w:tc>
          <w:tcPr>
            <w:tcW w:type="dxa" w:w="169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3.369%</w:t>
            </w:r>
          </w:p>
        </w:tc>
        <w:tc>
          <w:tcPr>
            <w:tcW w:type="dxa" w:w="205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−37.26 percentage points</w:t>
            </w:r>
          </w:p>
        </w:tc>
        <w:tc>
          <w:tcPr>
            <w:tcW w:type="dxa" w:w="398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Below the 2–6 bar range; CO/H₂ feed outside its CO₂/H₂ fit scope</w:t>
            </w:r>
          </w:p>
        </w:tc>
      </w:tr>
    </w:tbl>
    <w:p>
      <w:pPr>
        <w:spacing w:after="20"/>
      </w:pPr>
    </w:p>
    <w:p>
      <w:pPr>
        <w:ind w:firstLine="259"/>
      </w:pPr>
      <w:r>
        <w:t>Table 2 and Figure 1 show that Full M4 predicts 78.72% conversion at the selected 1 bar basis, 38.09 percentage points above the reported 40.63%. The source describes atmospheric operation in its abstract and discussion but lists 2 bar in Appendix A [5]. The 1 bar calculation is below the Full M4 fitted pressure interval.</w:t>
      </w:r>
    </w:p>
    <w:p>
      <w:pPr>
        <w:ind w:firstLine="259"/>
      </w:pPr>
      <w:r>
        <w:t>Kopyscinski predicts nearly complete conversion, but it describes a different catalyst and reactor. Quindimil's rate law was fitted to CO₂/H₂ feeds and is evaluated below its pressure range here. Its implemented expression is also reduced because the published parameter table lacks an independent K_H₂ required by one denominator term. These results assess transfer of literature kinetics across different conditions; they do not rank models for a common catalyst.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356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1_model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35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</w:rPr>
        <w:t xml:space="preserve">Figure 1. </w:t>
      </w:r>
      <w:r>
        <w:t>CO conversion versus catalyst mass for three literature models evaluated without refitting. The dashed line and circular point mark the reported Experiment 1 conversion at 3.12 g.</w:t>
      </w:r>
    </w:p>
    <w:p>
      <w:pPr>
        <w:pStyle w:val="Heading2"/>
      </w:pPr>
      <w:r>
        <w:t>Assumed Full M4 reactor profile</w:t>
      </w:r>
    </w:p>
    <w:p>
      <w:pPr>
        <w:ind w:firstLine="259"/>
      </w:pPr>
      <w:r>
        <w:t>Figure 2 shows the assumed 5 bar Full M4 bed described in Table 1. The total inlet flow is 0.05 mol s⁻¹ with CO:H₂:N₂ = 1:4:25; the wall is held at 350 °C with U = 10 W m⁻² K⁻¹. At 0.11583 kg catalyst, the model predicts 95.81% outlet CO conversion and 87.33% methane yield. Gas temperature peaks at 819.66 K (546.5 °C) about 3.5 cm from the inlet, while pressure falls to 4.9405 bar at the outlet.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3553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2_assumed_reactor_profi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55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</w:rPr>
        <w:t xml:space="preserve">Figure 2. </w:t>
      </w:r>
      <w:r>
        <w:t>Axial CO conversion, gas temperature and pressure for the assumed Full M4 case. The temperature rise is concentrated near the inlet; the small pressure change is plotted on a separate right-hand axis. A circular point marks the inlet condition in each panel.</w:t>
      </w:r>
    </w:p>
    <w:p>
      <w:pPr>
        <w:ind w:firstLine="259"/>
      </w:pPr>
      <w:r>
        <w:t>In Figure 3, CO depletion coincides with CH₄ and H₂O formation near the inlet. CO₂ remains a minor intermediate; N₂ is included in the material balance but omitted from the plot scale. The calculated hot spot exceeds the 400 °C upper kinetic-fit temperature, so rates in part of the bed require temperature extrapolation.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526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3_species_profi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52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</w:rPr>
        <w:t xml:space="preserve">Figure 3. </w:t>
      </w:r>
      <w:r>
        <w:t>Reactive-species gas concentrations along the assumed Full M4 bed. The logarithmic ordinate omits initial zero concentrations; nitrogen is omitted from the panel for scale clarity and remains in the simulated material balance.</w:t>
      </w:r>
    </w:p>
    <w:p>
      <w:pPr>
        <w:pStyle w:val="Heading2"/>
      </w:pPr>
      <w:r>
        <w:t>Temperature and pressure sensitivity</w:t>
      </w:r>
    </w:p>
    <w:p>
      <w:pPr>
        <w:ind w:firstLine="259"/>
      </w:pPr>
      <w:r>
        <w:t>Figure 4 shows the 5–15 bar subset of a 22 × 22 Full M4 sweep over 250–400 °C and 1–15 bar. All 484 runs completed. Over the plotted pressure interval, outlet conversion ranges from 92.01% to 99.86%; the nominal 350 °C, 5 bar point gives 95.81%. Cases below 5 bar are omitted because they lie outside the fitted pressure range.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028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4_temperature_pressure_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02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</w:rPr>
        <w:t xml:space="preserve">Figure 4. </w:t>
      </w:r>
      <w:r>
        <w:t>Full M4 outlet CO conversion over the 5–15 bar pressure-fit interval and 250–400 °C inlet-temperature range. The circular marker identifies the 350 °C, 5 bar nominal case. Other assumed bed inputs are held fixed.</w:t>
      </w:r>
    </w:p>
    <w:p>
      <w:pPr>
        <w:ind w:firstLine="259"/>
      </w:pPr>
      <w:r>
        <w:t>Inlet conditions within the fitted interval do not guarantee that the entire bed stays there. Across all 484 runs, including those below 5 bar, 469 reach a sampled peak bed temperature above 400 °C; peak temperatures range from 288.4 to 603.1 °C. Many plotted trajectories therefore involve local temperature extrapolation.</w:t>
      </w:r>
    </w:p>
    <w:p>
      <w:pPr>
        <w:pStyle w:val="Heading2"/>
      </w:pPr>
      <w:r>
        <w:t>H₂/CO ratio and catalyst space time</w:t>
      </w:r>
    </w:p>
    <w:p>
      <w:pPr>
        <w:ind w:firstLine="259"/>
      </w:pPr>
      <w:r>
        <w:t>Figure 5 summarizes a 462-case isothermal Full M4 sweep of H₂/CO from 1 to 5 and catalyst space time from 8.775 to 140.4 kg_cat s mol_CO⁻¹ at 350 °C and 1 bar. Catalyst mass was held at 3.12 g; CO and N₂ flows were scaled together, H₂ was reset from the selected ratio, and N₂/CO was held at the Experiment 1 value. Outlet conversion ranges from 22.38–99.04%. At the reference ratio of 2.9969 and space time of 35.10 kg_cat s mol_CO⁻¹, the model returns 78.72%. Increasing H₂/CO or space time generally raises conversion over the sampled region, with diminishing change toward the high-conversion boundary.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78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5_ratio_space_time_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7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</w:rPr>
        <w:t xml:space="preserve">Figure 5. </w:t>
      </w:r>
      <w:r>
        <w:t>Full M4 outlet conversion across the H₂/CO and catalyst-space-time grid. The circular point marks the 1 bar Experiment 1 reference calculation. All cells are isothermal predictions without refitting and lie below the 5–15 bar Full M4 pressure-fit interval.</w:t>
      </w:r>
    </w:p>
    <w:p>
      <w:pPr>
        <w:pStyle w:val="Heading2"/>
      </w:pPr>
      <w:r>
        <w:t>Absolute feed-flow sensitivity</w:t>
      </w:r>
    </w:p>
    <w:p>
      <w:pPr>
        <w:ind w:firstLine="259"/>
      </w:pPr>
      <w:r>
        <w:t>Figure 6 varies absolute inlet flows at 350 °C, 1 bar, and 3.12 g catalyst. Panel (a) varies H₂ and CO with N₂ fixed at 0.799 mol h⁻¹; panel (b) varies H₂ and N₂ with CO fixed at 0.320 mol h⁻¹. The two grids contain 819 completed cases, with predicted conversion from 15.91% to 92.30%. The pressure is below the Full M4 fitted interval.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08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6_feed_flow_sensitiviti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0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</w:rPr>
        <w:t xml:space="preserve">Figure 6. </w:t>
      </w:r>
      <w:r>
        <w:t>Full M4 feed-flow sensitivity at 1 bar. Panel (a) varies CO and H₂ at fixed N₂; panel (b) varies N₂ and H₂ at fixed CO. Circular points mark the Experiment 1 inlet flows; both panels share a color scale.</w:t>
      </w:r>
    </w:p>
    <w:p>
      <w:pPr>
        <w:ind w:firstLine="259"/>
      </w:pPr>
      <w:r>
        <w:t>At fixed N₂, conversion rises with H₂ supply relative to CO. In panel (b), added N₂ lowers conversion at fixed reactive flows; dilution and total inlet flow both change.</w:t>
      </w:r>
    </w:p>
    <w:p>
      <w:pPr>
        <w:pStyle w:val="Heading2"/>
      </w:pPr>
      <w:r>
        <w:t>Nitrogen-flow sensitivity at fixed reactive flows</w:t>
      </w:r>
    </w:p>
    <w:p>
      <w:pPr>
        <w:ind w:firstLine="259"/>
      </w:pPr>
      <w:r>
        <w:t>Figure 7 shows a 42-case N₂ sweep with CO held at 0.320 mol h⁻¹ and H₂ at 0.959 mol h⁻¹. As N₂ varies from 0.400 to 1.200 mol h⁻¹, predicted conversion falls from 88.14% to 70.34%; the reference N₂ flow of 0.799 mol h⁻¹ gives 78.72%. Since reactive flows are fixed, the curve captures the combined effect of dilution and increased total flow at 1 bar, below the fitted pressure range.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611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7_nitrogen_sensitiv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61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</w:rPr>
        <w:t xml:space="preserve">Figure 7. </w:t>
      </w:r>
      <w:r>
        <w:t>Full M4 conversion as N₂ flow changes with CO and H₂ held at their Experiment 1 values. The circular marker identifies the reference N₂ feed. The model is evaluated isothermally at 350 °C and 1 bar.</w:t>
      </w:r>
    </w:p>
    <w:p>
      <w:pPr>
        <w:pStyle w:val="Heading1"/>
      </w:pPr>
      <w:r>
        <w:t>Conclusions</w:t>
      </w:r>
    </w:p>
    <w:p>
      <w:pPr>
        <w:keepLines/>
        <w:ind w:firstLine="259"/>
      </w:pPr>
      <w:r>
        <w:t>At the selected 1 bar Experiment 1 conditions, Full M4 predicts 78.72% CO conversion, compared with the reported 40.63%. Because 1 bar lies below the fitted pressure range and the source gives conflicting pressure values, this difference does not establish predictive accuracy. In the separate assumed 5 bar bed, conversion reaches 95.81%, but the calculated 546.5 °C hot spot exceeds the published temperature-fit range. Over the specified sensitivity cases, conversion rises with H₂/CO and catalyst space time and falls as N₂ flow increases at fixed CO and H₂. An experimental comparison requires a resolved pressure basis, measured reactor geometry and packing, and kinetics for the catalyst and local bed conditions.</w:t>
      </w:r>
    </w:p>
    <w:p>
      <w:pPr>
        <w:pStyle w:val="Heading1"/>
      </w:pPr>
      <w:r>
        <w:t>References</w:t>
      </w:r>
    </w:p>
    <w:p>
      <w:pPr>
        <w:spacing w:after="30" w:line="240" w:lineRule="auto"/>
        <w:ind w:left="403" w:hanging="403"/>
      </w:pPr>
      <w:r>
        <w:rPr>
          <w:b/>
        </w:rPr>
        <w:t xml:space="preserve">[1] 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F. Celoria, F. Salomone, A. Tauro, et al., “Kinetic study and deactivation phenomena for the methanation of CO₂ and CO mixed syngas on a Ni/Al₂O₃ catalyst,” Chemical Engineering Journal, vol. 512, article 162113, 2025. doi: 10.1016/j.cej.2025.162113.</w:t>
      </w:r>
    </w:p>
    <w:p>
      <w:pPr>
        <w:spacing w:after="30" w:line="240" w:lineRule="auto"/>
        <w:ind w:left="403" w:hanging="403"/>
      </w:pPr>
      <w:r>
        <w:rPr>
          <w:b/>
        </w:rPr>
        <w:t xml:space="preserve">[2] 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J. Kopyscinski, T. J. Schildhauer, F. Vogel, S. M. A. Biollaz, and A. Wokaun, “Applying spatially resolved concentration and temperature measurements in a catalytic plate reactor for the kinetic study of CO methanation,” Journal of Catalysis, vol. 271, no. 2, pp. 262–279, 2010. doi: 10.1016/j.jcat.2010.02.008. See also the corrigendum, Journal of Catalysis, vol. 273, no. 1, p. 82, 2010. doi: 10.1016/j.jcat.2010.05.001.</w:t>
      </w:r>
    </w:p>
    <w:p>
      <w:pPr>
        <w:spacing w:after="30" w:line="240" w:lineRule="auto"/>
        <w:ind w:left="403" w:hanging="403"/>
      </w:pPr>
      <w:r>
        <w:rPr>
          <w:b/>
        </w:rPr>
        <w:t xml:space="preserve">[3] 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A. Quindimil, J. A. Onrubia-Calvo, A. Davó-Quiñonero, et al., “Intrinsic kinetics of CO₂ methanation on low-loaded Ni/Al₂O₃ catalyst: Mechanism, model discrimination and parameter estimation,” Journal of CO₂ Utilization, vol. 57, article 101888, 2022. doi: 10.1016/j.jcou.2022.101888.</w:t>
      </w:r>
    </w:p>
    <w:p>
      <w:pPr>
        <w:spacing w:after="30" w:line="240" w:lineRule="auto"/>
        <w:ind w:left="403" w:hanging="403"/>
      </w:pPr>
      <w:r>
        <w:rPr>
          <w:b/>
        </w:rPr>
        <w:t xml:space="preserve">[4] 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P. Virtanen, R. Gommers, T. E. Oliphant, et al., “SciPy 1.0: Fundamental algorithms for scientific computing in Python,” Nature Methods, vol. 17, pp. 261–272, 2020. doi: 10.1038/s41592-019-0686-2.</w:t>
      </w:r>
    </w:p>
    <w:p>
      <w:pPr>
        <w:spacing w:after="30" w:line="240" w:lineRule="auto"/>
        <w:ind w:left="403" w:hanging="403"/>
      </w:pPr>
      <w:r>
        <w:rPr>
          <w:b/>
        </w:rPr>
        <w:t xml:space="preserve">[5] 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Experiment 1 source report and data supplied with the project, unpublished project material.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81" w:bottom="979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Times New Roman" w:hAnsi="Times New Roman" w:eastAsia="Times New Roman"/>
        <w:b w:val="0"/>
        <w:i w:val="0"/>
        <w:color w:val="555555"/>
        <w:sz w:val="16"/>
      </w:rPr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Times New Roman" w:hAnsi="Times New Roman" w:eastAsia="Times New Roman"/>
        <w:b w:val="0"/>
        <w:i w:val="0"/>
        <w:color w:val="333333"/>
        <w:sz w:val="16"/>
      </w:rPr>
      <w:t>CO Methanation in a Fixed-Bed Reactor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10"/>
      <w:jc w:val="both"/>
    </w:pPr>
    <w:rPr>
      <w:rFonts w:ascii="Times New Roman" w:hAnsi="Times New Roman" w:eastAsia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7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52" w:lineRule="auto" w:before="40" w:after="140"/>
      <w:jc w:val="left"/>
    </w:pPr>
    <w:rPr>
      <w:rFonts w:ascii="Times New Roman" w:hAnsi="Times New Roman" w:eastAsia="Times New Roman"/>
      <w:b w:val="0"/>
      <w:bCs/>
      <w:i w:val="0"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One-Dimensional Modeling of CO Methanation in a Fixed-Bed Reactor</dc:title>
  <dc:subject>Reactor methodology, profiles, and operating sensitivities</dc:subject>
  <dc:creator>Barno and Ashiq</dc:creator>
  <cp:keywords>CO methanation, fixed bed, Full M4, SciPy, Radau, BDF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