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00" w:after="60"/>
        <w:jc w:val="center"/>
      </w:pPr>
      <w:r>
        <w:rPr>
          <w:rFonts w:ascii="Times New Roman" w:hAnsi="Times New Roman" w:eastAsia="Times New Roman"/>
          <w:b/>
          <w:i w:val="0"/>
          <w:color w:val="000000"/>
          <w:sz w:val="40"/>
        </w:rPr>
        <w:t>Fixed Bed CO Methanation Reactor Model Analysis</w:t>
      </w:r>
    </w:p>
    <w:p>
      <w:pPr>
        <w:keepNext/>
        <w:spacing w:after="100"/>
        <w:jc w:val="center"/>
      </w:pPr>
      <w:r>
        <w:rPr>
          <w:rFonts w:ascii="Times New Roman" w:hAnsi="Times New Roman" w:eastAsia="Times New Roman"/>
          <w:b w:val="0"/>
          <w:i/>
          <w:color w:val="333333"/>
          <w:sz w:val="21"/>
        </w:rPr>
        <w:t>Governing balances, axial profiles, and operating-condition sensitivity</w:t>
      </w:r>
    </w:p>
    <w:p>
      <w:pPr>
        <w:keepNext/>
        <w:spacing w:after="240"/>
        <w:jc w:val="center"/>
      </w:pPr>
      <w:r>
        <w:rPr>
          <w:rFonts w:ascii="Times New Roman" w:hAnsi="Times New Roman" w:eastAsia="Times New Roman"/>
          <w:b w:val="0"/>
          <w:i w:val="0"/>
          <w:color w:val="000000"/>
          <w:sz w:val="21"/>
        </w:rPr>
        <w:t>Barno and Ashiq</w:t>
      </w:r>
    </w:p>
    <w:p>
      <w:pPr>
        <w:keepNext/>
        <w:spacing w:after="60"/>
      </w:pPr>
      <w:r>
        <w:rPr>
          <w:rFonts w:ascii="Times New Roman" w:hAnsi="Times New Roman" w:eastAsia="Times New Roman"/>
          <w:b/>
          <w:i w:val="0"/>
          <w:color w:val="000000"/>
          <w:sz w:val="21"/>
        </w:rPr>
        <w:t>Abstract</w:t>
      </w:r>
    </w:p>
    <w:p>
      <w:pPr>
        <w:spacing w:after="100" w:line="254" w:lineRule="auto"/>
        <w:ind w:left="173" w:right="173"/>
        <w:jc w:val="both"/>
      </w:pPr>
      <w:r>
        <w:rPr>
          <w:rFonts w:ascii="Times New Roman" w:hAnsi="Times New Roman" w:eastAsia="Times New Roman"/>
          <w:b w:val="0"/>
          <w:i w:val="0"/>
          <w:color w:val="000000"/>
          <w:sz w:val="19"/>
        </w:rPr>
        <w:t>A one-dimensional fixed-bed reactor model is used to examine CO methanation, compare independent literature kinetics with the reported Experiment 1 result, and quantify sensitivity to selected operating inputs. The full M4 formulation couples CO and CO₂ methanation with water-gas shift, species balances, heat exchange, and Ergun pressure drop. At 350 °C and 1 bar absolute, the no-fit Full M4 prediction is 78.72% CO conversion, compared with the source-reported 40.63%. This comparison is conditional: 1 bar is below the Full M4 fitted pressure interval of 5–15 bar, and the source report gives conflicting pressure entries. A separate assumed 5 bar case predicts 95.81% conversion and a peak gas temperature of 819.7 K. Sensitivity sweeps show substantial dependence on H₂/CO ratio, catalyst space time, and nitrogen flow. These results describe model behavior under stated inputs; they do not validate the model against the experiment. Integrations used SciPy solve_ivp with the Radau or BDF stiff solver, as specified for each simulation case.</w:t>
      </w:r>
    </w:p>
    <w:p>
      <w:pPr>
        <w:spacing w:after="160"/>
      </w:pPr>
      <w:r>
        <w:rPr>
          <w:rFonts w:ascii="Times New Roman" w:hAnsi="Times New Roman" w:eastAsia="Times New Roman"/>
          <w:b/>
          <w:i w:val="0"/>
          <w:color w:val="000000"/>
          <w:sz w:val="18"/>
        </w:rPr>
        <w:t xml:space="preserve">Keywords  </w:t>
      </w:r>
      <w:r>
        <w:rPr>
          <w:rFonts w:ascii="Times New Roman" w:hAnsi="Times New Roman" w:eastAsia="Times New Roman"/>
          <w:b w:val="0"/>
          <w:i w:val="0"/>
          <w:color w:val="000000"/>
          <w:sz w:val="18"/>
        </w:rPr>
        <w:t>CO methanation; fixed-bed reactor; Full M4 kinetics; stiff ODE integration; sensitivity analysis</w:t>
      </w:r>
    </w:p>
    <w:p>
      <w:pPr>
        <w:pStyle w:val="Heading1"/>
      </w:pPr>
      <w:r>
        <w:t>Introduction</w:t>
      </w:r>
    </w:p>
    <w:p>
      <w:pPr>
        <w:ind w:firstLine="259"/>
      </w:pPr>
      <w:r>
        <w:t>CO methanation converts carbon monoxide and hydrogen to methane and water. A reactor model for this exothermic system must track changes in gas composition along with heat release and pressure loss. Literature kinetic expressions can also behave differently when transferred between catalysts or outside their fitted ranges.</w:t>
      </w:r>
    </w:p>
    <w:p>
      <w:pPr>
        <w:ind w:firstLine="259"/>
      </w:pPr>
      <w:r>
        <w:t>This study applies the Full M4 rate model reported for mixed CO and CO₂ methanation to a one-dimensional fixed-bed calculation [1]. It first compares a no-fit prediction with the Experiment 1 source value at a common 1 bar basis, alongside two separate literature rate formulations [2, 3]. It then examines an assumed reactor profile and saved parameter sweeps. The comparison and sweeps retain their domain limits and input assumptions; no kinetic parameter is adjusted to match the reported conversion.</w:t>
      </w:r>
    </w:p>
    <w:p>
      <w:pPr>
        <w:pStyle w:val="Heading1"/>
      </w:pPr>
      <w:r>
        <w:t>Methodology</w:t>
      </w:r>
    </w:p>
    <w:p>
      <w:pPr>
        <w:pStyle w:val="Heading2"/>
      </w:pPr>
      <w:r>
        <w:t>Reactor model and reaction network</w:t>
      </w:r>
    </w:p>
    <w:p>
      <w:pPr>
        <w:ind w:firstLine="259"/>
      </w:pPr>
      <w:r>
        <w:t>The bed is represented as a steady, one-dimensional plug-flow reactor. The Full M4 network contains three reversible reactions, written below in the forward directions used to define the stoichiometric matrix. The WGS rate sign is converted consistently from the published reverse water-gas-shift convention when required by a source model.</w:t>
      </w:r>
    </w:p>
    <w:p>
      <w:pPr>
        <w:pStyle w:val="ListBullet"/>
        <w:spacing w:after="56"/>
        <w:ind w:left="360" w:hanging="202"/>
      </w:pPr>
      <w:r>
        <w:t>CO₂ + 4 H₂ ⇌ CH₄ + 2 H₂O</w:t>
      </w:r>
    </w:p>
    <w:p>
      <w:pPr>
        <w:pStyle w:val="ListBullet"/>
        <w:spacing w:after="56"/>
        <w:ind w:left="360" w:hanging="202"/>
      </w:pPr>
      <w:r>
        <w:t>CO + 3 H₂ ⇌ CH₄ + H₂O</w:t>
      </w:r>
    </w:p>
    <w:p>
      <w:pPr>
        <w:pStyle w:val="ListBullet"/>
        <w:spacing w:after="56"/>
        <w:ind w:left="360" w:hanging="202"/>
      </w:pPr>
      <w:r>
        <w:t>CO + H₂O ⇌ CO₂ + H₂</w:t>
      </w:r>
    </w:p>
    <w:p>
      <w:pPr>
        <w:ind w:firstLine="259"/>
      </w:pPr>
      <w:r>
        <w:t>Full M4 local rates are evaluated from temperature and gas partial pressures using the published Langmuir–Hinshelwood–Hougen–Watson form and central parameter values [1]. For comparison, the Kopyscinski implementation uses the corrected square-root CO adsorption term from its published corrigendum [2]. The Quindimil implementation uses its reported CO₂/H₂ kinetic basis; the limitation in transferring that rate law to a CO/H₂/N₂ inlet is treated explicitly in the results [3].</w:t>
      </w:r>
    </w:p>
    <w:p>
      <w:pPr>
        <w:pStyle w:val="Heading2"/>
      </w:pPr>
      <w:r>
        <w:t>Material, energy, and momentum balances</w:t>
      </w:r>
    </w:p>
    <w:p>
      <w:pPr>
        <w:ind w:firstLine="259"/>
      </w:pPr>
      <w:r>
        <w:t>Species molar flows Fᵢ are integrated with catalyst mass W as the independent coordinate. The activity factor a multiplies each net reaction rate rⱼ. Local partial pressures follow the ideal-gas mixture relation pᵢ = yᵢP, and concentrations are calculated from cᵢ = pᵢ/(RT).</w:t>
      </w:r>
    </w:p>
    <w:p>
      <w:pPr>
        <w:keepLines/>
        <w:tabs>
          <w:tab w:pos="4680" w:val="center"/>
          <w:tab w:pos="9331" w:val="right"/>
        </w:tabs>
        <w:spacing w:before="40" w:after="80"/>
        <w:ind w:left="0" w:right="0"/>
      </w:pPr>
      <w:r>
        <w:tab/>
      </w:r>
      <w:r>
        <w:rPr>
          <w:rFonts w:ascii="Cambria Math" w:hAnsi="Cambria Math" w:eastAsia="Cambria Math"/>
          <w:b w:val="0"/>
          <w:i w:val="0"/>
          <w:color w:val="000000"/>
          <w:sz w:val="18"/>
        </w:rPr>
        <w:t>dFᵢ/dW = a ∑ⱼ νᵢⱼ rⱼ</w:t>
      </w:r>
      <w:r>
        <w:tab/>
      </w:r>
      <w:r>
        <w:rPr>
          <w:rFonts w:ascii="Times New Roman" w:hAnsi="Times New Roman" w:eastAsia="Times New Roman"/>
          <w:b w:val="0"/>
          <w:i w:val="0"/>
          <w:color w:val="000000"/>
          <w:sz w:val="18"/>
        </w:rPr>
        <w:t>(1)</w:t>
      </w:r>
    </w:p>
    <w:p>
      <w:pPr>
        <w:ind w:firstLine="259"/>
      </w:pPr>
      <w:r>
        <w:t>For non-isothermal cases, the gas energy balance includes reaction heat and, when enabled, heat transfer to a wall held at T_w. The model uses the species heat-capacity flow in the denominator and a cylindrical heat-transfer area per bed volume of 4/D_t.</w:t>
      </w:r>
    </w:p>
    <w:p>
      <w:pPr>
        <w:keepLines/>
        <w:tabs>
          <w:tab w:pos="4680" w:val="center"/>
          <w:tab w:pos="9331" w:val="right"/>
        </w:tabs>
        <w:spacing w:before="40" w:after="80"/>
        <w:ind w:left="0" w:right="0"/>
      </w:pPr>
      <w:r>
        <w:tab/>
      </w:r>
      <w:r>
        <w:rPr>
          <w:rFonts w:ascii="Cambria Math" w:hAnsi="Cambria Math" w:eastAsia="Cambria Math"/>
          <w:b w:val="0"/>
          <w:i w:val="0"/>
          <w:color w:val="000000"/>
          <w:sz w:val="18"/>
        </w:rPr>
        <w:t>dT/dW = [−a ∑ⱼ ΔHⱼ rⱼ − (4U/(Dₜρ_cat))(T − T_w)] / [∑ᵢ Fᵢ Cₚ,ᵢ]</w:t>
      </w:r>
      <w:r>
        <w:tab/>
      </w:r>
      <w:r>
        <w:rPr>
          <w:rFonts w:ascii="Times New Roman" w:hAnsi="Times New Roman" w:eastAsia="Times New Roman"/>
          <w:b w:val="0"/>
          <w:i w:val="0"/>
          <w:color w:val="000000"/>
          <w:sz w:val="18"/>
        </w:rPr>
        <w:t>(2)</w:t>
      </w:r>
    </w:p>
    <w:p>
      <w:pPr>
        <w:ind w:firstLine="259"/>
      </w:pPr>
      <w:r>
        <w:t>Pressure loss is computed from the viscous and inertial terms of the Ergun equation. The axial pressure gradient is converted to the catalyst-mass coordinate using the bed cross-sectional area A_c and catalyst loading per bed volume ρ_cat.</w:t>
      </w:r>
    </w:p>
    <w:p>
      <w:pPr>
        <w:keepLines/>
        <w:tabs>
          <w:tab w:pos="4680" w:val="center"/>
          <w:tab w:pos="9331" w:val="right"/>
        </w:tabs>
        <w:spacing w:before="40" w:after="80"/>
        <w:ind w:left="0" w:right="0"/>
      </w:pPr>
      <w:r>
        <w:tab/>
      </w:r>
      <w:r>
        <w:rPr>
          <w:rFonts w:ascii="Cambria Math" w:hAnsi="Cambria Math" w:eastAsia="Cambria Math"/>
          <w:b w:val="0"/>
          <w:i w:val="0"/>
          <w:color w:val="000000"/>
          <w:sz w:val="18"/>
        </w:rPr>
        <w:t>dP/dW = −[150μ(1−ε)²u/(dₚ²ε³) + 1.75ρ_g(1−ε)u²/(dₚε³)]/(ρ_cat A_c)</w:t>
      </w:r>
      <w:r>
        <w:tab/>
      </w:r>
      <w:r>
        <w:rPr>
          <w:rFonts w:ascii="Times New Roman" w:hAnsi="Times New Roman" w:eastAsia="Times New Roman"/>
          <w:b w:val="0"/>
          <w:i w:val="0"/>
          <w:color w:val="000000"/>
          <w:sz w:val="18"/>
        </w:rPr>
        <w:t>(3)</w:t>
      </w:r>
    </w:p>
    <w:p>
      <w:pPr>
        <w:keepLines/>
        <w:tabs>
          <w:tab w:pos="4680" w:val="center"/>
          <w:tab w:pos="9331" w:val="right"/>
        </w:tabs>
        <w:spacing w:before="40" w:after="80"/>
        <w:ind w:left="0" w:right="0"/>
      </w:pPr>
      <w:r>
        <w:tab/>
      </w:r>
      <w:r>
        <w:rPr>
          <w:rFonts w:ascii="Cambria Math" w:hAnsi="Cambria Math" w:eastAsia="Cambria Math"/>
          <w:b w:val="0"/>
          <w:i w:val="0"/>
          <w:color w:val="000000"/>
          <w:sz w:val="18"/>
        </w:rPr>
        <w:t>X_CO = 100(F_CO,0 − F_CO,out)/F_CO,0;   τ_cat = W_cat/F_CO,0</w:t>
      </w:r>
      <w:r>
        <w:tab/>
      </w:r>
      <w:r>
        <w:rPr>
          <w:rFonts w:ascii="Times New Roman" w:hAnsi="Times New Roman" w:eastAsia="Times New Roman"/>
          <w:b w:val="0"/>
          <w:i w:val="0"/>
          <w:color w:val="000000"/>
          <w:sz w:val="18"/>
        </w:rPr>
        <w:t>(4)</w:t>
      </w:r>
    </w:p>
    <w:p>
      <w:pPr>
        <w:pStyle w:val="Heading2"/>
      </w:pPr>
      <w:r>
        <w:t>Numerical solution and simulation cases</w:t>
      </w:r>
    </w:p>
    <w:p>
      <w:pPr>
        <w:ind w:firstLine="259"/>
      </w:pPr>
      <w:r>
        <w:t>The Python implementation integrates the balance equations with scipy.integrate.solve_ivp from SciPy 1.18.1 [4]. The reactor equations are solved with the implicit stiff methods Radau or BDF. The principal profile configurations use relative tolerance 10⁻⁶, absolute flow tolerance 10⁻¹⁰ mol s⁻¹, temperature tolerance 10⁻⁵ K, and pressure tolerance 0.1 Pa. The independent literature-model profiles use Radau with relative tolerance 10⁻⁸ and absolute flow tolerance 10⁻¹⁴ mol s⁻¹. Dense solver output is sampled at 401 positions for reactor profiles and 101 catalyst-mass positions for the three-model comparison. The saved sweeps report completed-bed outlet metrics.</w:t>
      </w:r>
    </w:p>
    <w:p>
      <w:pPr>
        <w:ind w:firstLine="259"/>
      </w:pPr>
      <w:r>
        <w:t>A dry CO/H₂ inlet has zero initial H₂O, while the Full M4 CO₂ rate contains a water pressure denominator. The implementation uses a derived near-inlet series start for the stiff integration rather than adding an artificial steam feed.</w:t>
      </w:r>
    </w:p>
    <w:p>
      <w:pPr>
        <w:pStyle w:val="Caption"/>
        <w:keepNext/>
      </w:pPr>
      <w:r>
        <w:rPr>
          <w:b/>
        </w:rPr>
        <w:t xml:space="preserve">Table 1. </w:t>
      </w:r>
      <w:r>
        <w:t>Simulation cases represented in the figures.</w:t>
      </w:r>
    </w:p>
    <w:tbl>
      <w:tblPr>
        <w:tblW w:type="auto" w:w="0"/>
        <w:jc w:val="center"/>
        <w:tblLayout w:type="fixed"/>
        <w:tblLook w:firstColumn="1" w:firstRow="1" w:lastColumn="0" w:lastRow="0" w:noHBand="0" w:noVBand="1" w:val="04A0"/>
        <w:tblBorders>
          <w:top w:val="single" w:sz="5" w:space="0" w:color="D0D7DC"/>
          <w:left w:val="single" w:sz="5" w:space="0" w:color="D0D7DC"/>
          <w:bottom w:val="single" w:sz="5" w:space="0" w:color="D0D7DC"/>
          <w:right w:val="single" w:sz="5" w:space="0" w:color="D0D7DC"/>
          <w:insideH w:val="single" w:sz="5" w:space="0" w:color="D0D7DC"/>
          <w:insideV w:val="single" w:sz="5" w:space="0" w:color="D0D7DC"/>
        </w:tblBorders>
      </w:tblPr>
      <w:tblGrid>
        <w:gridCol w:w="3182"/>
        <w:gridCol w:w="3182"/>
        <w:gridCol w:w="3182"/>
      </w:tblGrid>
      <w:tr>
        <w:trPr>
          <w:tblHeader w:val="true"/>
        </w:trPr>
        <w:tc>
          <w:tcPr>
            <w:tcW w:type="dxa" w:w="2045"/>
            <w:vAlign w:val="center"/>
            <w:shd w:fill="FFFFFF" w:val="clear"/>
            <w:tcMar>
              <w:top w:w="95" w:type="dxa"/>
              <w:start w:w="105" w:type="dxa"/>
              <w:bottom w:w="95" w:type="dxa"/>
              <w:end w:w="105" w:type="dxa"/>
            </w:tcMar>
          </w:tcPr>
          <w:p>
            <w:pPr>
              <w:spacing w:after="0" w:line="245" w:lineRule="auto"/>
              <w:jc w:val="left"/>
            </w:pPr>
            <w:r>
              <w:rPr>
                <w:rFonts w:ascii="Times New Roman" w:hAnsi="Times New Roman" w:eastAsia="Times New Roman"/>
                <w:b/>
                <w:i w:val="0"/>
                <w:color w:val="000000"/>
                <w:sz w:val="17"/>
              </w:rPr>
              <w:t>Case</w:t>
            </w:r>
          </w:p>
        </w:tc>
        <w:tc>
          <w:tcPr>
            <w:tcW w:type="dxa" w:w="5098"/>
            <w:vAlign w:val="center"/>
            <w:shd w:fill="FFFFFF" w:val="clear"/>
            <w:tcMar>
              <w:top w:w="95" w:type="dxa"/>
              <w:start w:w="105" w:type="dxa"/>
              <w:bottom w:w="95" w:type="dxa"/>
              <w:end w:w="105" w:type="dxa"/>
            </w:tcMar>
          </w:tcPr>
          <w:p>
            <w:pPr>
              <w:spacing w:after="0" w:line="245" w:lineRule="auto"/>
              <w:jc w:val="left"/>
            </w:pPr>
            <w:r>
              <w:rPr>
                <w:rFonts w:ascii="Times New Roman" w:hAnsi="Times New Roman" w:eastAsia="Times New Roman"/>
                <w:b/>
                <w:i w:val="0"/>
                <w:color w:val="000000"/>
                <w:sz w:val="17"/>
              </w:rPr>
              <w:t>Conditions and varied inputs</w:t>
            </w:r>
          </w:p>
        </w:tc>
        <w:tc>
          <w:tcPr>
            <w:tcW w:type="dxa" w:w="2160"/>
            <w:vAlign w:val="center"/>
            <w:shd w:fill="FFFFFF" w:val="clear"/>
            <w:tcMar>
              <w:top w:w="95" w:type="dxa"/>
              <w:start w:w="105" w:type="dxa"/>
              <w:bottom w:w="95" w:type="dxa"/>
              <w:end w:w="105" w:type="dxa"/>
            </w:tcMar>
          </w:tcPr>
          <w:p>
            <w:pPr>
              <w:spacing w:after="0" w:line="245" w:lineRule="auto"/>
              <w:jc w:val="left"/>
            </w:pPr>
            <w:r>
              <w:rPr>
                <w:rFonts w:ascii="Times New Roman" w:hAnsi="Times New Roman" w:eastAsia="Times New Roman"/>
                <w:b/>
                <w:i w:val="0"/>
                <w:color w:val="000000"/>
                <w:sz w:val="17"/>
              </w:rPr>
              <w:t>Integrator and coverage</w:t>
            </w:r>
          </w:p>
        </w:tc>
      </w:tr>
      <w:tr>
        <w:tc>
          <w:tcPr>
            <w:tcW w:type="dxa" w:w="2045"/>
            <w:vAlign w:val="center"/>
            <w:tcMar>
              <w:top w:w="95" w:type="dxa"/>
              <w:start w:w="105" w:type="dxa"/>
              <w:bottom w:w="95" w:type="dxa"/>
              <w:end w:w="105" w:type="dxa"/>
            </w:tcMar>
          </w:tcPr>
          <w:p>
            <w:pPr>
              <w:spacing w:after="0" w:line="250" w:lineRule="auto"/>
              <w:jc w:val="left"/>
            </w:pPr>
            <w:r>
              <w:rPr>
                <w:rFonts w:ascii="Times New Roman" w:hAnsi="Times New Roman" w:eastAsia="Times New Roman"/>
                <w:b/>
                <w:i w:val="0"/>
                <w:color w:val="000000"/>
                <w:sz w:val="16"/>
              </w:rPr>
              <w:t>Three-model comparison</w:t>
            </w:r>
          </w:p>
        </w:tc>
        <w:tc>
          <w:tcPr>
            <w:tcW w:type="dxa" w:w="5098"/>
            <w:vAlign w:val="center"/>
            <w:tcMar>
              <w:top w:w="95" w:type="dxa"/>
              <w:start w:w="105" w:type="dxa"/>
              <w:bottom w:w="95" w:type="dxa"/>
              <w:end w:w="105" w:type="dxa"/>
            </w:tcMar>
          </w:tcPr>
          <w:p>
            <w:pPr>
              <w:spacing w:after="0" w:line="250" w:lineRule="auto"/>
              <w:jc w:val="center"/>
            </w:pPr>
            <w:r>
              <w:rPr>
                <w:rFonts w:ascii="Times New Roman" w:hAnsi="Times New Roman" w:eastAsia="Times New Roman"/>
                <w:b w:val="0"/>
                <w:i w:val="0"/>
                <w:color w:val="000000"/>
                <w:sz w:val="16"/>
              </w:rPr>
              <w:t>350 °C; 1 bar abs.; 3.12 g; fixed Experiment 1 inlet flows; isothermal</w:t>
            </w:r>
          </w:p>
        </w:tc>
        <w:tc>
          <w:tcPr>
            <w:tcW w:type="dxa" w:w="2160"/>
            <w:vAlign w:val="center"/>
            <w:tcMar>
              <w:top w:w="95" w:type="dxa"/>
              <w:start w:w="105" w:type="dxa"/>
              <w:bottom w:w="95" w:type="dxa"/>
              <w:end w:w="105" w:type="dxa"/>
            </w:tcMar>
          </w:tcPr>
          <w:p>
            <w:pPr>
              <w:spacing w:after="0" w:line="250" w:lineRule="auto"/>
              <w:jc w:val="left"/>
            </w:pPr>
            <w:r>
              <w:rPr>
                <w:rFonts w:ascii="Times New Roman" w:hAnsi="Times New Roman" w:eastAsia="Times New Roman"/>
                <w:b w:val="0"/>
                <w:i w:val="0"/>
                <w:color w:val="000000"/>
                <w:sz w:val="16"/>
              </w:rPr>
              <w:t>Radau; 101 profile points per model</w:t>
            </w:r>
          </w:p>
        </w:tc>
      </w:tr>
      <w:tr>
        <w:tc>
          <w:tcPr>
            <w:tcW w:type="dxa" w:w="2045"/>
            <w:vAlign w:val="center"/>
            <w:tcMar>
              <w:top w:w="95" w:type="dxa"/>
              <w:start w:w="105" w:type="dxa"/>
              <w:bottom w:w="95" w:type="dxa"/>
              <w:end w:w="105" w:type="dxa"/>
            </w:tcMar>
          </w:tcPr>
          <w:p>
            <w:pPr>
              <w:spacing w:after="0" w:line="250" w:lineRule="auto"/>
              <w:jc w:val="left"/>
            </w:pPr>
            <w:r>
              <w:rPr>
                <w:rFonts w:ascii="Times New Roman" w:hAnsi="Times New Roman" w:eastAsia="Times New Roman"/>
                <w:b/>
                <w:i w:val="0"/>
                <w:color w:val="000000"/>
                <w:sz w:val="16"/>
              </w:rPr>
              <w:t>Assumed Full M4 profile</w:t>
            </w:r>
          </w:p>
        </w:tc>
        <w:tc>
          <w:tcPr>
            <w:tcW w:type="dxa" w:w="5098"/>
            <w:vAlign w:val="center"/>
            <w:tcMar>
              <w:top w:w="95" w:type="dxa"/>
              <w:start w:w="105" w:type="dxa"/>
              <w:bottom w:w="95" w:type="dxa"/>
              <w:end w:w="105" w:type="dxa"/>
            </w:tcMar>
          </w:tcPr>
          <w:p>
            <w:pPr>
              <w:spacing w:after="0" w:line="250" w:lineRule="auto"/>
              <w:jc w:val="center"/>
            </w:pPr>
            <w:r>
              <w:rPr>
                <w:rFonts w:ascii="Times New Roman" w:hAnsi="Times New Roman" w:eastAsia="Times New Roman"/>
                <w:b w:val="0"/>
                <w:i w:val="0"/>
                <w:color w:val="000000"/>
                <w:sz w:val="16"/>
              </w:rPr>
              <w:t>350 °C; 5 bar; CO:H₂:N₂ = 1:4:25; heat exchange; Ergun drop</w:t>
            </w:r>
          </w:p>
        </w:tc>
        <w:tc>
          <w:tcPr>
            <w:tcW w:type="dxa" w:w="2160"/>
            <w:vAlign w:val="center"/>
            <w:tcMar>
              <w:top w:w="95" w:type="dxa"/>
              <w:start w:w="105" w:type="dxa"/>
              <w:bottom w:w="95" w:type="dxa"/>
              <w:end w:w="105" w:type="dxa"/>
            </w:tcMar>
          </w:tcPr>
          <w:p>
            <w:pPr>
              <w:spacing w:after="0" w:line="250" w:lineRule="auto"/>
              <w:jc w:val="left"/>
            </w:pPr>
            <w:r>
              <w:rPr>
                <w:rFonts w:ascii="Times New Roman" w:hAnsi="Times New Roman" w:eastAsia="Times New Roman"/>
                <w:b w:val="0"/>
                <w:i w:val="0"/>
                <w:color w:val="000000"/>
                <w:sz w:val="16"/>
              </w:rPr>
              <w:t>Radau; 401 axial output points</w:t>
            </w:r>
          </w:p>
        </w:tc>
      </w:tr>
      <w:tr>
        <w:tc>
          <w:tcPr>
            <w:tcW w:type="dxa" w:w="2045"/>
            <w:vAlign w:val="center"/>
            <w:tcMar>
              <w:top w:w="95" w:type="dxa"/>
              <w:start w:w="105" w:type="dxa"/>
              <w:bottom w:w="95" w:type="dxa"/>
              <w:end w:w="105" w:type="dxa"/>
            </w:tcMar>
          </w:tcPr>
          <w:p>
            <w:pPr>
              <w:spacing w:after="0" w:line="250" w:lineRule="auto"/>
              <w:jc w:val="left"/>
            </w:pPr>
            <w:r>
              <w:rPr>
                <w:rFonts w:ascii="Times New Roman" w:hAnsi="Times New Roman" w:eastAsia="Times New Roman"/>
                <w:b/>
                <w:i w:val="0"/>
                <w:color w:val="000000"/>
                <w:sz w:val="16"/>
              </w:rPr>
              <w:t>Temperature–pressure sweep</w:t>
            </w:r>
          </w:p>
        </w:tc>
        <w:tc>
          <w:tcPr>
            <w:tcW w:type="dxa" w:w="5098"/>
            <w:vAlign w:val="center"/>
            <w:tcMar>
              <w:top w:w="95" w:type="dxa"/>
              <w:start w:w="105" w:type="dxa"/>
              <w:bottom w:w="95" w:type="dxa"/>
              <w:end w:w="105" w:type="dxa"/>
            </w:tcMar>
          </w:tcPr>
          <w:p>
            <w:pPr>
              <w:spacing w:after="0" w:line="250" w:lineRule="auto"/>
              <w:jc w:val="center"/>
            </w:pPr>
            <w:r>
              <w:rPr>
                <w:rFonts w:ascii="Times New Roman" w:hAnsi="Times New Roman" w:eastAsia="Times New Roman"/>
                <w:b w:val="0"/>
                <w:i w:val="0"/>
                <w:color w:val="000000"/>
                <w:sz w:val="16"/>
              </w:rPr>
              <w:t>22 × 22 grid; inlet temperature 250–400 °C; pressure 1–15 bar</w:t>
            </w:r>
          </w:p>
        </w:tc>
        <w:tc>
          <w:tcPr>
            <w:tcW w:type="dxa" w:w="2160"/>
            <w:vAlign w:val="center"/>
            <w:tcMar>
              <w:top w:w="95" w:type="dxa"/>
              <w:start w:w="105" w:type="dxa"/>
              <w:bottom w:w="95" w:type="dxa"/>
              <w:end w:w="105" w:type="dxa"/>
            </w:tcMar>
          </w:tcPr>
          <w:p>
            <w:pPr>
              <w:spacing w:after="0" w:line="250" w:lineRule="auto"/>
              <w:jc w:val="left"/>
            </w:pPr>
            <w:r>
              <w:rPr>
                <w:rFonts w:ascii="Times New Roman" w:hAnsi="Times New Roman" w:eastAsia="Times New Roman"/>
                <w:b w:val="0"/>
                <w:i w:val="0"/>
                <w:color w:val="000000"/>
                <w:sz w:val="16"/>
              </w:rPr>
              <w:t>Radau; 484 cases completed</w:t>
            </w:r>
          </w:p>
        </w:tc>
      </w:tr>
      <w:tr>
        <w:tc>
          <w:tcPr>
            <w:tcW w:type="dxa" w:w="2045"/>
            <w:vAlign w:val="center"/>
            <w:tcMar>
              <w:top w:w="95" w:type="dxa"/>
              <w:start w:w="105" w:type="dxa"/>
              <w:bottom w:w="95" w:type="dxa"/>
              <w:end w:w="105" w:type="dxa"/>
            </w:tcMar>
          </w:tcPr>
          <w:p>
            <w:pPr>
              <w:spacing w:after="0" w:line="250" w:lineRule="auto"/>
              <w:jc w:val="left"/>
            </w:pPr>
            <w:r>
              <w:rPr>
                <w:rFonts w:ascii="Times New Roman" w:hAnsi="Times New Roman" w:eastAsia="Times New Roman"/>
                <w:b/>
                <w:i w:val="0"/>
                <w:color w:val="000000"/>
                <w:sz w:val="16"/>
              </w:rPr>
              <w:t>Composition sensitivities</w:t>
            </w:r>
          </w:p>
        </w:tc>
        <w:tc>
          <w:tcPr>
            <w:tcW w:type="dxa" w:w="5098"/>
            <w:vAlign w:val="center"/>
            <w:tcMar>
              <w:top w:w="95" w:type="dxa"/>
              <w:start w:w="105" w:type="dxa"/>
              <w:bottom w:w="95" w:type="dxa"/>
              <w:end w:w="105" w:type="dxa"/>
            </w:tcMar>
          </w:tcPr>
          <w:p>
            <w:pPr>
              <w:spacing w:after="0" w:line="250" w:lineRule="auto"/>
              <w:jc w:val="center"/>
            </w:pPr>
            <w:r>
              <w:rPr>
                <w:rFonts w:ascii="Times New Roman" w:hAnsi="Times New Roman" w:eastAsia="Times New Roman"/>
                <w:b w:val="0"/>
                <w:i w:val="0"/>
                <w:color w:val="000000"/>
                <w:sz w:val="16"/>
              </w:rPr>
              <w:t>H₂/CO–space time, feed-flow and isolated N₂ sweeps at 1 bar</w:t>
            </w:r>
          </w:p>
        </w:tc>
        <w:tc>
          <w:tcPr>
            <w:tcW w:type="dxa" w:w="2160"/>
            <w:vAlign w:val="center"/>
            <w:tcMar>
              <w:top w:w="95" w:type="dxa"/>
              <w:start w:w="105" w:type="dxa"/>
              <w:bottom w:w="95" w:type="dxa"/>
              <w:end w:w="105" w:type="dxa"/>
            </w:tcMar>
          </w:tcPr>
          <w:p>
            <w:pPr>
              <w:spacing w:after="0" w:line="250" w:lineRule="auto"/>
              <w:jc w:val="left"/>
            </w:pPr>
            <w:r>
              <w:rPr>
                <w:rFonts w:ascii="Times New Roman" w:hAnsi="Times New Roman" w:eastAsia="Times New Roman"/>
                <w:b w:val="0"/>
                <w:i w:val="0"/>
                <w:color w:val="000000"/>
                <w:sz w:val="16"/>
              </w:rPr>
              <w:t>BDF; 462, 819 and 42 cases completed</w:t>
            </w:r>
          </w:p>
        </w:tc>
      </w:tr>
    </w:tbl>
    <w:p>
      <w:pPr>
        <w:spacing w:after="20"/>
      </w:pPr>
    </w:p>
    <w:p>
      <w:pPr>
        <w:ind w:firstLine="259"/>
      </w:pPr>
      <w:r>
        <w:t>The Full M4 kinetic fit covers 250–400 °C and 5–15 bar. Values interpolated between the reported fit nodes remain model interpolations. The 1 bar Experiment 1 comparisons and sensitivities are pressure extrapolations. The assumed reactor case uses a 0.0254 m tube, 0.3048 m bed, 0.4 void fraction, 3 mm particles, and 750 kg catalyst m⁻³ bed; these are specified modelling inputs, not dimensions or packing measurements confirmed by Experiment 1.</w:t>
      </w:r>
    </w:p>
    <w:p>
      <w:pPr>
        <w:pStyle w:val="Heading1"/>
      </w:pPr>
      <w:r>
        <w:t>Results and Discussion</w:t>
      </w:r>
    </w:p>
    <w:p>
      <w:pPr>
        <w:pStyle w:val="Heading2"/>
      </w:pPr>
      <w:r>
        <w:t>No-fit comparison with Experiment 1</w:t>
      </w:r>
    </w:p>
    <w:p>
      <w:pPr>
        <w:ind w:firstLine="259"/>
      </w:pPr>
      <w:r>
        <w:t>The common comparison basis is 350 °C, 1.00 bar absolute, 3.12 g catalyst, and inlet flows of 0.320 mol h⁻¹ CO, 0.959 mol h⁻¹ H₂, and 0.799 mol h⁻¹ N₂. The source reports 40.63% CO conversion [5]. No rate or activity parameter was fitted to that value.</w:t>
      </w:r>
    </w:p>
    <w:p>
      <w:pPr>
        <w:pStyle w:val="Caption"/>
        <w:keepNext/>
      </w:pPr>
      <w:r>
        <w:rPr>
          <w:b/>
        </w:rPr>
        <w:t xml:space="preserve">Table 2. </w:t>
      </w:r>
      <w:r>
        <w:t>Independent model predictions at the common Experiment 1 basis.</w:t>
      </w:r>
    </w:p>
    <w:tbl>
      <w:tblPr>
        <w:tblW w:type="auto" w:w="0"/>
        <w:jc w:val="center"/>
        <w:tblLayout w:type="fixed"/>
        <w:tblLook w:firstColumn="1" w:firstRow="1" w:lastColumn="0" w:lastRow="0" w:noHBand="0" w:noVBand="1" w:val="04A0"/>
        <w:tblBorders>
          <w:top w:val="single" w:sz="5" w:space="0" w:color="D0D7DC"/>
          <w:left w:val="single" w:sz="5" w:space="0" w:color="D0D7DC"/>
          <w:bottom w:val="single" w:sz="5" w:space="0" w:color="D0D7DC"/>
          <w:right w:val="single" w:sz="5" w:space="0" w:color="D0D7DC"/>
          <w:insideH w:val="single" w:sz="5" w:space="0" w:color="D0D7DC"/>
          <w:insideV w:val="single" w:sz="5" w:space="0" w:color="D0D7DC"/>
        </w:tblBorders>
      </w:tblPr>
      <w:tblGrid>
        <w:gridCol w:w="2387"/>
        <w:gridCol w:w="2387"/>
        <w:gridCol w:w="2387"/>
        <w:gridCol w:w="2387"/>
      </w:tblGrid>
      <w:tr>
        <w:trPr>
          <w:tblHeader w:val="true"/>
        </w:trPr>
        <w:tc>
          <w:tcPr>
            <w:tcW w:type="dxa" w:w="1555"/>
            <w:vAlign w:val="center"/>
            <w:shd w:fill="FFFFFF" w:val="clear"/>
            <w:tcMar>
              <w:top w:w="95" w:type="dxa"/>
              <w:start w:w="105" w:type="dxa"/>
              <w:bottom w:w="95" w:type="dxa"/>
              <w:end w:w="105" w:type="dxa"/>
            </w:tcMar>
          </w:tcPr>
          <w:p>
            <w:pPr>
              <w:spacing w:after="0" w:line="245" w:lineRule="auto"/>
              <w:jc w:val="left"/>
            </w:pPr>
            <w:r>
              <w:rPr>
                <w:rFonts w:ascii="Times New Roman" w:hAnsi="Times New Roman" w:eastAsia="Times New Roman"/>
                <w:b/>
                <w:i w:val="0"/>
                <w:color w:val="000000"/>
                <w:sz w:val="17"/>
              </w:rPr>
              <w:t>Model</w:t>
            </w:r>
          </w:p>
        </w:tc>
        <w:tc>
          <w:tcPr>
            <w:tcW w:type="dxa" w:w="1699"/>
            <w:vAlign w:val="center"/>
            <w:shd w:fill="FFFFFF" w:val="clear"/>
            <w:tcMar>
              <w:top w:w="95" w:type="dxa"/>
              <w:start w:w="105" w:type="dxa"/>
              <w:bottom w:w="95" w:type="dxa"/>
              <w:end w:w="105" w:type="dxa"/>
            </w:tcMar>
          </w:tcPr>
          <w:p>
            <w:pPr>
              <w:spacing w:after="0" w:line="245" w:lineRule="auto"/>
              <w:jc w:val="left"/>
            </w:pPr>
            <w:r>
              <w:rPr>
                <w:rFonts w:ascii="Times New Roman" w:hAnsi="Times New Roman" w:eastAsia="Times New Roman"/>
                <w:b/>
                <w:i w:val="0"/>
                <w:color w:val="000000"/>
                <w:sz w:val="17"/>
              </w:rPr>
              <w:t>Predicted conversion</w:t>
            </w:r>
          </w:p>
        </w:tc>
        <w:tc>
          <w:tcPr>
            <w:tcW w:type="dxa" w:w="2059"/>
            <w:vAlign w:val="center"/>
            <w:shd w:fill="FFFFFF" w:val="clear"/>
            <w:tcMar>
              <w:top w:w="95" w:type="dxa"/>
              <w:start w:w="105" w:type="dxa"/>
              <w:bottom w:w="95" w:type="dxa"/>
              <w:end w:w="105" w:type="dxa"/>
            </w:tcMar>
          </w:tcPr>
          <w:p>
            <w:pPr>
              <w:spacing w:after="0" w:line="245" w:lineRule="auto"/>
              <w:jc w:val="left"/>
            </w:pPr>
            <w:r>
              <w:rPr>
                <w:rFonts w:ascii="Times New Roman" w:hAnsi="Times New Roman" w:eastAsia="Times New Roman"/>
                <w:b/>
                <w:i w:val="0"/>
                <w:color w:val="000000"/>
                <w:sz w:val="17"/>
              </w:rPr>
              <w:t>Difference</w:t>
            </w:r>
          </w:p>
        </w:tc>
        <w:tc>
          <w:tcPr>
            <w:tcW w:type="dxa" w:w="3989"/>
            <w:vAlign w:val="center"/>
            <w:shd w:fill="FFFFFF" w:val="clear"/>
            <w:tcMar>
              <w:top w:w="95" w:type="dxa"/>
              <w:start w:w="105" w:type="dxa"/>
              <w:bottom w:w="95" w:type="dxa"/>
              <w:end w:w="105" w:type="dxa"/>
            </w:tcMar>
          </w:tcPr>
          <w:p>
            <w:pPr>
              <w:spacing w:after="0" w:line="245" w:lineRule="auto"/>
              <w:jc w:val="left"/>
            </w:pPr>
            <w:r>
              <w:rPr>
                <w:rFonts w:ascii="Times New Roman" w:hAnsi="Times New Roman" w:eastAsia="Times New Roman"/>
                <w:b/>
                <w:i w:val="0"/>
                <w:color w:val="000000"/>
                <w:sz w:val="17"/>
              </w:rPr>
              <w:t>Scope at 1 bar</w:t>
            </w:r>
          </w:p>
        </w:tc>
      </w:tr>
      <w:tr>
        <w:tc>
          <w:tcPr>
            <w:tcW w:type="dxa" w:w="1555"/>
            <w:vAlign w:val="center"/>
            <w:tcMar>
              <w:top w:w="95" w:type="dxa"/>
              <w:start w:w="105" w:type="dxa"/>
              <w:bottom w:w="95" w:type="dxa"/>
              <w:end w:w="105" w:type="dxa"/>
            </w:tcMar>
          </w:tcPr>
          <w:p>
            <w:pPr>
              <w:spacing w:after="0" w:line="250" w:lineRule="auto"/>
              <w:jc w:val="left"/>
            </w:pPr>
            <w:r>
              <w:rPr>
                <w:rFonts w:ascii="Times New Roman" w:hAnsi="Times New Roman" w:eastAsia="Times New Roman"/>
                <w:b/>
                <w:i w:val="0"/>
                <w:color w:val="000000"/>
                <w:sz w:val="16"/>
              </w:rPr>
              <w:t>Full M4</w:t>
            </w:r>
          </w:p>
        </w:tc>
        <w:tc>
          <w:tcPr>
            <w:tcW w:type="dxa" w:w="1699"/>
            <w:vAlign w:val="center"/>
            <w:tcMar>
              <w:top w:w="95" w:type="dxa"/>
              <w:start w:w="105" w:type="dxa"/>
              <w:bottom w:w="95" w:type="dxa"/>
              <w:end w:w="105" w:type="dxa"/>
            </w:tcMar>
          </w:tcPr>
          <w:p>
            <w:pPr>
              <w:spacing w:after="0" w:line="250" w:lineRule="auto"/>
              <w:jc w:val="center"/>
            </w:pPr>
            <w:r>
              <w:rPr>
                <w:rFonts w:ascii="Times New Roman" w:hAnsi="Times New Roman" w:eastAsia="Times New Roman"/>
                <w:b w:val="0"/>
                <w:i w:val="0"/>
                <w:color w:val="000000"/>
                <w:sz w:val="16"/>
              </w:rPr>
              <w:t>78.723%</w:t>
            </w:r>
          </w:p>
        </w:tc>
        <w:tc>
          <w:tcPr>
            <w:tcW w:type="dxa" w:w="2059"/>
            <w:vAlign w:val="center"/>
            <w:tcMar>
              <w:top w:w="95" w:type="dxa"/>
              <w:start w:w="105" w:type="dxa"/>
              <w:bottom w:w="95" w:type="dxa"/>
              <w:end w:w="105" w:type="dxa"/>
            </w:tcMar>
          </w:tcPr>
          <w:p>
            <w:pPr>
              <w:spacing w:after="0" w:line="250" w:lineRule="auto"/>
              <w:jc w:val="center"/>
            </w:pPr>
            <w:r>
              <w:rPr>
                <w:rFonts w:ascii="Times New Roman" w:hAnsi="Times New Roman" w:eastAsia="Times New Roman"/>
                <w:b w:val="0"/>
                <w:i w:val="0"/>
                <w:color w:val="000000"/>
                <w:sz w:val="16"/>
              </w:rPr>
              <w:t>+38.09 percentage points</w:t>
            </w:r>
          </w:p>
        </w:tc>
        <w:tc>
          <w:tcPr>
            <w:tcW w:type="dxa" w:w="3989"/>
            <w:vAlign w:val="center"/>
            <w:tcMar>
              <w:top w:w="95" w:type="dxa"/>
              <w:start w:w="105" w:type="dxa"/>
              <w:bottom w:w="95" w:type="dxa"/>
              <w:end w:w="105" w:type="dxa"/>
            </w:tcMar>
          </w:tcPr>
          <w:p>
            <w:pPr>
              <w:spacing w:after="0" w:line="250" w:lineRule="auto"/>
              <w:jc w:val="left"/>
            </w:pPr>
            <w:r>
              <w:rPr>
                <w:rFonts w:ascii="Times New Roman" w:hAnsi="Times New Roman" w:eastAsia="Times New Roman"/>
                <w:b w:val="0"/>
                <w:i w:val="0"/>
                <w:color w:val="000000"/>
                <w:sz w:val="16"/>
              </w:rPr>
              <w:t>Below the 5–15 bar fit range</w:t>
            </w:r>
          </w:p>
        </w:tc>
      </w:tr>
      <w:tr>
        <w:tc>
          <w:tcPr>
            <w:tcW w:type="dxa" w:w="1555"/>
            <w:vAlign w:val="center"/>
            <w:tcMar>
              <w:top w:w="95" w:type="dxa"/>
              <w:start w:w="105" w:type="dxa"/>
              <w:bottom w:w="95" w:type="dxa"/>
              <w:end w:w="105" w:type="dxa"/>
            </w:tcMar>
          </w:tcPr>
          <w:p>
            <w:pPr>
              <w:spacing w:after="0" w:line="250" w:lineRule="auto"/>
              <w:jc w:val="left"/>
            </w:pPr>
            <w:r>
              <w:rPr>
                <w:rFonts w:ascii="Times New Roman" w:hAnsi="Times New Roman" w:eastAsia="Times New Roman"/>
                <w:b/>
                <w:i w:val="0"/>
                <w:color w:val="000000"/>
                <w:sz w:val="16"/>
              </w:rPr>
              <w:t>Kopyscinski</w:t>
            </w:r>
          </w:p>
        </w:tc>
        <w:tc>
          <w:tcPr>
            <w:tcW w:type="dxa" w:w="1699"/>
            <w:vAlign w:val="center"/>
            <w:tcMar>
              <w:top w:w="95" w:type="dxa"/>
              <w:start w:w="105" w:type="dxa"/>
              <w:bottom w:w="95" w:type="dxa"/>
              <w:end w:w="105" w:type="dxa"/>
            </w:tcMar>
          </w:tcPr>
          <w:p>
            <w:pPr>
              <w:spacing w:after="0" w:line="250" w:lineRule="auto"/>
              <w:jc w:val="center"/>
            </w:pPr>
            <w:r>
              <w:rPr>
                <w:rFonts w:ascii="Times New Roman" w:hAnsi="Times New Roman" w:eastAsia="Times New Roman"/>
                <w:b w:val="0"/>
                <w:i w:val="0"/>
                <w:color w:val="000000"/>
                <w:sz w:val="16"/>
              </w:rPr>
              <w:t>99.985%</w:t>
            </w:r>
          </w:p>
        </w:tc>
        <w:tc>
          <w:tcPr>
            <w:tcW w:type="dxa" w:w="2059"/>
            <w:vAlign w:val="center"/>
            <w:tcMar>
              <w:top w:w="95" w:type="dxa"/>
              <w:start w:w="105" w:type="dxa"/>
              <w:bottom w:w="95" w:type="dxa"/>
              <w:end w:w="105" w:type="dxa"/>
            </w:tcMar>
          </w:tcPr>
          <w:p>
            <w:pPr>
              <w:spacing w:after="0" w:line="250" w:lineRule="auto"/>
              <w:jc w:val="center"/>
            </w:pPr>
            <w:r>
              <w:rPr>
                <w:rFonts w:ascii="Times New Roman" w:hAnsi="Times New Roman" w:eastAsia="Times New Roman"/>
                <w:b w:val="0"/>
                <w:i w:val="0"/>
                <w:color w:val="000000"/>
                <w:sz w:val="16"/>
              </w:rPr>
              <w:t>+59.35 percentage points</w:t>
            </w:r>
          </w:p>
        </w:tc>
        <w:tc>
          <w:tcPr>
            <w:tcW w:type="dxa" w:w="3989"/>
            <w:vAlign w:val="center"/>
            <w:tcMar>
              <w:top w:w="95" w:type="dxa"/>
              <w:start w:w="105" w:type="dxa"/>
              <w:bottom w:w="95" w:type="dxa"/>
              <w:end w:w="105" w:type="dxa"/>
            </w:tcMar>
          </w:tcPr>
          <w:p>
            <w:pPr>
              <w:spacing w:after="0" w:line="250" w:lineRule="auto"/>
              <w:jc w:val="left"/>
            </w:pPr>
            <w:r>
              <w:rPr>
                <w:rFonts w:ascii="Times New Roman" w:hAnsi="Times New Roman" w:eastAsia="Times New Roman"/>
                <w:b w:val="0"/>
                <w:i w:val="0"/>
                <w:color w:val="000000"/>
                <w:sz w:val="16"/>
              </w:rPr>
              <w:t>Within the published 1–2 bar range</w:t>
            </w:r>
          </w:p>
        </w:tc>
      </w:tr>
      <w:tr>
        <w:tc>
          <w:tcPr>
            <w:tcW w:type="dxa" w:w="1555"/>
            <w:vAlign w:val="center"/>
            <w:tcMar>
              <w:top w:w="95" w:type="dxa"/>
              <w:start w:w="105" w:type="dxa"/>
              <w:bottom w:w="95" w:type="dxa"/>
              <w:end w:w="105" w:type="dxa"/>
            </w:tcMar>
          </w:tcPr>
          <w:p>
            <w:pPr>
              <w:spacing w:after="0" w:line="250" w:lineRule="auto"/>
              <w:jc w:val="left"/>
            </w:pPr>
            <w:r>
              <w:rPr>
                <w:rFonts w:ascii="Times New Roman" w:hAnsi="Times New Roman" w:eastAsia="Times New Roman"/>
                <w:b/>
                <w:i w:val="0"/>
                <w:color w:val="000000"/>
                <w:sz w:val="16"/>
              </w:rPr>
              <w:t>Quindimil</w:t>
            </w:r>
          </w:p>
        </w:tc>
        <w:tc>
          <w:tcPr>
            <w:tcW w:type="dxa" w:w="1699"/>
            <w:vAlign w:val="center"/>
            <w:tcMar>
              <w:top w:w="95" w:type="dxa"/>
              <w:start w:w="105" w:type="dxa"/>
              <w:bottom w:w="95" w:type="dxa"/>
              <w:end w:w="105" w:type="dxa"/>
            </w:tcMar>
          </w:tcPr>
          <w:p>
            <w:pPr>
              <w:spacing w:after="0" w:line="250" w:lineRule="auto"/>
              <w:jc w:val="center"/>
            </w:pPr>
            <w:r>
              <w:rPr>
                <w:rFonts w:ascii="Times New Roman" w:hAnsi="Times New Roman" w:eastAsia="Times New Roman"/>
                <w:b w:val="0"/>
                <w:i w:val="0"/>
                <w:color w:val="000000"/>
                <w:sz w:val="16"/>
              </w:rPr>
              <w:t>3.369%</w:t>
            </w:r>
          </w:p>
        </w:tc>
        <w:tc>
          <w:tcPr>
            <w:tcW w:type="dxa" w:w="2059"/>
            <w:vAlign w:val="center"/>
            <w:tcMar>
              <w:top w:w="95" w:type="dxa"/>
              <w:start w:w="105" w:type="dxa"/>
              <w:bottom w:w="95" w:type="dxa"/>
              <w:end w:w="105" w:type="dxa"/>
            </w:tcMar>
          </w:tcPr>
          <w:p>
            <w:pPr>
              <w:spacing w:after="0" w:line="250" w:lineRule="auto"/>
              <w:jc w:val="center"/>
            </w:pPr>
            <w:r>
              <w:rPr>
                <w:rFonts w:ascii="Times New Roman" w:hAnsi="Times New Roman" w:eastAsia="Times New Roman"/>
                <w:b w:val="0"/>
                <w:i w:val="0"/>
                <w:color w:val="000000"/>
                <w:sz w:val="16"/>
              </w:rPr>
              <w:t>−37.26 percentage points</w:t>
            </w:r>
          </w:p>
        </w:tc>
        <w:tc>
          <w:tcPr>
            <w:tcW w:type="dxa" w:w="3989"/>
            <w:vAlign w:val="center"/>
            <w:tcMar>
              <w:top w:w="95" w:type="dxa"/>
              <w:start w:w="105" w:type="dxa"/>
              <w:bottom w:w="95" w:type="dxa"/>
              <w:end w:w="105" w:type="dxa"/>
            </w:tcMar>
          </w:tcPr>
          <w:p>
            <w:pPr>
              <w:spacing w:after="0" w:line="250" w:lineRule="auto"/>
              <w:jc w:val="left"/>
            </w:pPr>
            <w:r>
              <w:rPr>
                <w:rFonts w:ascii="Times New Roman" w:hAnsi="Times New Roman" w:eastAsia="Times New Roman"/>
                <w:b w:val="0"/>
                <w:i w:val="0"/>
                <w:color w:val="000000"/>
                <w:sz w:val="16"/>
              </w:rPr>
              <w:t>Below the 2–6 bar range; CO/H₂ feed outside its CO₂/H₂ fit scope</w:t>
            </w:r>
          </w:p>
        </w:tc>
      </w:tr>
    </w:tbl>
    <w:p>
      <w:pPr>
        <w:spacing w:after="20"/>
      </w:pPr>
    </w:p>
    <w:p>
      <w:pPr>
        <w:ind w:firstLine="259"/>
      </w:pPr>
      <w:r>
        <w:t>Full M4 overpredicts the source value by 38.09 percentage points under this one-bar basis. The pressure choice is itself uncertain in the source material: its abstract and discussion describe atmospheric operation, while Appendix A lists 2 bar. This comparison uses 1 bar absolute. The Full M4 prediction therefore lies below its fitted pressure range. The Kopyscinski result is at the edge of its stated pressure range, but the catalyst formulation and reactor arrangement differ from the current case. The Quindimil model was fitted to CO₂/H₂ methanation, so applying it to a CO/H₂/N₂ feed extrapolates the feed scope as well as the pressure. Its implementation is reduced relative to the full printed rate expression because the source parameter table does not provide an independent K_H₂ value for one denominator term. The three predictions are thus transferability checks, not a ranking against a shared catalyst dataset.</w:t>
      </w:r>
    </w:p>
    <w:p>
      <w:pPr>
        <w:keepNext/>
        <w:spacing w:before="40" w:after="0"/>
        <w:jc w:val="center"/>
      </w:pPr>
      <w:r>
        <w:drawing>
          <wp:inline xmlns:a="http://schemas.openxmlformats.org/drawingml/2006/main" xmlns:pic="http://schemas.openxmlformats.org/drawingml/2006/picture">
            <wp:extent cx="5715000" cy="3335657"/>
            <wp:docPr id="1" name="Picture 1"/>
            <wp:cNvGraphicFramePr>
              <a:graphicFrameLocks noChangeAspect="1"/>
            </wp:cNvGraphicFramePr>
            <a:graphic>
              <a:graphicData uri="http://schemas.openxmlformats.org/drawingml/2006/picture">
                <pic:pic>
                  <pic:nvPicPr>
                    <pic:cNvPr id="0" name="figure_01_model_comparison.png"/>
                    <pic:cNvPicPr/>
                  </pic:nvPicPr>
                  <pic:blipFill>
                    <a:blip r:embed="rId11"/>
                    <a:stretch>
                      <a:fillRect/>
                    </a:stretch>
                  </pic:blipFill>
                  <pic:spPr>
                    <a:xfrm>
                      <a:off x="0" y="0"/>
                      <a:ext cx="5715000" cy="3335657"/>
                    </a:xfrm>
                    <a:prstGeom prst="rect"/>
                  </pic:spPr>
                </pic:pic>
              </a:graphicData>
            </a:graphic>
          </wp:inline>
        </w:drawing>
      </w:r>
    </w:p>
    <w:p>
      <w:pPr>
        <w:pStyle w:val="Caption"/>
        <w:keepLines/>
      </w:pPr>
      <w:r>
        <w:rPr>
          <w:b/>
        </w:rPr>
        <w:t xml:space="preserve">Figure 1. </w:t>
      </w:r>
      <w:r>
        <w:t>CO conversion versus catalyst mass for the three independent no-fit models. The horizontal dashed line and circular point mark the source-reported Experiment 1 conversion at 3.12 g. The models are evaluated separately at 1 bar; curves are not fitted to the measured point.</w:t>
      </w:r>
    </w:p>
    <w:p>
      <w:pPr>
        <w:pStyle w:val="Heading2"/>
      </w:pPr>
      <w:r>
        <w:t>Assumed Full M4 reactor profile</w:t>
      </w:r>
    </w:p>
    <w:p>
      <w:pPr>
        <w:ind w:firstLine="259"/>
      </w:pPr>
      <w:r>
        <w:t>The illustrative profile uses a total inlet flow of 0.05 mol s⁻¹ at 350 °C and 5 bar, with CO:H₂:N₂ = 1:4:25. The bed has a 1 in diameter and 12 in length, a specified void fraction of 0.4, and 3 mm particles. Heat exchange is enabled with a 350 °C wall and U = 10 W m⁻² K⁻¹; pressure loss follows Ergun. At 0.11583 kg catalyst, the model predicts 95.81% outlet CO conversion and 87.33% methane yield. The peak gas temperature is 819.66 K (546.5 °C), reached about 3.5 cm into the bed, and the outlet pressure is 4.9405 bar.</w:t>
      </w:r>
    </w:p>
    <w:p>
      <w:pPr>
        <w:keepNext/>
        <w:spacing w:before="40" w:after="0"/>
        <w:jc w:val="center"/>
      </w:pPr>
      <w:r>
        <w:drawing>
          <wp:inline xmlns:a="http://schemas.openxmlformats.org/drawingml/2006/main" xmlns:pic="http://schemas.openxmlformats.org/drawingml/2006/picture">
            <wp:extent cx="5715000" cy="2355355"/>
            <wp:docPr id="2" name="Picture 2"/>
            <wp:cNvGraphicFramePr>
              <a:graphicFrameLocks noChangeAspect="1"/>
            </wp:cNvGraphicFramePr>
            <a:graphic>
              <a:graphicData uri="http://schemas.openxmlformats.org/drawingml/2006/picture">
                <pic:pic>
                  <pic:nvPicPr>
                    <pic:cNvPr id="0" name="figure_02_assumed_reactor_profiles.png"/>
                    <pic:cNvPicPr/>
                  </pic:nvPicPr>
                  <pic:blipFill>
                    <a:blip r:embed="rId12"/>
                    <a:stretch>
                      <a:fillRect/>
                    </a:stretch>
                  </pic:blipFill>
                  <pic:spPr>
                    <a:xfrm>
                      <a:off x="0" y="0"/>
                      <a:ext cx="5715000" cy="2355355"/>
                    </a:xfrm>
                    <a:prstGeom prst="rect"/>
                  </pic:spPr>
                </pic:pic>
              </a:graphicData>
            </a:graphic>
          </wp:inline>
        </w:drawing>
      </w:r>
    </w:p>
    <w:p>
      <w:pPr>
        <w:pStyle w:val="Caption"/>
        <w:keepLines/>
      </w:pPr>
      <w:r>
        <w:rPr>
          <w:b/>
        </w:rPr>
        <w:t xml:space="preserve">Figure 2. </w:t>
      </w:r>
      <w:r>
        <w:t>Axial CO conversion, gas temperature and pressure for the assumed Full M4 case. The temperature rise is concentrated near the inlet; the small pressure change is plotted on a separate right-hand axis. A circular point marks the inlet condition in each panel.</w:t>
      </w:r>
    </w:p>
    <w:p>
      <w:pPr>
        <w:ind w:firstLine="259"/>
      </w:pPr>
      <w:r>
        <w:t>The species profiles show CO depletion with CH₄ and H₂O formation over the same inlet region. CO₂ remains a minor intermediate in this assumed case, while N₂ is inert in the reaction network. The displayed concentration range omits N₂ so the reactive species remain legible. The predicted hot spot exceeds the 400 °C upper kinetic-fit temperature, so rates in part of this profile involve temperature extrapolation. The high conversion does not establish reactor performance because the geometry, thermal boundary condition, feed and loading are assumptions.</w:t>
      </w:r>
    </w:p>
    <w:p>
      <w:pPr>
        <w:keepNext/>
        <w:spacing w:before="40" w:after="0"/>
        <w:jc w:val="center"/>
      </w:pPr>
      <w:r>
        <w:drawing>
          <wp:inline xmlns:a="http://schemas.openxmlformats.org/drawingml/2006/main" xmlns:pic="http://schemas.openxmlformats.org/drawingml/2006/picture">
            <wp:extent cx="5715000" cy="3152630"/>
            <wp:docPr id="3" name="Picture 3"/>
            <wp:cNvGraphicFramePr>
              <a:graphicFrameLocks noChangeAspect="1"/>
            </wp:cNvGraphicFramePr>
            <a:graphic>
              <a:graphicData uri="http://schemas.openxmlformats.org/drawingml/2006/picture">
                <pic:pic>
                  <pic:nvPicPr>
                    <pic:cNvPr id="0" name="figure_03_species_profiles.png"/>
                    <pic:cNvPicPr/>
                  </pic:nvPicPr>
                  <pic:blipFill>
                    <a:blip r:embed="rId13"/>
                    <a:stretch>
                      <a:fillRect/>
                    </a:stretch>
                  </pic:blipFill>
                  <pic:spPr>
                    <a:xfrm>
                      <a:off x="0" y="0"/>
                      <a:ext cx="5715000" cy="3152630"/>
                    </a:xfrm>
                    <a:prstGeom prst="rect"/>
                  </pic:spPr>
                </pic:pic>
              </a:graphicData>
            </a:graphic>
          </wp:inline>
        </w:drawing>
      </w:r>
    </w:p>
    <w:p>
      <w:pPr>
        <w:pStyle w:val="Caption"/>
        <w:keepLines/>
      </w:pPr>
      <w:r>
        <w:rPr>
          <w:b/>
        </w:rPr>
        <w:t xml:space="preserve">Figure 3. </w:t>
      </w:r>
      <w:r>
        <w:t>Reactive-species gas concentrations along the assumed Full M4 bed. The logarithmic ordinate omits initial zero concentrations; nitrogen is omitted from the panel for scale clarity and remains in the simulated material balance.</w:t>
      </w:r>
    </w:p>
    <w:p>
      <w:pPr>
        <w:pStyle w:val="Heading2"/>
      </w:pPr>
      <w:r>
        <w:t>Temperature and pressure sensitivity</w:t>
      </w:r>
    </w:p>
    <w:p>
      <w:pPr>
        <w:ind w:firstLine="259"/>
      </w:pPr>
      <w:r>
        <w:t>The stored 22 × 22 Full M4 sweep completed all 484 cases across 250–400 °C and 1–15 bar. This contour focuses on the published 5–15 bar pressure-fit interval, where outlet conversion ranges from 92.01% to 99.86%. The nominal 350 °C and 5 bar point gives 95.81%; the 1–&lt;5 bar cases are omitted from this figure because they lie outside the Full M4 pressure-fit range.</w:t>
      </w:r>
    </w:p>
    <w:p>
      <w:pPr>
        <w:keepNext/>
        <w:spacing w:before="40" w:after="0"/>
        <w:jc w:val="center"/>
      </w:pPr>
      <w:r>
        <w:drawing>
          <wp:inline xmlns:a="http://schemas.openxmlformats.org/drawingml/2006/main" xmlns:pic="http://schemas.openxmlformats.org/drawingml/2006/picture">
            <wp:extent cx="5715000" cy="3502841"/>
            <wp:docPr id="4" name="Picture 4"/>
            <wp:cNvGraphicFramePr>
              <a:graphicFrameLocks noChangeAspect="1"/>
            </wp:cNvGraphicFramePr>
            <a:graphic>
              <a:graphicData uri="http://schemas.openxmlformats.org/drawingml/2006/picture">
                <pic:pic>
                  <pic:nvPicPr>
                    <pic:cNvPr id="0" name="figure_04_temperature_pressure_map.png"/>
                    <pic:cNvPicPr/>
                  </pic:nvPicPr>
                  <pic:blipFill>
                    <a:blip r:embed="rId14"/>
                    <a:stretch>
                      <a:fillRect/>
                    </a:stretch>
                  </pic:blipFill>
                  <pic:spPr>
                    <a:xfrm>
                      <a:off x="0" y="0"/>
                      <a:ext cx="5715000" cy="3502841"/>
                    </a:xfrm>
                    <a:prstGeom prst="rect"/>
                  </pic:spPr>
                </pic:pic>
              </a:graphicData>
            </a:graphic>
          </wp:inline>
        </w:drawing>
      </w:r>
    </w:p>
    <w:p>
      <w:pPr>
        <w:pStyle w:val="Caption"/>
        <w:keepLines/>
      </w:pPr>
      <w:r>
        <w:rPr>
          <w:b/>
        </w:rPr>
        <w:t xml:space="preserve">Figure 4. </w:t>
      </w:r>
      <w:r>
        <w:t>Full M4 outlet CO conversion over the 5–15 bar pressure-fit interval and 250–400 °C inlet-temperature range. The circular marker identifies the 350 °C, 5 bar nominal case. Other assumed bed inputs are held fixed.</w:t>
      </w:r>
    </w:p>
    <w:p>
      <w:pPr>
        <w:ind w:firstLine="259"/>
      </w:pPr>
      <w:r>
        <w:t>Inlet conditions inside the published fit rectangle do not guarantee that every local bed state remains in the fit domain. Across the full saved sweep, 469 of 484 runs reach a sampled peak bed temperature above 400 °C; the peak-temperature range is 288.4–603.1 °C. The contour is conditional on the assumed feed, geometry and heat transfer. Many bed trajectories also use local temperature extrapolation even though their inlet temperatures fall within the reported range.</w:t>
      </w:r>
    </w:p>
    <w:p>
      <w:pPr>
        <w:pStyle w:val="Heading2"/>
      </w:pPr>
      <w:r>
        <w:t>H₂/CO ratio and catalyst space time</w:t>
      </w:r>
    </w:p>
    <w:p>
      <w:pPr>
        <w:ind w:firstLine="259"/>
      </w:pPr>
      <w:r>
        <w:t>The 462-cell isothermal Full M4 sweep varied H₂/CO from 1 to 5 and catalyst space time from 8.775 to 140.4 kg_cat s mol_CO⁻¹ at 350 °C and 1 bar. Catalyst mass was held at 3.12 g; CO and N₂ flows were scaled together, H₂ was reset from the selected ratio, and N₂/CO was held at the Experiment 1 value. The predicted conversion range is 22.38–99.04%. At the reference ratio of 2.9969 and space time of 35.10 kg_cat s mol_CO⁻¹, the model returns 78.72%. Increasing H₂/CO or space time generally raises conversion over the sampled region, with diminishing change toward the high-conversion boundary.</w:t>
      </w:r>
    </w:p>
    <w:p>
      <w:pPr>
        <w:keepNext/>
        <w:spacing w:before="40" w:after="0"/>
        <w:jc w:val="center"/>
      </w:pPr>
      <w:r>
        <w:drawing>
          <wp:inline xmlns:a="http://schemas.openxmlformats.org/drawingml/2006/main" xmlns:pic="http://schemas.openxmlformats.org/drawingml/2006/picture">
            <wp:extent cx="5715000" cy="3577885"/>
            <wp:docPr id="5" name="Picture 5"/>
            <wp:cNvGraphicFramePr>
              <a:graphicFrameLocks noChangeAspect="1"/>
            </wp:cNvGraphicFramePr>
            <a:graphic>
              <a:graphicData uri="http://schemas.openxmlformats.org/drawingml/2006/picture">
                <pic:pic>
                  <pic:nvPicPr>
                    <pic:cNvPr id="0" name="figure_05_ratio_space_time_map.png"/>
                    <pic:cNvPicPr/>
                  </pic:nvPicPr>
                  <pic:blipFill>
                    <a:blip r:embed="rId15"/>
                    <a:stretch>
                      <a:fillRect/>
                    </a:stretch>
                  </pic:blipFill>
                  <pic:spPr>
                    <a:xfrm>
                      <a:off x="0" y="0"/>
                      <a:ext cx="5715000" cy="3577885"/>
                    </a:xfrm>
                    <a:prstGeom prst="rect"/>
                  </pic:spPr>
                </pic:pic>
              </a:graphicData>
            </a:graphic>
          </wp:inline>
        </w:drawing>
      </w:r>
    </w:p>
    <w:p>
      <w:pPr>
        <w:pStyle w:val="Caption"/>
        <w:keepLines/>
      </w:pPr>
      <w:r>
        <w:rPr>
          <w:b/>
        </w:rPr>
        <w:t xml:space="preserve">Figure 5. </w:t>
      </w:r>
      <w:r>
        <w:t>Full M4 outlet conversion across the H₂/CO and catalyst-space-time grid. The circular point marks the 1 bar Experiment 1 reference calculation. All cells are isothermal no-fit predictions below the 5–15 bar Full M4 pressure-fit interval.</w:t>
      </w:r>
    </w:p>
    <w:p>
      <w:pPr>
        <w:pStyle w:val="Heading2"/>
      </w:pPr>
      <w:r>
        <w:t>Absolute feed-flow sensitivity</w:t>
      </w:r>
    </w:p>
    <w:p>
      <w:pPr>
        <w:ind w:firstLine="259"/>
      </w:pPr>
      <w:r>
        <w:t>Two saved 1 bar contours vary absolute inlet flows while holding temperature at 350 °C and catalyst mass at 3.12 g. The first varies H₂ and CO with N₂ fixed at 0.799 mol h⁻¹. The second varies H₂ and N₂ with CO fixed at 0.320 mol h⁻¹. The combined grid contains 819 completed cases and predicts 15.91–92.30% conversion. Both panels are conditional Full M4 sensitivities; the 1 bar pressure is outside the 5–15 bar fitted interval.</w:t>
      </w:r>
    </w:p>
    <w:p>
      <w:pPr>
        <w:keepNext/>
        <w:spacing w:before="40" w:after="0"/>
        <w:jc w:val="center"/>
      </w:pPr>
      <w:r>
        <w:drawing>
          <wp:inline xmlns:a="http://schemas.openxmlformats.org/drawingml/2006/main" xmlns:pic="http://schemas.openxmlformats.org/drawingml/2006/picture">
            <wp:extent cx="5715000" cy="3020891"/>
            <wp:docPr id="6" name="Picture 6"/>
            <wp:cNvGraphicFramePr>
              <a:graphicFrameLocks noChangeAspect="1"/>
            </wp:cNvGraphicFramePr>
            <a:graphic>
              <a:graphicData uri="http://schemas.openxmlformats.org/drawingml/2006/picture">
                <pic:pic>
                  <pic:nvPicPr>
                    <pic:cNvPr id="0" name="figure_06_feed_flow_sensitivities.png"/>
                    <pic:cNvPicPr/>
                  </pic:nvPicPr>
                  <pic:blipFill>
                    <a:blip r:embed="rId16"/>
                    <a:stretch>
                      <a:fillRect/>
                    </a:stretch>
                  </pic:blipFill>
                  <pic:spPr>
                    <a:xfrm>
                      <a:off x="0" y="0"/>
                      <a:ext cx="5715000" cy="3020891"/>
                    </a:xfrm>
                    <a:prstGeom prst="rect"/>
                  </pic:spPr>
                </pic:pic>
              </a:graphicData>
            </a:graphic>
          </wp:inline>
        </w:drawing>
      </w:r>
    </w:p>
    <w:p>
      <w:pPr>
        <w:pStyle w:val="Caption"/>
        <w:keepLines/>
      </w:pPr>
      <w:r>
        <w:rPr>
          <w:b/>
        </w:rPr>
        <w:t xml:space="preserve">Figure 6. </w:t>
      </w:r>
      <w:r>
        <w:t>No-fit Full M4 feed-flow sensitivity at 1 bar. Panel (a) varies CO and H₂ at fixed N₂; panel (b) varies N₂ and H₂ at fixed CO. Circular points show the Experiment 1 inlet flows. A common color scale is used.</w:t>
      </w:r>
    </w:p>
    <w:p>
      <w:pPr>
        <w:ind w:firstLine="259"/>
      </w:pPr>
      <w:r>
        <w:t>At fixed N₂, conversion increases as H₂ supply rises relative to CO. In the second panel, increasing N₂ at fixed CO and H₂ lowers the calculated conversion because inert dilution and total inlet throughput change together. These contours should not be interpreted as an independent effect of total flow or dilution without specifying which inlet streams remain fixed.</w:t>
      </w:r>
    </w:p>
    <w:p>
      <w:pPr>
        <w:pStyle w:val="Heading2"/>
      </w:pPr>
      <w:r>
        <w:t>Isolated nitrogen-flow sensitivity</w:t>
      </w:r>
    </w:p>
    <w:p>
      <w:pPr>
        <w:ind w:firstLine="259"/>
      </w:pPr>
      <w:r>
        <w:t>The 42-case N₂ sweep holds CO at 0.320 mol h⁻¹ and H₂ at 0.959 mol h⁻¹ while varying N₂ from 0.400 to 1.200 mol h⁻¹. Predicted conversion falls from 88.14% to 70.34%; the reference N₂ flow of 0.799 mol h⁻¹ gives 78.72%. Since reactive flows are fixed, this curve captures the combined effect of added dilution and increased total flow. It is a conditional 1 bar model sensitivity, not experimental validation.</w:t>
      </w:r>
    </w:p>
    <w:p>
      <w:pPr>
        <w:keepNext/>
        <w:spacing w:before="40" w:after="0"/>
        <w:jc w:val="center"/>
      </w:pPr>
      <w:r>
        <w:drawing>
          <wp:inline xmlns:a="http://schemas.openxmlformats.org/drawingml/2006/main" xmlns:pic="http://schemas.openxmlformats.org/drawingml/2006/picture">
            <wp:extent cx="5715000" cy="3061117"/>
            <wp:docPr id="7" name="Picture 7"/>
            <wp:cNvGraphicFramePr>
              <a:graphicFrameLocks noChangeAspect="1"/>
            </wp:cNvGraphicFramePr>
            <a:graphic>
              <a:graphicData uri="http://schemas.openxmlformats.org/drawingml/2006/picture">
                <pic:pic>
                  <pic:nvPicPr>
                    <pic:cNvPr id="0" name="figure_07_nitrogen_sensitivity.png"/>
                    <pic:cNvPicPr/>
                  </pic:nvPicPr>
                  <pic:blipFill>
                    <a:blip r:embed="rId17"/>
                    <a:stretch>
                      <a:fillRect/>
                    </a:stretch>
                  </pic:blipFill>
                  <pic:spPr>
                    <a:xfrm>
                      <a:off x="0" y="0"/>
                      <a:ext cx="5715000" cy="3061117"/>
                    </a:xfrm>
                    <a:prstGeom prst="rect"/>
                  </pic:spPr>
                </pic:pic>
              </a:graphicData>
            </a:graphic>
          </wp:inline>
        </w:drawing>
      </w:r>
    </w:p>
    <w:p>
      <w:pPr>
        <w:pStyle w:val="Caption"/>
        <w:keepLines/>
      </w:pPr>
      <w:r>
        <w:rPr>
          <w:b/>
        </w:rPr>
        <w:t xml:space="preserve">Figure 7. </w:t>
      </w:r>
      <w:r>
        <w:t>Full M4 conversion as N₂ flow changes with CO and H₂ held at their Experiment 1 values. The circular marker identifies the reference N₂ feed. The model is evaluated isothermally at 350 °C and 1 bar.</w:t>
      </w:r>
    </w:p>
    <w:p>
      <w:pPr>
        <w:pStyle w:val="Heading1"/>
      </w:pPr>
      <w:r>
        <w:t>Conclusions</w:t>
      </w:r>
    </w:p>
    <w:p>
      <w:pPr>
        <w:keepLines/>
        <w:ind w:firstLine="259"/>
      </w:pPr>
      <w:r>
        <w:t>The coupled fixed-bed calculation produces internally consistent conversion, temperature, composition and pressure profiles and supports controlled parameter sweeps. At the selected one-bar Experiment 1 basis, Full M4 predicts 78.72% CO conversion against the reported 40.63%, with no parameter fitting. The difference, the source pressure inconsistency, and the Full M4 pressure-fit limit prevent treating this comparison as validation. The assumed 5 bar profile also reaches a gas temperature above the published kinetic-fit range. The sensitivity maps are useful for identifying model response to feed composition and catalyst space time, but their conclusions remain conditional on the assumed geometry, thermal inputs and kinetic domain. Experimental validation requires a resolved pressure basis, confirmed reactor dimensions and packing, and matched catalyst kinetic data over the local temperature and pressure histories.</w:t>
      </w:r>
    </w:p>
    <w:p>
      <w:pPr>
        <w:pStyle w:val="Heading1"/>
      </w:pPr>
      <w:r>
        <w:t>References</w:t>
      </w:r>
    </w:p>
    <w:p>
      <w:pPr>
        <w:spacing w:after="30" w:line="240" w:lineRule="auto"/>
        <w:ind w:left="403" w:hanging="403"/>
      </w:pPr>
      <w:r>
        <w:rPr>
          <w:b/>
        </w:rPr>
        <w:t xml:space="preserve">[1] </w:t>
      </w:r>
      <w:r>
        <w:rPr>
          <w:rFonts w:ascii="Times New Roman" w:hAnsi="Times New Roman" w:eastAsia="Times New Roman"/>
          <w:b w:val="0"/>
          <w:i w:val="0"/>
          <w:color w:val="000000"/>
          <w:sz w:val="17"/>
        </w:rPr>
        <w:t>F. Celoria, F. Salomone, A. Tauro, et al., “Kinetic study and deactivation phenomena for the methanation of CO₂ and CO mixed syngas on a Ni/Al₂O₃ catalyst,” Chemical Engineering Journal, vol. 512, article 162113, 2025. doi: 10.1016/j.cej.2025.162113.</w:t>
      </w:r>
    </w:p>
    <w:p>
      <w:pPr>
        <w:spacing w:after="30" w:line="240" w:lineRule="auto"/>
        <w:ind w:left="403" w:hanging="403"/>
      </w:pPr>
      <w:r>
        <w:rPr>
          <w:b/>
        </w:rPr>
        <w:t xml:space="preserve">[2] </w:t>
      </w:r>
      <w:r>
        <w:rPr>
          <w:rFonts w:ascii="Times New Roman" w:hAnsi="Times New Roman" w:eastAsia="Times New Roman"/>
          <w:b w:val="0"/>
          <w:i w:val="0"/>
          <w:color w:val="000000"/>
          <w:sz w:val="17"/>
        </w:rPr>
        <w:t>J. Kopyscinski, T. J. Schildhauer, F. Vogel, S. M. A. Biollaz, and A. Wokaun, “Applying spatially resolved concentration and temperature measurements in a catalytic plate reactor for the kinetic study of CO methanation,” Journal of Catalysis, vol. 271, no. 2, pp. 262–279, 2010. doi: 10.1016/j.jcat.2010.02.008. See also the corrigendum, Journal of Catalysis, vol. 273, no. 1, p. 82, 2010. doi: 10.1016/j.jcat.2010.05.001.</w:t>
      </w:r>
    </w:p>
    <w:p>
      <w:pPr>
        <w:spacing w:after="30" w:line="240" w:lineRule="auto"/>
        <w:ind w:left="403" w:hanging="403"/>
      </w:pPr>
      <w:r>
        <w:rPr>
          <w:b/>
        </w:rPr>
        <w:t xml:space="preserve">[3] </w:t>
      </w:r>
      <w:r>
        <w:rPr>
          <w:rFonts w:ascii="Times New Roman" w:hAnsi="Times New Roman" w:eastAsia="Times New Roman"/>
          <w:b w:val="0"/>
          <w:i w:val="0"/>
          <w:color w:val="000000"/>
          <w:sz w:val="17"/>
        </w:rPr>
        <w:t>A. Quindimil, J. A. Onrubia-Calvo, A. Davó-Quiñonero, et al., “Intrinsic kinetics of CO₂ methanation on low-loaded Ni/Al₂O₃ catalyst: Mechanism, model discrimination and parameter estimation,” Journal of CO₂ Utilization, vol. 57, article 101888, 2022. doi: 10.1016/j.jcou.2022.101888.</w:t>
      </w:r>
    </w:p>
    <w:p>
      <w:pPr>
        <w:spacing w:after="30" w:line="240" w:lineRule="auto"/>
        <w:ind w:left="403" w:hanging="403"/>
      </w:pPr>
      <w:r>
        <w:rPr>
          <w:b/>
        </w:rPr>
        <w:t xml:space="preserve">[4] </w:t>
      </w:r>
      <w:r>
        <w:rPr>
          <w:rFonts w:ascii="Times New Roman" w:hAnsi="Times New Roman" w:eastAsia="Times New Roman"/>
          <w:b w:val="0"/>
          <w:i w:val="0"/>
          <w:color w:val="000000"/>
          <w:sz w:val="17"/>
        </w:rPr>
        <w:t>P. Virtanen, R. Gommers, T. E. Oliphant, et al., “SciPy 1.0: Fundamental algorithms for scientific computing in Python,” Nature Methods, vol. 17, pp. 261–272, 2020. doi: 10.1038/s41592-019-0686-2.</w:t>
      </w:r>
    </w:p>
    <w:p>
      <w:pPr>
        <w:spacing w:after="30" w:line="240" w:lineRule="auto"/>
        <w:ind w:left="403" w:hanging="403"/>
      </w:pPr>
      <w:r>
        <w:rPr>
          <w:b/>
        </w:rPr>
        <w:t xml:space="preserve">[5] </w:t>
      </w:r>
      <w:r>
        <w:rPr>
          <w:rFonts w:ascii="Times New Roman" w:hAnsi="Times New Roman" w:eastAsia="Times New Roman"/>
          <w:b w:val="0"/>
          <w:i w:val="0"/>
          <w:color w:val="000000"/>
          <w:sz w:val="17"/>
        </w:rPr>
        <w:t>Experiment 1 source report and data supplied with the project, unpublished project material.</w:t>
      </w:r>
    </w:p>
    <w:sectPr w:rsidR="00FC693F" w:rsidRPr="0006063C" w:rsidSect="00034616">
      <w:headerReference w:type="default" r:id="rId9"/>
      <w:footerReference w:type="default" r:id="rId10"/>
      <w:pgSz w:w="11909" w:h="16834"/>
      <w:pgMar w:top="1037" w:right="1181" w:bottom="979" w:left="1181"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Times New Roman"/>
        <w:b w:val="0"/>
        <w:i w:val="0"/>
        <w:color w:val="555555"/>
        <w:sz w:val="16"/>
      </w:rPr>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Times New Roman" w:hAnsi="Times New Roman" w:eastAsia="Times New Roman"/>
        <w:b w:val="0"/>
        <w:i w:val="0"/>
        <w:color w:val="333333"/>
        <w:sz w:val="16"/>
      </w:rPr>
      <w:t>Fixed Bed CO Methanation Reactor Model Analysis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10"/>
      <w:jc w:val="both"/>
    </w:pPr>
    <w:rPr>
      <w:rFonts w:ascii="Times New Roman" w:hAnsi="Times New Roman" w:eastAsia="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70"/>
      <w:outlineLvl w:val="1"/>
    </w:pPr>
    <w:rPr>
      <w:rFonts w:asciiTheme="majorHAnsi" w:eastAsiaTheme="majorEastAsia" w:hAnsiTheme="majorHAnsi" w:cstheme="majorBidi" w:ascii="Times New Roman" w:hAnsi="Times New Roman" w:eastAsia="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line="252" w:lineRule="auto" w:before="40" w:after="140"/>
      <w:jc w:val="left"/>
    </w:pPr>
    <w:rPr>
      <w:rFonts w:ascii="Times New Roman" w:hAnsi="Times New Roman" w:eastAsia="Times New Roman"/>
      <w:b w:val="0"/>
      <w:bCs/>
      <w:i w:val="0"/>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Fixed Bed CO Methanation Reactor Model Analysis</dc:title>
  <dc:subject>Paper-style report of model methods, plotted results, and operating sensitivities</dc:subject>
  <dc:creator>Barno and Ashiq</dc:creator>
  <cp:keywords>CO methanation, fixed bed, Full M4, SciPy, Radau, BDF</cp:keywords>
  <dc:description>generated by python-docx</dc:description>
  <cp:lastModifiedBy/>
  <cp:revision>1</cp:revision>
  <dcterms:created xsi:type="dcterms:W3CDTF">2013-12-23T23:15:00Z</dcterms:created>
  <dcterms:modified xsi:type="dcterms:W3CDTF">2013-12-23T23:15:00Z</dcterms:modified>
  <cp:category/>
</cp:coreProperties>
</file>