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Four Factor Optimization of CO Methanation in a Fixed Bed Reactor</w:t>
      </w:r>
    </w:p>
    <w:p>
      <w:r>
        <w:t>A 20,412-case grid search of the Full M4 reactor model gave a best sampled setting of 370 °C, 15 bar absolute, H₂/CO = 5.0, and 140.4 kg catalyst·s/mol CO. The predicted outlet CO conversion was 99.999993%. This is a model result for the stated grid.</w:t>
      </w:r>
    </w:p>
    <w:p>
      <w:pPr>
        <w:pStyle w:val="Heading1"/>
      </w:pPr>
      <w:r>
        <w:t>Methodology</w:t>
      </w:r>
    </w:p>
    <w:p>
      <w:r>
        <w:t>The search used the Full M4 fixed bed model on the Experiment 1 basis. Catalyst mass was 3.12 g, and the inlet N₂/CO molar ratio was fixed at 2.496875. The inherited reactor geometry and an assumed particle density of 1250 kg m⁻³ give a bed voidage of 0.98384. Each case was integrated to the bed outlet under an isothermal assumption with Ergun pressure drop and the BDF solver.</w:t>
      </w:r>
    </w:p>
    <w:p>
      <w:r>
        <w:t>The grid varied inlet H₂/CO ratio, temperature, absolute pressure, and catalyst space time on a CO feed basis. Its 12 × 9 × 9 × 21 combinations all completed. At fixed catalyst mass, space time set the CO inlet flow; the H₂ and N₂ flows followed from their respective inlet ratios. Total inlet flow therefore changed with space time and H₂/CO ratio.</w:t>
      </w:r>
    </w:p>
    <w:p>
      <w:r>
        <w:t>The objective was the completed bed outlet CO conversion, defined as</w:t>
      </w:r>
    </w:p>
    <w:p>
      <w:pPr>
        <w:pStyle w:val="Equation"/>
      </w:pPr>
      <m:oMathPara>
        <m:oMath>
          <m:sSub>
            <m:e>
              <m:r>
                <m:t>X</m:t>
              </m:r>
            </m:e>
            <m:sub>
              <m:r>
                <m:t>CO,out</m:t>
              </m:r>
            </m:sub>
          </m:sSub>
          <m:r>
            <m:t> = 100(1 − </m:t>
          </m:r>
          <m:f>
            <m:num>
              <m:sSub>
                <m:e>
                  <m:r>
                    <m:t>F</m:t>
                  </m:r>
                </m:e>
                <m:sub>
                  <m:r>
                    <m:t>CO,out</m:t>
                  </m:r>
                </m:sub>
              </m:sSub>
            </m:num>
            <m:den>
              <m:sSub>
                <m:e>
                  <m:r>
                    <m:t>F</m:t>
                  </m:r>
                </m:e>
                <m:sub>
                  <m:r>
                    <m:t>CO,in</m:t>
                  </m:r>
                </m:sub>
              </m:sSub>
            </m:den>
          </m:f>
          <m:r>
            <m:t>) %</m:t>
          </m:r>
        </m:oMath>
      </m:oMathPara>
    </w:p>
    <w:p>
      <w:r>
        <w:t>The highest conversion was selected, with no hydrogen, pressure, or throughput cost in the objective. Each figure varies one factor across its saved values while the other three remain at the selected point. The pressure grid covers 1–15 bar absolute. Kinetic parameters were fitted over 5–15 bar, so the 1–4 bar predictions are extrapolations.</w:t>
      </w:r>
    </w:p>
    <w:p>
      <w:pPr>
        <w:pStyle w:val="Heading1"/>
      </w:pPr>
      <w:r>
        <w:t>Results and discussion</w:t>
      </w:r>
    </w:p>
    <w:p>
      <w:pPr>
        <w:pStyle w:val="Caption"/>
        <w:keepNext/>
        <w:jc w:val="left"/>
      </w:pPr>
      <w:r>
        <w:t>Table 1. Search ranges and best sampled model result.</w:t>
      </w:r>
    </w:p>
    <w:tbl>
      <w:tblPr>
        <w:tblW w:type="auto" w:w="0"/>
        <w:jc w:val="center"/>
        <w:tblLayout w:type="fixed"/>
        <w:tblLook w:firstColumn="1" w:firstRow="1" w:lastColumn="0" w:lastRow="0" w:noHBand="0" w:noVBand="1" w:val="04A0"/>
      </w:tblPr>
      <w:tblGrid>
        <w:gridCol w:w="3312"/>
        <w:gridCol w:w="3312"/>
        <w:gridCol w:w="3312"/>
      </w:tblGrid>
      <w:tr>
        <w:tc>
          <w:tcPr>
            <w:tcW w:type="dxa" w:w="3197"/>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shd w:fill="263746"/>
          </w:tcPr>
          <w:p>
            <w:pPr>
              <w:spacing w:after="0" w:line="257" w:lineRule="auto"/>
            </w:pPr>
            <w:r>
              <w:rPr>
                <w:rFonts w:ascii="Times New Roman" w:hAnsi="Times New Roman"/>
                <w:b/>
                <w:color w:val="FFFFFF"/>
                <w:sz w:val="17"/>
              </w:rPr>
              <w:t>Quantity</w:t>
            </w:r>
          </w:p>
        </w:tc>
        <w:tc>
          <w:tcPr>
            <w:tcW w:type="dxa" w:w="2952"/>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shd w:fill="263746"/>
          </w:tcPr>
          <w:p>
            <w:pPr>
              <w:spacing w:after="0" w:line="257" w:lineRule="auto"/>
              <w:jc w:val="center"/>
            </w:pPr>
            <w:r>
              <w:rPr>
                <w:rFonts w:ascii="Times New Roman" w:hAnsi="Times New Roman"/>
                <w:b/>
                <w:color w:val="FFFFFF"/>
                <w:sz w:val="17"/>
              </w:rPr>
              <w:t>Grid or role</w:t>
            </w:r>
          </w:p>
        </w:tc>
        <w:tc>
          <w:tcPr>
            <w:tcW w:type="dxa" w:w="3485"/>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shd w:fill="263746"/>
          </w:tcPr>
          <w:p>
            <w:pPr>
              <w:spacing w:after="0" w:line="257" w:lineRule="auto"/>
              <w:jc w:val="center"/>
            </w:pPr>
            <w:r>
              <w:rPr>
                <w:rFonts w:ascii="Times New Roman" w:hAnsi="Times New Roman"/>
                <w:b/>
                <w:color w:val="FFFFFF"/>
                <w:sz w:val="17"/>
              </w:rPr>
              <w:t>Best sampled value</w:t>
            </w:r>
          </w:p>
        </w:tc>
      </w:tr>
      <w:tr>
        <w:tc>
          <w:tcPr>
            <w:tcW w:type="dxa" w:w="3197"/>
            <w:shd w:fill="FFFFFF"/>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pPr>
            <w:r>
              <w:rPr>
                <w:rFonts w:ascii="Times New Roman" w:hAnsi="Times New Roman"/>
                <w:sz w:val="17"/>
              </w:rPr>
              <w:t>Inlet H₂/CO ratio</w:t>
            </w:r>
          </w:p>
        </w:tc>
        <w:tc>
          <w:tcPr>
            <w:tcW w:type="dxa" w:w="2952"/>
            <w:shd w:fill="FFFFFF"/>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1.0–5.0 (12 levels)</w:t>
            </w:r>
          </w:p>
        </w:tc>
        <w:tc>
          <w:tcPr>
            <w:tcW w:type="dxa" w:w="3485"/>
            <w:shd w:fill="FFFFFF"/>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5.0</w:t>
            </w:r>
          </w:p>
        </w:tc>
      </w:tr>
      <w:tr>
        <w:tc>
          <w:tcPr>
            <w:tcW w:type="dxa" w:w="3197"/>
            <w:shd w:fill="F4F5F6"/>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pPr>
            <w:r>
              <w:rPr>
                <w:rFonts w:ascii="Times New Roman" w:hAnsi="Times New Roman"/>
                <w:sz w:val="17"/>
              </w:rPr>
              <w:t>Inlet temperature</w:t>
            </w:r>
          </w:p>
        </w:tc>
        <w:tc>
          <w:tcPr>
            <w:tcW w:type="dxa" w:w="2952"/>
            <w:shd w:fill="F4F5F6"/>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250–400 °C (9 levels)</w:t>
            </w:r>
          </w:p>
        </w:tc>
        <w:tc>
          <w:tcPr>
            <w:tcW w:type="dxa" w:w="3485"/>
            <w:shd w:fill="F4F5F6"/>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370 °C</w:t>
            </w:r>
          </w:p>
        </w:tc>
      </w:tr>
      <w:tr>
        <w:tc>
          <w:tcPr>
            <w:tcW w:type="dxa" w:w="3197"/>
            <w:shd w:fill="FFFFFF"/>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pPr>
            <w:r>
              <w:rPr>
                <w:rFonts w:ascii="Times New Roman" w:hAnsi="Times New Roman"/>
                <w:sz w:val="17"/>
              </w:rPr>
              <w:t>Inlet pressure</w:t>
            </w:r>
          </w:p>
        </w:tc>
        <w:tc>
          <w:tcPr>
            <w:tcW w:type="dxa" w:w="2952"/>
            <w:shd w:fill="FFFFFF"/>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1–15 bar abs (9 levels)</w:t>
            </w:r>
          </w:p>
        </w:tc>
        <w:tc>
          <w:tcPr>
            <w:tcW w:type="dxa" w:w="3485"/>
            <w:shd w:fill="FFFFFF"/>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15 bar abs</w:t>
            </w:r>
          </w:p>
        </w:tc>
      </w:tr>
      <w:tr>
        <w:tc>
          <w:tcPr>
            <w:tcW w:type="dxa" w:w="3197"/>
            <w:shd w:fill="F4F5F6"/>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pPr>
            <w:r>
              <w:rPr>
                <w:rFonts w:ascii="Times New Roman" w:hAnsi="Times New Roman"/>
                <w:sz w:val="17"/>
              </w:rPr>
              <w:t>Catalyst space time</w:t>
            </w:r>
          </w:p>
        </w:tc>
        <w:tc>
          <w:tcPr>
            <w:tcW w:type="dxa" w:w="2952"/>
            <w:shd w:fill="F4F5F6"/>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8.775–140.4 (21 levels)</w:t>
            </w:r>
          </w:p>
        </w:tc>
        <w:tc>
          <w:tcPr>
            <w:tcW w:type="dxa" w:w="3485"/>
            <w:shd w:fill="F4F5F6"/>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140.4 kg catalyst·s/mol CO</w:t>
            </w:r>
          </w:p>
        </w:tc>
      </w:tr>
      <w:tr>
        <w:tc>
          <w:tcPr>
            <w:tcW w:type="dxa" w:w="3197"/>
            <w:shd w:fill="FFFFFF"/>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pPr>
            <w:r>
              <w:rPr>
                <w:rFonts w:ascii="Times New Roman" w:hAnsi="Times New Roman"/>
                <w:sz w:val="17"/>
              </w:rPr>
              <w:t>CO / H₂ / N₂ inlet flow</w:t>
            </w:r>
          </w:p>
        </w:tc>
        <w:tc>
          <w:tcPr>
            <w:tcW w:type="dxa" w:w="2952"/>
            <w:shd w:fill="FFFFFF"/>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Derived from inputs</w:t>
            </w:r>
          </w:p>
        </w:tc>
        <w:tc>
          <w:tcPr>
            <w:tcW w:type="dxa" w:w="3485"/>
            <w:shd w:fill="FFFFFF"/>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0.080 / 0.400 / 0.19975 mol h⁻¹</w:t>
            </w:r>
          </w:p>
        </w:tc>
      </w:tr>
      <w:tr>
        <w:tc>
          <w:tcPr>
            <w:tcW w:type="dxa" w:w="3197"/>
            <w:shd w:fill="F4F5F6"/>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pPr>
            <w:r>
              <w:rPr>
                <w:rFonts w:ascii="Times New Roman" w:hAnsi="Times New Roman"/>
                <w:sz w:val="17"/>
              </w:rPr>
              <w:t>Outlet CO conversion</w:t>
            </w:r>
          </w:p>
        </w:tc>
        <w:tc>
          <w:tcPr>
            <w:tcW w:type="dxa" w:w="2952"/>
            <w:shd w:fill="F4F5F6"/>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Objective</w:t>
            </w:r>
          </w:p>
        </w:tc>
        <w:tc>
          <w:tcPr>
            <w:tcW w:type="dxa" w:w="3485"/>
            <w:shd w:fill="F4F5F6"/>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99.999993%</w:t>
            </w:r>
          </w:p>
        </w:tc>
      </w:tr>
      <w:tr>
        <w:tc>
          <w:tcPr>
            <w:tcW w:type="dxa" w:w="3197"/>
            <w:shd w:fill="FFFFFF"/>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pPr>
            <w:r>
              <w:rPr>
                <w:rFonts w:ascii="Times New Roman" w:hAnsi="Times New Roman"/>
                <w:sz w:val="17"/>
              </w:rPr>
              <w:t>Outlet CH₄ yield</w:t>
            </w:r>
          </w:p>
        </w:tc>
        <w:tc>
          <w:tcPr>
            <w:tcW w:type="dxa" w:w="2952"/>
            <w:shd w:fill="FFFFFF"/>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Predicted output</w:t>
            </w:r>
          </w:p>
        </w:tc>
        <w:tc>
          <w:tcPr>
            <w:tcW w:type="dxa" w:w="3485"/>
            <w:shd w:fill="FFFFFF"/>
            <w:vAlign w:val="center"/>
            <w:tcBorders>
              <w:top w:val="single" w:sz="4" w:color="D9D9D9"/>
              <w:left w:val="single" w:sz="4" w:color="D9D9D9"/>
              <w:bottom w:val="single" w:sz="4" w:color="D9D9D9"/>
              <w:right w:val="single" w:sz="4" w:color="D9D9D9"/>
            </w:tcBorders>
            <w:tcMar>
              <w:top w:w="75" w:type="dxa"/>
              <w:start w:w="105" w:type="dxa"/>
              <w:bottom w:w="75" w:type="dxa"/>
              <w:end w:w="105" w:type="dxa"/>
            </w:tcMar>
          </w:tcPr>
          <w:p>
            <w:pPr>
              <w:spacing w:after="0" w:line="257" w:lineRule="auto"/>
              <w:jc w:val="center"/>
            </w:pPr>
            <w:r>
              <w:rPr>
                <w:rFonts w:ascii="Times New Roman" w:hAnsi="Times New Roman"/>
                <w:sz w:val="17"/>
              </w:rPr>
              <w:t>99.999932%</w:t>
            </w:r>
          </w:p>
        </w:tc>
      </w:tr>
    </w:tbl>
    <w:p>
      <w:pPr>
        <w:spacing w:before="100"/>
      </w:pPr>
      <w:r>
        <w:t>The selected temperature was an interior grid value; H₂/CO ratio, pressure, and space time reached their upper sampled bounds. At the selected values of the other inputs, raising H₂/CO from 1.0 to 1.4 increased conversion from 89.27% to 99.14% (Figure 1). Subsequent gains were smaller. Temperature peaked at the sampled 370 °C point, with a slight decline at 385 and 400 °C (Figure 2).</w:t>
      </w:r>
    </w:p>
    <w:p>
      <w:r>
        <w:t>The pressure and space time slices also approach a plateau (Figures 3 and 4). Over the fitted pressure interval, conversion changed from 99.999112% at 5 bar to 99.999993% at 15 bar. Increasing space time from 8.775 to 140.4 kg catalyst·s/mol CO raised conversion from 99.5533% to 99.999993%. At the selected point, CO feed was 0.080 mol h⁻¹. At the nominal Experiment 1 inputs, the model predicts 96.94% conversion against a source-reported 40.63%. This unresolved difference and the assumed bed geometry limit interpretation of the optimized model result.</w:t>
      </w:r>
    </w:p>
    <w:p>
      <w:r>
        <w:br w:type="page"/>
      </w:r>
    </w:p>
    <w:p>
      <w:pPr>
        <w:pStyle w:val="Figure"/>
        <w:keepNext/>
      </w:pPr>
      <w:r>
        <w:drawing>
          <wp:inline xmlns:a="http://schemas.openxmlformats.org/drawingml/2006/main" xmlns:pic="http://schemas.openxmlformats.org/drawingml/2006/picture">
            <wp:extent cx="5230368" cy="3598446"/>
            <wp:docPr id="1" name="Picture 1"/>
            <wp:cNvGraphicFramePr>
              <a:graphicFrameLocks noChangeAspect="1"/>
            </wp:cNvGraphicFramePr>
            <a:graphic>
              <a:graphicData uri="http://schemas.openxmlformats.org/drawingml/2006/picture">
                <pic:pic>
                  <pic:nvPicPr>
                    <pic:cNvPr id="0" name="sensitivity_h2_co_ratio.png"/>
                    <pic:cNvPicPr/>
                  </pic:nvPicPr>
                  <pic:blipFill>
                    <a:blip r:embed="rId10"/>
                    <a:stretch>
                      <a:fillRect/>
                    </a:stretch>
                  </pic:blipFill>
                  <pic:spPr>
                    <a:xfrm>
                      <a:off x="0" y="0"/>
                      <a:ext cx="5230368" cy="3598446"/>
                    </a:xfrm>
                    <a:prstGeom prst="rect"/>
                  </pic:spPr>
                </pic:pic>
              </a:graphicData>
            </a:graphic>
          </wp:inline>
        </w:drawing>
      </w:r>
    </w:p>
    <w:p>
      <w:pPr>
        <w:pStyle w:val="Caption"/>
      </w:pPr>
      <w:r>
        <w:t>Figure 1. Outlet CO conversion across the sampled H₂/CO ratios.</w:t>
      </w:r>
    </w:p>
    <w:p>
      <w:pPr>
        <w:pStyle w:val="Figure"/>
        <w:keepNext/>
      </w:pPr>
      <w:r>
        <w:drawing>
          <wp:inline xmlns:a="http://schemas.openxmlformats.org/drawingml/2006/main" xmlns:pic="http://schemas.openxmlformats.org/drawingml/2006/picture">
            <wp:extent cx="5230368" cy="3540172"/>
            <wp:docPr id="2" name="Picture 2"/>
            <wp:cNvGraphicFramePr>
              <a:graphicFrameLocks noChangeAspect="1"/>
            </wp:cNvGraphicFramePr>
            <a:graphic>
              <a:graphicData uri="http://schemas.openxmlformats.org/drawingml/2006/picture">
                <pic:pic>
                  <pic:nvPicPr>
                    <pic:cNvPr id="0" name="sensitivity_inlet_temperature.png"/>
                    <pic:cNvPicPr/>
                  </pic:nvPicPr>
                  <pic:blipFill>
                    <a:blip r:embed="rId11"/>
                    <a:stretch>
                      <a:fillRect/>
                    </a:stretch>
                  </pic:blipFill>
                  <pic:spPr>
                    <a:xfrm>
                      <a:off x="0" y="0"/>
                      <a:ext cx="5230368" cy="3540172"/>
                    </a:xfrm>
                    <a:prstGeom prst="rect"/>
                  </pic:spPr>
                </pic:pic>
              </a:graphicData>
            </a:graphic>
          </wp:inline>
        </w:drawing>
      </w:r>
    </w:p>
    <w:p>
      <w:pPr>
        <w:pStyle w:val="Caption"/>
      </w:pPr>
      <w:r>
        <w:t>Figure 2. Outlet CO conversion across the sampled inlet temperatures.</w:t>
      </w:r>
    </w:p>
    <w:p>
      <w:r>
        <w:br w:type="page"/>
      </w:r>
    </w:p>
    <w:p>
      <w:pPr>
        <w:pStyle w:val="Figure"/>
        <w:keepNext/>
      </w:pPr>
      <w:r>
        <w:drawing>
          <wp:inline xmlns:a="http://schemas.openxmlformats.org/drawingml/2006/main" xmlns:pic="http://schemas.openxmlformats.org/drawingml/2006/picture">
            <wp:extent cx="5230368" cy="3456215"/>
            <wp:docPr id="3" name="Picture 3"/>
            <wp:cNvGraphicFramePr>
              <a:graphicFrameLocks noChangeAspect="1"/>
            </wp:cNvGraphicFramePr>
            <a:graphic>
              <a:graphicData uri="http://schemas.openxmlformats.org/drawingml/2006/picture">
                <pic:pic>
                  <pic:nvPicPr>
                    <pic:cNvPr id="0" name="sensitivity_inlet_pressure.png"/>
                    <pic:cNvPicPr/>
                  </pic:nvPicPr>
                  <pic:blipFill>
                    <a:blip r:embed="rId12"/>
                    <a:stretch>
                      <a:fillRect/>
                    </a:stretch>
                  </pic:blipFill>
                  <pic:spPr>
                    <a:xfrm>
                      <a:off x="0" y="0"/>
                      <a:ext cx="5230368" cy="3456215"/>
                    </a:xfrm>
                    <a:prstGeom prst="rect"/>
                  </pic:spPr>
                </pic:pic>
              </a:graphicData>
            </a:graphic>
          </wp:inline>
        </w:drawing>
      </w:r>
    </w:p>
    <w:p>
      <w:pPr>
        <w:pStyle w:val="Caption"/>
      </w:pPr>
      <w:r>
        <w:t>Figure 3. Outlet CO conversion across the sampled inlet pressures.</w:t>
      </w:r>
    </w:p>
    <w:p>
      <w:pPr>
        <w:pStyle w:val="Figure"/>
        <w:keepNext/>
      </w:pPr>
      <w:r>
        <w:drawing>
          <wp:inline xmlns:a="http://schemas.openxmlformats.org/drawingml/2006/main" xmlns:pic="http://schemas.openxmlformats.org/drawingml/2006/picture">
            <wp:extent cx="5230368" cy="3586538"/>
            <wp:docPr id="4" name="Picture 4"/>
            <wp:cNvGraphicFramePr>
              <a:graphicFrameLocks noChangeAspect="1"/>
            </wp:cNvGraphicFramePr>
            <a:graphic>
              <a:graphicData uri="http://schemas.openxmlformats.org/drawingml/2006/picture">
                <pic:pic>
                  <pic:nvPicPr>
                    <pic:cNvPr id="0" name="sensitivity_catalyst_space_time.png"/>
                    <pic:cNvPicPr/>
                  </pic:nvPicPr>
                  <pic:blipFill>
                    <a:blip r:embed="rId13"/>
                    <a:stretch>
                      <a:fillRect/>
                    </a:stretch>
                  </pic:blipFill>
                  <pic:spPr>
                    <a:xfrm>
                      <a:off x="0" y="0"/>
                      <a:ext cx="5230368" cy="3586538"/>
                    </a:xfrm>
                    <a:prstGeom prst="rect"/>
                  </pic:spPr>
                </pic:pic>
              </a:graphicData>
            </a:graphic>
          </wp:inline>
        </w:drawing>
      </w:r>
    </w:p>
    <w:p>
      <w:pPr>
        <w:pStyle w:val="Caption"/>
      </w:pPr>
      <w:r>
        <w:t>Figure 4. Outlet CO conversion across the sampled catalyst space times.</w:t>
      </w:r>
    </w:p>
    <w:sectPr w:rsidR="00FC693F" w:rsidRPr="0006063C" w:rsidSect="00034616">
      <w:footerReference w:type="default" r:id="rId9"/>
      <w:pgSz w:w="12240" w:h="15840"/>
      <w:pgMar w:top="1123" w:right="1152" w:bottom="1094" w:left="1152" w:header="432" w:footer="5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 xml:space="preserve">Page </w:t>
    </w:r>
    <w:r>
      <w:rPr>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0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cstheme="majorBidi" w:ascii="Times New Roman" w:hAnsi="Times New Roman" w:eastAsia="Times New Roman" w:cs="Times New Roman"/>
      <w:b/>
      <w:color w:val="000000"/>
      <w:spacing w:val="5"/>
      <w:kern w:val="28"/>
      <w:sz w:val="3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before="20" w:after="240"/>
    </w:pPr>
    <w:rPr>
      <w:rFonts w:ascii="Times New Roman" w:hAnsi="Times New Roman"/>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spacing w:before="20" w:after="140"/>
      <w:ind w:left="288"/>
    </w:pPr>
  </w:style>
  <w:style w:type="paragraph" w:customStyle="1" w:styleId="Figure">
    <w:name w:val="Figure"/>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Factor Optimization of CO Methanation in a Fixed Bed Reactor</dc:title>
  <dc:subject>Methodology and results from the saved Full M4 grid search</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