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2E86C1"/>
          <w:spacing w:val="200"/>
          <w:sz w:val="24"/>
          <w:szCs w:val="24"/>
        </w:rPr>
        <w:t xml:space="preserve">PRODUCT REQUIREMENTS DOCUMENT</w:t>
      </w:r>
    </w:p>
    <w:p>
      <w:pPr>
        <w:pBdr>
          <w:bottom w:val="single" w:color="2E86C1" w:sz="8" w:space="8"/>
        </w:pBdr>
        <w:spacing w:after="120"/>
        <w:jc w:val="center"/>
      </w:pPr>
      <w:r>
        <w:rPr>
          <w:rFonts w:ascii="Arial" w:cs="Arial" w:eastAsia="Arial" w:hAnsi="Arial"/>
          <w:b/>
          <w:bCs/>
          <w:color w:val="1B4F72"/>
          <w:sz w:val="52"/>
          <w:szCs w:val="52"/>
        </w:rPr>
        <w:t xml:space="preserve">GoMining Integration</w:t>
      </w:r>
    </w:p>
    <w:p>
      <w:pPr>
        <w:spacing w:after="80" w:before="200"/>
        <w:jc w:val="center"/>
      </w:pPr>
      <w:r>
        <w:rPr>
          <w:rFonts w:ascii="Arial" w:cs="Arial" w:eastAsia="Arial" w:hAnsi="Arial"/>
          <w:color w:val="2C3E50"/>
          <w:sz w:val="28"/>
          <w:szCs w:val="28"/>
        </w:rPr>
        <w:t xml:space="preserve">Bitcoin Mining Hashpower for GeroWallet</w:t>
      </w:r>
    </w:p>
    <w:p>
      <w:pPr>
        <w:spacing w:after="600" w:before="80"/>
        <w:jc w:val="center"/>
      </w:pPr>
      <w:r>
        <w:rPr>
          <w:rFonts w:ascii="Arial" w:cs="Arial" w:eastAsia="Arial" w:hAnsi="Arial"/>
          <w:i/>
          <w:iCs/>
          <w:color w:val="2E86C1"/>
          <w:sz w:val="22"/>
          <w:szCs w:val="22"/>
        </w:rPr>
        <w:t xml:space="preserve">Positioning GeroWallet as the first Cardano wallet with BTC DeFi</w:t>
      </w:r>
    </w:p>
    <w:tbl>
      <w:tblPr>
        <w:tblW w:type="dxa" w:w="540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tblGrid>
      <w:tr>
        <w:tc>
          <w:tcPr>
            <w:tcW w:type="dxa" w:w="2200"/>
            <w:tcBorders>
              <w:top w:val="single" w:color="D5D8DC" w:sz="1"/>
              <w:left w:val="single" w:color="D5D8DC" w:sz="1"/>
              <w:bottom w:val="single" w:color="D5D8DC" w:sz="1"/>
              <w:right w:val="single" w:color="D5D8DC" w:sz="1"/>
            </w:tcBorders>
            <w:shd w:fill="D6EAF8" w:val="clear"/>
            <w:tcMar>
              <w:top w:type="dxa" w:w="80"/>
              <w:left w:type="dxa" w:w="120"/>
              <w:bottom w:type="dxa" w:w="80"/>
              <w:right w:type="dxa" w:w="120"/>
            </w:tcMar>
            <w:vAlign w:val="center"/>
          </w:tcPr>
          <w:p>
            <w:pPr>
              <w:jc w:val="left"/>
            </w:pPr>
            <w:r>
              <w:rPr>
                <w:rFonts w:ascii="Arial" w:cs="Arial" w:eastAsia="Arial" w:hAnsi="Arial"/>
                <w:b/>
                <w:bCs/>
                <w:color w:val="2C3E50"/>
                <w:sz w:val="20"/>
                <w:szCs w:val="20"/>
              </w:rPr>
              <w:t xml:space="preserve">Status</w:t>
            </w:r>
          </w:p>
        </w:tc>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Draft for Review</w:t>
            </w:r>
          </w:p>
        </w:tc>
      </w:tr>
      <w:tr>
        <w:tc>
          <w:tcPr>
            <w:tcW w:type="dxa" w:w="2200"/>
            <w:tcBorders>
              <w:top w:val="single" w:color="D5D8DC" w:sz="1"/>
              <w:left w:val="single" w:color="D5D8DC" w:sz="1"/>
              <w:bottom w:val="single" w:color="D5D8DC" w:sz="1"/>
              <w:right w:val="single" w:color="D5D8DC" w:sz="1"/>
            </w:tcBorders>
            <w:shd w:fill="D6EAF8" w:val="clear"/>
            <w:tcMar>
              <w:top w:type="dxa" w:w="80"/>
              <w:left w:type="dxa" w:w="120"/>
              <w:bottom w:type="dxa" w:w="80"/>
              <w:right w:type="dxa" w:w="120"/>
            </w:tcMar>
            <w:vAlign w:val="center"/>
          </w:tcPr>
          <w:p>
            <w:pPr>
              <w:jc w:val="left"/>
            </w:pPr>
            <w:r>
              <w:rPr>
                <w:rFonts w:ascii="Arial" w:cs="Arial" w:eastAsia="Arial" w:hAnsi="Arial"/>
                <w:b/>
                <w:bCs/>
                <w:color w:val="2C3E50"/>
                <w:sz w:val="20"/>
                <w:szCs w:val="20"/>
              </w:rPr>
              <w:t xml:space="preserve">Author</w:t>
            </w:r>
          </w:p>
        </w:tc>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Barnaby – Product</w:t>
            </w:r>
          </w:p>
        </w:tc>
      </w:tr>
      <w:tr>
        <w:tc>
          <w:tcPr>
            <w:tcW w:type="dxa" w:w="2200"/>
            <w:tcBorders>
              <w:top w:val="single" w:color="D5D8DC" w:sz="1"/>
              <w:left w:val="single" w:color="D5D8DC" w:sz="1"/>
              <w:bottom w:val="single" w:color="D5D8DC" w:sz="1"/>
              <w:right w:val="single" w:color="D5D8DC" w:sz="1"/>
            </w:tcBorders>
            <w:shd w:fill="D6EAF8" w:val="clear"/>
            <w:tcMar>
              <w:top w:type="dxa" w:w="80"/>
              <w:left w:type="dxa" w:w="120"/>
              <w:bottom w:type="dxa" w:w="80"/>
              <w:right w:type="dxa" w:w="120"/>
            </w:tcMar>
            <w:vAlign w:val="center"/>
          </w:tcPr>
          <w:p>
            <w:pPr>
              <w:jc w:val="left"/>
            </w:pPr>
            <w:r>
              <w:rPr>
                <w:rFonts w:ascii="Arial" w:cs="Arial" w:eastAsia="Arial" w:hAnsi="Arial"/>
                <w:b/>
                <w:bCs/>
                <w:color w:val="2C3E50"/>
                <w:sz w:val="20"/>
                <w:szCs w:val="20"/>
              </w:rPr>
              <w:t xml:space="preserve">Date</w:t>
            </w:r>
          </w:p>
        </w:tc>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February 2025</w:t>
            </w:r>
          </w:p>
        </w:tc>
      </w:tr>
      <w:tr>
        <w:tc>
          <w:tcPr>
            <w:tcW w:type="dxa" w:w="2200"/>
            <w:tcBorders>
              <w:top w:val="single" w:color="D5D8DC" w:sz="1"/>
              <w:left w:val="single" w:color="D5D8DC" w:sz="1"/>
              <w:bottom w:val="single" w:color="D5D8DC" w:sz="1"/>
              <w:right w:val="single" w:color="D5D8DC" w:sz="1"/>
            </w:tcBorders>
            <w:shd w:fill="D6EAF8" w:val="clear"/>
            <w:tcMar>
              <w:top w:type="dxa" w:w="80"/>
              <w:left w:type="dxa" w:w="120"/>
              <w:bottom w:type="dxa" w:w="80"/>
              <w:right w:type="dxa" w:w="120"/>
            </w:tcMar>
            <w:vAlign w:val="center"/>
          </w:tcPr>
          <w:p>
            <w:pPr>
              <w:jc w:val="left"/>
            </w:pPr>
            <w:r>
              <w:rPr>
                <w:rFonts w:ascii="Arial" w:cs="Arial" w:eastAsia="Arial" w:hAnsi="Arial"/>
                <w:b/>
                <w:bCs/>
                <w:color w:val="2C3E50"/>
                <w:sz w:val="20"/>
                <w:szCs w:val="20"/>
              </w:rPr>
              <w:t xml:space="preserve">Audience</w:t>
            </w:r>
          </w:p>
        </w:tc>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CEO, CTO, Design Authority</w:t>
            </w:r>
          </w:p>
        </w:tc>
      </w:tr>
      <w:tr>
        <w:tc>
          <w:tcPr>
            <w:tcW w:type="dxa" w:w="2200"/>
            <w:tcBorders>
              <w:top w:val="single" w:color="D5D8DC" w:sz="1"/>
              <w:left w:val="single" w:color="D5D8DC" w:sz="1"/>
              <w:bottom w:val="single" w:color="D5D8DC" w:sz="1"/>
              <w:right w:val="single" w:color="D5D8DC" w:sz="1"/>
            </w:tcBorders>
            <w:shd w:fill="D6EAF8" w:val="clear"/>
            <w:tcMar>
              <w:top w:type="dxa" w:w="80"/>
              <w:left w:type="dxa" w:w="120"/>
              <w:bottom w:type="dxa" w:w="80"/>
              <w:right w:type="dxa" w:w="120"/>
            </w:tcMar>
            <w:vAlign w:val="center"/>
          </w:tcPr>
          <w:p>
            <w:pPr>
              <w:jc w:val="left"/>
            </w:pPr>
            <w:r>
              <w:rPr>
                <w:rFonts w:ascii="Arial" w:cs="Arial" w:eastAsia="Arial" w:hAnsi="Arial"/>
                <w:b/>
                <w:bCs/>
                <w:color w:val="2C3E50"/>
                <w:sz w:val="20"/>
                <w:szCs w:val="20"/>
              </w:rPr>
              <w:t xml:space="preserve">Version</w:t>
            </w:r>
          </w:p>
        </w:tc>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1.0</w:t>
            </w:r>
          </w:p>
        </w:tc>
      </w:tr>
    </w:tbl>
    <w:p>
      <w:pPr>
        <w:spacing w:before="600"/>
      </w:pPr>
    </w:p>
    <w:p>
      <w:pPr>
        <w:jc w:val="center"/>
      </w:pPr>
      <w:r>
        <w:rPr>
          <w:rFonts w:ascii="Arial" w:cs="Arial" w:eastAsia="Arial" w:hAnsi="Arial"/>
          <w:b/>
          <w:bCs/>
          <w:color w:val="E74C3C"/>
          <w:sz w:val="20"/>
          <w:szCs w:val="20"/>
        </w:rPr>
        <w:t xml:space="preserve">CONFIDENTIAL</w:t>
      </w:r>
    </w:p>
    <w:p>
      <w:pPr>
        <w:sectPr>
          <w:pgSz w:w="12240" w:h="15840" w:orient="portrait"/>
          <w:pgMar w:top="1440" w:right="1440" w:bottom="1440" w:left="1440" w:header="708" w:footer="708" w:gutter="0"/>
          <w:pgNumType/>
          <w:docGrid w:linePitch="360"/>
        </w:sectPr>
      </w:pPr>
    </w:p>
    <w:p>
      <w:pPr>
        <w:pBdr>
          <w:bottom w:val="single" w:color="2E86C1" w:sz="6" w:space="4"/>
        </w:pBdr>
        <w:spacing w:after="200" w:before="360"/>
      </w:pPr>
      <w:r>
        <w:rPr>
          <w:rFonts w:ascii="Arial" w:cs="Arial" w:eastAsia="Arial" w:hAnsi="Arial"/>
          <w:b/>
          <w:bCs/>
          <w:color w:val="2E86C1"/>
          <w:sz w:val="28"/>
          <w:szCs w:val="28"/>
        </w:rPr>
        <w:t xml:space="preserve">1. </w:t>
      </w:r>
      <w:r>
        <w:rPr>
          <w:rFonts w:ascii="Arial" w:cs="Arial" w:eastAsia="Arial" w:hAnsi="Arial"/>
          <w:b/>
          <w:bCs/>
          <w:color w:val="1B4F72"/>
          <w:sz w:val="28"/>
          <w:szCs w:val="28"/>
        </w:rPr>
        <w:t xml:space="preserve">Executive Summary</w:t>
      </w:r>
    </w:p>
    <w:p>
      <w:pPr>
        <w:spacing w:after="160" w:before="120"/>
        <w:jc w:val="left"/>
      </w:pPr>
      <w:r>
        <w:rPr>
          <w:rFonts w:ascii="Arial" w:cs="Arial" w:eastAsia="Arial" w:hAnsi="Arial"/>
          <w:b w:val="false"/>
          <w:bCs w:val="false"/>
          <w:i w:val="false"/>
          <w:iCs w:val="false"/>
          <w:color w:val="2C3E50"/>
          <w:sz w:val="22"/>
          <w:szCs w:val="22"/>
        </w:rPr>
        <w:t xml:space="preserve">This document proposes integrating GoMining’s Bitcoin mining hashpower marketplace into GeroWallet, enabling users to purchase and manage BTC mining directly within their wallet. This integration would make GeroWallet the first Cardano wallet to offer Bitcoin mining exposure – a significant differentiator in a competitive landscape.</w:t>
      </w:r>
    </w:p>
    <w:p>
      <w:pPr>
        <w:spacing w:after="200" w:before="120"/>
        <w:jc w:val="left"/>
      </w:pPr>
      <w:r>
        <w:rPr>
          <w:rFonts w:ascii="Arial" w:cs="Arial" w:eastAsia="Arial" w:hAnsi="Arial"/>
          <w:b w:val="false"/>
          <w:bCs w:val="false"/>
          <w:i w:val="false"/>
          <w:iCs w:val="false"/>
          <w:color w:val="2C3E50"/>
          <w:sz w:val="22"/>
          <w:szCs w:val="22"/>
        </w:rPr>
        <w:t xml:space="preserve">The integration creates tangible utility for the GERO token by enabling it as a payment method for hashpower purchases, alongside ADA. Early signals from GoMining are positive: their team has confirmed willingness to accept GERO as a payment method and has shared API documentation. This PRD outlines the opportunity, proposed user experience, phased delivery plan, and key decisions needed from leadership.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6"/>
              <w:left w:val="single" w:color="2E86C1" w:sz="6"/>
              <w:bottom w:val="single" w:color="2E86C1" w:sz="6"/>
              <w:right w:val="single" w:color="2E86C1" w:sz="6"/>
            </w:tcBorders>
            <w:shd w:fill="EBF5FB" w:val="clear"/>
            <w:tcMar>
              <w:top w:type="dxa" w:w="160"/>
              <w:left w:type="dxa" w:w="200"/>
              <w:bottom w:type="dxa" w:w="160"/>
              <w:right w:type="dxa" w:w="200"/>
            </w:tcMar>
          </w:tcPr>
          <w:p>
            <w:pPr>
              <w:spacing w:after="120"/>
            </w:pPr>
            <w:r>
              <w:rPr>
                <w:rFonts w:ascii="Arial" w:cs="Arial" w:eastAsia="Arial" w:hAnsi="Arial"/>
                <w:b/>
                <w:bCs/>
                <w:color w:val="1B4F72"/>
                <w:sz w:val="22"/>
                <w:szCs w:val="22"/>
              </w:rPr>
              <w:t xml:space="preserve">Key Benefits at a Glance</w:t>
            </w:r>
          </w:p>
          <w:p>
            <w:pPr>
              <w:pStyle w:val="ListParagraph"/>
              <w:numPr>
                <w:ilvl w:val="0"/>
                <w:numId w:val="2"/>
              </w:numPr>
              <w:spacing w:after="60"/>
            </w:pPr>
            <w:r>
              <w:rPr>
                <w:rFonts w:ascii="Arial" w:cs="Arial" w:eastAsia="Arial" w:hAnsi="Arial"/>
                <w:b/>
                <w:bCs/>
                <w:color w:val="2C3E50"/>
                <w:sz w:val="20"/>
                <w:szCs w:val="20"/>
              </w:rPr>
              <w:t xml:space="preserve">First-mover advantage: </w:t>
            </w:r>
            <w:r>
              <w:rPr>
                <w:rFonts w:ascii="Arial" w:cs="Arial" w:eastAsia="Arial" w:hAnsi="Arial"/>
                <w:color w:val="2C3E50"/>
                <w:sz w:val="20"/>
                <w:szCs w:val="20"/>
              </w:rPr>
              <w:t xml:space="preserve">First Cardano wallet with BTC mining integration</w:t>
            </w:r>
          </w:p>
          <w:p>
            <w:pPr>
              <w:pStyle w:val="ListParagraph"/>
              <w:numPr>
                <w:ilvl w:val="0"/>
                <w:numId w:val="2"/>
              </w:numPr>
              <w:spacing w:after="60"/>
            </w:pPr>
            <w:r>
              <w:rPr>
                <w:rFonts w:ascii="Arial" w:cs="Arial" w:eastAsia="Arial" w:hAnsi="Arial"/>
                <w:b/>
                <w:bCs/>
                <w:color w:val="2C3E50"/>
                <w:sz w:val="20"/>
                <w:szCs w:val="20"/>
              </w:rPr>
              <w:t xml:space="preserve">GERO token utility: </w:t>
            </w:r>
            <w:r>
              <w:rPr>
                <w:rFonts w:ascii="Arial" w:cs="Arial" w:eastAsia="Arial" w:hAnsi="Arial"/>
                <w:color w:val="2C3E50"/>
                <w:sz w:val="20"/>
                <w:szCs w:val="20"/>
              </w:rPr>
              <w:t xml:space="preserve">Creates real payment demand beyond card discounts</w:t>
            </w:r>
          </w:p>
          <w:p>
            <w:pPr>
              <w:pStyle w:val="ListParagraph"/>
              <w:numPr>
                <w:ilvl w:val="0"/>
                <w:numId w:val="2"/>
              </w:numPr>
              <w:spacing w:after="60"/>
            </w:pPr>
            <w:r>
              <w:rPr>
                <w:rFonts w:ascii="Arial" w:cs="Arial" w:eastAsia="Arial" w:hAnsi="Arial"/>
                <w:b/>
                <w:bCs/>
                <w:color w:val="2C3E50"/>
                <w:sz w:val="20"/>
                <w:szCs w:val="20"/>
              </w:rPr>
              <w:t xml:space="preserve">Dual payment: </w:t>
            </w:r>
            <w:r>
              <w:rPr>
                <w:rFonts w:ascii="Arial" w:cs="Arial" w:eastAsia="Arial" w:hAnsi="Arial"/>
                <w:color w:val="2C3E50"/>
                <w:sz w:val="20"/>
                <w:szCs w:val="20"/>
              </w:rPr>
              <w:t xml:space="preserve">Users pay with GERO or ADA, removing liquidity barriers</w:t>
            </w:r>
          </w:p>
          <w:p>
            <w:pPr>
              <w:pStyle w:val="ListParagraph"/>
              <w:numPr>
                <w:ilvl w:val="0"/>
                <w:numId w:val="2"/>
              </w:numPr>
              <w:spacing w:after="60"/>
            </w:pPr>
            <w:r>
              <w:rPr>
                <w:rFonts w:ascii="Arial" w:cs="Arial" w:eastAsia="Arial" w:hAnsi="Arial"/>
                <w:b/>
                <w:bCs/>
                <w:color w:val="2C3E50"/>
                <w:sz w:val="20"/>
                <w:szCs w:val="20"/>
              </w:rPr>
              <w:t xml:space="preserve">User retention: </w:t>
            </w:r>
            <w:r>
              <w:rPr>
                <w:rFonts w:ascii="Arial" w:cs="Arial" w:eastAsia="Arial" w:hAnsi="Arial"/>
                <w:color w:val="2C3E50"/>
                <w:sz w:val="20"/>
                <w:szCs w:val="20"/>
              </w:rPr>
              <w:t xml:space="preserve">In-wallet experience with no separate GoMining account needed</w:t>
            </w:r>
          </w:p>
          <w:p>
            <w:pPr>
              <w:pStyle w:val="ListParagraph"/>
              <w:numPr>
                <w:ilvl w:val="0"/>
                <w:numId w:val="2"/>
              </w:numPr>
              <w:spacing w:after="20"/>
            </w:pPr>
            <w:r>
              <w:rPr>
                <w:rFonts w:ascii="Arial" w:cs="Arial" w:eastAsia="Arial" w:hAnsi="Arial"/>
                <w:b/>
                <w:bCs/>
                <w:color w:val="2C3E50"/>
                <w:sz w:val="20"/>
                <w:szCs w:val="20"/>
              </w:rPr>
              <w:t xml:space="preserve">Revenue opportunity: </w:t>
            </w:r>
            <w:r>
              <w:rPr>
                <w:rFonts w:ascii="Arial" w:cs="Arial" w:eastAsia="Arial" w:hAnsi="Arial"/>
                <w:color w:val="2C3E50"/>
                <w:sz w:val="20"/>
                <w:szCs w:val="20"/>
              </w:rPr>
              <w:t xml:space="preserve">Commission on hashpower sales and partner referral programme</w:t>
            </w:r>
          </w:p>
        </w:tc>
      </w:tr>
    </w:tbl>
    <w:p>
      <w:pPr>
        <w:pBdr>
          <w:bottom w:val="single" w:color="2E86C1" w:sz="6" w:space="4"/>
        </w:pBdr>
        <w:spacing w:after="200" w:before="360"/>
      </w:pPr>
      <w:r>
        <w:rPr>
          <w:rFonts w:ascii="Arial" w:cs="Arial" w:eastAsia="Arial" w:hAnsi="Arial"/>
          <w:b/>
          <w:bCs/>
          <w:color w:val="2E86C1"/>
          <w:sz w:val="28"/>
          <w:szCs w:val="28"/>
        </w:rPr>
        <w:t xml:space="preserve">2. </w:t>
      </w:r>
      <w:r>
        <w:rPr>
          <w:rFonts w:ascii="Arial" w:cs="Arial" w:eastAsia="Arial" w:hAnsi="Arial"/>
          <w:b/>
          <w:bCs/>
          <w:color w:val="1B4F72"/>
          <w:sz w:val="28"/>
          <w:szCs w:val="28"/>
        </w:rPr>
        <w:t xml:space="preserve">Strategic Context</w:t>
      </w:r>
    </w:p>
    <w:p>
      <w:pPr>
        <w:spacing w:after="120" w:before="240"/>
      </w:pPr>
      <w:r>
        <w:rPr>
          <w:rFonts w:ascii="Arial" w:cs="Arial" w:eastAsia="Arial" w:hAnsi="Arial"/>
          <w:b/>
          <w:bCs/>
          <w:color w:val="2C3E50"/>
          <w:sz w:val="24"/>
          <w:szCs w:val="24"/>
        </w:rPr>
        <w:t xml:space="preserve">The Opportunity</w:t>
      </w:r>
    </w:p>
    <w:p>
      <w:pPr>
        <w:spacing w:after="160" w:before="120"/>
        <w:jc w:val="left"/>
      </w:pPr>
      <w:r>
        <w:rPr>
          <w:rFonts w:ascii="Arial" w:cs="Arial" w:eastAsia="Arial" w:hAnsi="Arial"/>
          <w:b w:val="false"/>
          <w:bCs w:val="false"/>
          <w:i w:val="false"/>
          <w:iCs w:val="false"/>
          <w:color w:val="2C3E50"/>
          <w:sz w:val="22"/>
          <w:szCs w:val="22"/>
        </w:rPr>
        <w:t xml:space="preserve">The Cardano ecosystem currently lacks direct Bitcoin mining exposure. Users who want BTC mining rewards must leave the ecosystem entirely: creating separate GoMining accounts, funding separate wallets, and tracking portfolios across multiple platforms. This fragmented experience represents both a user pain point and a strategic opportunity for GeroWallet.</w:t>
      </w:r>
    </w:p>
    <w:p>
      <w:pPr>
        <w:spacing w:after="120" w:before="240"/>
      </w:pPr>
      <w:r>
        <w:rPr>
          <w:rFonts w:ascii="Arial" w:cs="Arial" w:eastAsia="Arial" w:hAnsi="Arial"/>
          <w:b/>
          <w:bCs/>
          <w:color w:val="2C3E50"/>
          <w:sz w:val="24"/>
          <w:szCs w:val="24"/>
        </w:rPr>
        <w:t xml:space="preserve">Why GoMining</w:t>
      </w:r>
    </w:p>
    <w:p>
      <w:pPr>
        <w:spacing w:after="160" w:before="120"/>
        <w:jc w:val="left"/>
      </w:pPr>
      <w:r>
        <w:rPr>
          <w:rFonts w:ascii="Arial" w:cs="Arial" w:eastAsia="Arial" w:hAnsi="Arial"/>
          <w:b w:val="false"/>
          <w:bCs w:val="false"/>
          <w:i w:val="false"/>
          <w:iCs w:val="false"/>
          <w:color w:val="2C3E50"/>
          <w:sz w:val="22"/>
          <w:szCs w:val="22"/>
        </w:rPr>
        <w:t xml:space="preserve">GoMining is an established Bitcoin mining hashpower marketplace with over 1.4 million users and 400MW+ of mining capacity. They have expressed interest in expanding their payment options to include Cardano native tokens, making this a mutually beneficial partnership. Their existing infrastructure, API documentation, and willingness to accept GERO as payment provide a strong foundation for integration.</w:t>
      </w:r>
    </w:p>
    <w:p>
      <w:pPr>
        <w:spacing w:after="120" w:before="240"/>
      </w:pPr>
      <w:r>
        <w:rPr>
          <w:rFonts w:ascii="Arial" w:cs="Arial" w:eastAsia="Arial" w:hAnsi="Arial"/>
          <w:b/>
          <w:bCs/>
          <w:color w:val="2C3E50"/>
          <w:sz w:val="24"/>
          <w:szCs w:val="24"/>
        </w:rPr>
        <w:t xml:space="preserve">Why Now</w:t>
      </w:r>
    </w:p>
    <w:p>
      <w:pPr>
        <w:spacing w:after="160" w:before="120"/>
        <w:jc w:val="left"/>
      </w:pPr>
      <w:r>
        <w:rPr>
          <w:rFonts w:ascii="Arial" w:cs="Arial" w:eastAsia="Arial" w:hAnsi="Arial"/>
          <w:b w:val="false"/>
          <w:bCs w:val="false"/>
          <w:i w:val="false"/>
          <w:iCs w:val="false"/>
          <w:color w:val="2C3E50"/>
          <w:sz w:val="22"/>
          <w:szCs w:val="22"/>
        </w:rPr>
        <w:t xml:space="preserve">Several factors align to make this the right time to explore this integration. The BTC DeFi narrative is gaining momentum across the broader crypto ecosystem. GeroWallet’s EU bank partnership provides regulatory credibility that differentiates the platform. The Cardano community has shown receptiveness to BTC DeFi offerings. And GoMining’s team has proactively signalled willingness to support GERO and ADA payments, reducing a key technical barrier.</w:t>
      </w:r>
    </w:p>
    <w:p>
      <w:pPr>
        <w:spacing w:after="120" w:before="240"/>
      </w:pPr>
      <w:r>
        <w:rPr>
          <w:rFonts w:ascii="Arial" w:cs="Arial" w:eastAsia="Arial" w:hAnsi="Arial"/>
          <w:b/>
          <w:bCs/>
          <w:color w:val="2C3E50"/>
          <w:sz w:val="24"/>
          <w:szCs w:val="24"/>
        </w:rPr>
        <w:t xml:space="preserve">Strategic Alignment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Strategic Goal</w:t>
            </w:r>
          </w:p>
        </w:tc>
        <w:tc>
          <w:tcPr>
            <w:tcW w:type="dxa" w:w="65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How This Integration Supports It</w:t>
            </w:r>
          </w:p>
        </w:tc>
      </w:tr>
      <w:tr>
        <w:tc>
          <w:tcPr>
            <w:tcW w:type="dxa" w:w="2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vAlign w:val="center"/>
          </w:tcPr>
          <w:p>
            <w:pPr>
              <w:jc w:val="left"/>
            </w:pPr>
            <w:r>
              <w:rPr>
                <w:rFonts w:ascii="Arial" w:cs="Arial" w:eastAsia="Arial" w:hAnsi="Arial"/>
                <w:b/>
                <w:bCs/>
                <w:color w:val="2C3E50"/>
                <w:sz w:val="20"/>
                <w:szCs w:val="20"/>
              </w:rPr>
              <w:t xml:space="preserve">GERO Token Value</w:t>
            </w:r>
          </w:p>
        </w:tc>
        <w:tc>
          <w:tcPr>
            <w:tcW w:type="dxa" w:w="65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Creates organic demand by enabling GERO as a payment method for a desirable product (BTC mining hashpower)</w:t>
            </w:r>
          </w:p>
        </w:tc>
      </w:tr>
      <w:tr>
        <w:tc>
          <w:tcPr>
            <w:tcW w:type="dxa" w:w="2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vAlign w:val="center"/>
          </w:tcPr>
          <w:p>
            <w:pPr>
              <w:jc w:val="left"/>
            </w:pPr>
            <w:r>
              <w:rPr>
                <w:rFonts w:ascii="Arial" w:cs="Arial" w:eastAsia="Arial" w:hAnsi="Arial"/>
                <w:b/>
                <w:bCs/>
                <w:color w:val="2C3E50"/>
                <w:sz w:val="20"/>
                <w:szCs w:val="20"/>
              </w:rPr>
              <w:t xml:space="preserve">User Retention</w:t>
            </w:r>
          </w:p>
        </w:tc>
        <w:tc>
          <w:tcPr>
            <w:tcW w:type="dxa" w:w="65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In-wallet experience keeps users within GeroWallet rather than redirecting to external platforms</w:t>
            </w:r>
          </w:p>
        </w:tc>
      </w:tr>
      <w:tr>
        <w:tc>
          <w:tcPr>
            <w:tcW w:type="dxa" w:w="2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vAlign w:val="center"/>
          </w:tcPr>
          <w:p>
            <w:pPr>
              <w:jc w:val="left"/>
            </w:pPr>
            <w:r>
              <w:rPr>
                <w:rFonts w:ascii="Arial" w:cs="Arial" w:eastAsia="Arial" w:hAnsi="Arial"/>
                <w:b/>
                <w:bCs/>
                <w:color w:val="2C3E50"/>
                <w:sz w:val="20"/>
                <w:szCs w:val="20"/>
              </w:rPr>
              <w:t xml:space="preserve">Differentiation</w:t>
            </w:r>
          </w:p>
        </w:tc>
        <w:tc>
          <w:tcPr>
            <w:tcW w:type="dxa" w:w="65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First Cardano wallet with BTC mining – a tangible competitive advantage</w:t>
            </w:r>
          </w:p>
        </w:tc>
      </w:tr>
      <w:tr>
        <w:tc>
          <w:tcPr>
            <w:tcW w:type="dxa" w:w="2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vAlign w:val="center"/>
          </w:tcPr>
          <w:p>
            <w:pPr>
              <w:jc w:val="left"/>
            </w:pPr>
            <w:r>
              <w:rPr>
                <w:rFonts w:ascii="Arial" w:cs="Arial" w:eastAsia="Arial" w:hAnsi="Arial"/>
                <w:b/>
                <w:bCs/>
                <w:color w:val="2C3E50"/>
                <w:sz w:val="20"/>
                <w:szCs w:val="20"/>
              </w:rPr>
              <w:t xml:space="preserve">Revenue Growth</w:t>
            </w:r>
          </w:p>
        </w:tc>
        <w:tc>
          <w:tcPr>
            <w:tcW w:type="dxa" w:w="65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New revenue stream via commission on hashpower purchases and referral programme</w:t>
            </w:r>
          </w:p>
        </w:tc>
      </w:tr>
      <w:tr>
        <w:tc>
          <w:tcPr>
            <w:tcW w:type="dxa" w:w="2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vAlign w:val="center"/>
          </w:tcPr>
          <w:p>
            <w:pPr>
              <w:jc w:val="left"/>
            </w:pPr>
            <w:r>
              <w:rPr>
                <w:rFonts w:ascii="Arial" w:cs="Arial" w:eastAsia="Arial" w:hAnsi="Arial"/>
                <w:b/>
                <w:bCs/>
                <w:color w:val="2C3E50"/>
                <w:sz w:val="20"/>
                <w:szCs w:val="20"/>
              </w:rPr>
              <w:t xml:space="preserve">BTC DeFi Positioning</w:t>
            </w:r>
          </w:p>
        </w:tc>
        <w:tc>
          <w:tcPr>
            <w:tcW w:type="dxa" w:w="65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Establishes GeroWallet as a BTC DeFi entry point on Cardano, with potential for further BTC-related features</w:t>
            </w:r>
          </w:p>
        </w:tc>
      </w:tr>
    </w:tbl>
    <w:p>
      <w:pPr>
        <w:pBdr>
          <w:bottom w:val="single" w:color="2E86C1" w:sz="6" w:space="4"/>
        </w:pBdr>
        <w:spacing w:after="200" w:before="360"/>
      </w:pPr>
      <w:r>
        <w:rPr>
          <w:rFonts w:ascii="Arial" w:cs="Arial" w:eastAsia="Arial" w:hAnsi="Arial"/>
          <w:b/>
          <w:bCs/>
          <w:color w:val="2E86C1"/>
          <w:sz w:val="28"/>
          <w:szCs w:val="28"/>
        </w:rPr>
        <w:t xml:space="preserve">3. </w:t>
      </w:r>
      <w:r>
        <w:rPr>
          <w:rFonts w:ascii="Arial" w:cs="Arial" w:eastAsia="Arial" w:hAnsi="Arial"/>
          <w:b/>
          <w:bCs/>
          <w:color w:val="1B4F72"/>
          <w:sz w:val="28"/>
          <w:szCs w:val="28"/>
        </w:rPr>
        <w:t xml:space="preserve">Proposed User Experience</w:t>
      </w:r>
    </w:p>
    <w:p>
      <w:pPr>
        <w:spacing w:after="200" w:before="120"/>
        <w:jc w:val="left"/>
      </w:pPr>
      <w:r>
        <w:rPr>
          <w:rFonts w:ascii="Arial" w:cs="Arial" w:eastAsia="Arial" w:hAnsi="Arial"/>
          <w:b w:val="false"/>
          <w:bCs w:val="false"/>
          <w:i w:val="false"/>
          <w:iCs w:val="false"/>
          <w:color w:val="2C3E50"/>
          <w:sz w:val="22"/>
          <w:szCs w:val="22"/>
        </w:rPr>
        <w:t xml:space="preserve">The integration should feel native to GeroWallet – users should be able to discover, purchase, and monitor Bitcoin mining hashpower without ever leaving the wallet. The goal is a seamless experience that makes complex mining operations feel as simple as any other wallet transaction.</w:t>
      </w:r>
    </w:p>
    <w:p>
      <w:pPr>
        <w:spacing w:after="120" w:before="240"/>
      </w:pPr>
      <w:r>
        <w:rPr>
          <w:rFonts w:ascii="Arial" w:cs="Arial" w:eastAsia="Arial" w:hAnsi="Arial"/>
          <w:b/>
          <w:bCs/>
          <w:color w:val="2C3E50"/>
          <w:sz w:val="24"/>
          <w:szCs w:val="24"/>
        </w:rPr>
        <w:t xml:space="preserve">Core User Journeys</w:t>
      </w:r>
    </w:p>
    <w:p>
      <w:pPr>
        <w:spacing w:after="160" w:before="120"/>
        <w:jc w:val="left"/>
      </w:pPr>
      <w:r>
        <w:rPr>
          <w:rFonts w:ascii="Arial" w:cs="Arial" w:eastAsia="Arial" w:hAnsi="Arial"/>
          <w:b/>
          <w:bCs/>
          <w:i w:val="false"/>
          <w:iCs w:val="false"/>
          <w:color w:val="2C3E50"/>
          <w:sz w:val="22"/>
          <w:szCs w:val="22"/>
        </w:rPr>
        <w:t xml:space="preserve">Journey 1: Discovery and First Purchase. </w:t>
      </w:r>
      <w:r>
        <w:rPr>
          <w:rFonts w:ascii="Arial" w:cs="Arial" w:eastAsia="Arial" w:hAnsi="Arial"/>
          <w:b w:val="false"/>
          <w:bCs w:val="false"/>
          <w:i w:val="false"/>
          <w:iCs w:val="false"/>
          <w:color w:val="2C3E50"/>
          <w:sz w:val="22"/>
          <w:szCs w:val="22"/>
        </w:rPr>
        <w:t xml:space="preserve">A GERO holder sees the GoMining section in their wallet, browses available hashpower packages with clear pricing in both GERO and ADA, selects a package, confirms payment, and sees their new miner appear in their dashboard. The entire flow takes under two minutes.</w:t>
      </w:r>
    </w:p>
    <w:p>
      <w:pPr>
        <w:spacing w:after="160" w:before="120"/>
        <w:jc w:val="left"/>
      </w:pPr>
      <w:r>
        <w:rPr>
          <w:rFonts w:ascii="Arial" w:cs="Arial" w:eastAsia="Arial" w:hAnsi="Arial"/>
          <w:b/>
          <w:bCs/>
          <w:i w:val="false"/>
          <w:iCs w:val="false"/>
          <w:color w:val="2C3E50"/>
          <w:sz w:val="22"/>
          <w:szCs w:val="22"/>
        </w:rPr>
        <w:t xml:space="preserve">Journey 2: Portfolio Monitoring. </w:t>
      </w:r>
      <w:r>
        <w:rPr>
          <w:rFonts w:ascii="Arial" w:cs="Arial" w:eastAsia="Arial" w:hAnsi="Arial"/>
          <w:b w:val="false"/>
          <w:bCs w:val="false"/>
          <w:i w:val="false"/>
          <w:iCs w:val="false"/>
          <w:color w:val="2C3E50"/>
          <w:sz w:val="22"/>
          <w:szCs w:val="22"/>
        </w:rPr>
        <w:t xml:space="preserve">An existing mining user opens GeroWallet and sees their total hashpower, cumulative BTC earned, daily earning rate, and individual miner performance – all alongside their existing crypto portfolio. No context-switching to external platforms.</w:t>
      </w:r>
    </w:p>
    <w:p>
      <w:pPr>
        <w:spacing w:after="200" w:before="120"/>
        <w:jc w:val="left"/>
      </w:pPr>
      <w:r>
        <w:rPr>
          <w:rFonts w:ascii="Arial" w:cs="Arial" w:eastAsia="Arial" w:hAnsi="Arial"/>
          <w:b/>
          <w:bCs/>
          <w:i w:val="false"/>
          <w:iCs w:val="false"/>
          <w:color w:val="2C3E50"/>
          <w:sz w:val="22"/>
          <w:szCs w:val="22"/>
        </w:rPr>
        <w:t xml:space="preserve">Journey 3: Existing GoMining User. </w:t>
      </w:r>
      <w:r>
        <w:rPr>
          <w:rFonts w:ascii="Arial" w:cs="Arial" w:eastAsia="Arial" w:hAnsi="Arial"/>
          <w:b w:val="false"/>
          <w:bCs w:val="false"/>
          <w:i w:val="false"/>
          <w:iCs w:val="false"/>
          <w:color w:val="2C3E50"/>
          <w:sz w:val="22"/>
          <w:szCs w:val="22"/>
        </w:rPr>
        <w:t xml:space="preserve">A user who already has a GoMining account can link it to GeroWallet via their wallet address, bringing their existing mining portfolio into the unified dashboard.</w:t>
      </w:r>
    </w:p>
    <w:p>
      <w:pPr>
        <w:spacing w:after="120" w:before="240"/>
      </w:pPr>
      <w:r>
        <w:rPr>
          <w:rFonts w:ascii="Arial" w:cs="Arial" w:eastAsia="Arial" w:hAnsi="Arial"/>
          <w:b/>
          <w:bCs/>
          <w:color w:val="2C3E50"/>
          <w:sz w:val="24"/>
          <w:szCs w:val="24"/>
        </w:rPr>
        <w:t xml:space="preserve">Dashboard Concept</w:t>
      </w:r>
    </w:p>
    <w:p>
      <w:pPr>
        <w:spacing w:after="160" w:before="120"/>
        <w:jc w:val="left"/>
      </w:pPr>
      <w:r>
        <w:rPr>
          <w:rFonts w:ascii="Arial" w:cs="Arial" w:eastAsia="Arial" w:hAnsi="Arial"/>
          <w:b w:val="false"/>
          <w:bCs w:val="false"/>
          <w:i w:val="false"/>
          <w:iCs w:val="false"/>
          <w:color w:val="2C3E50"/>
          <w:sz w:val="22"/>
          <w:szCs w:val="22"/>
        </w:rPr>
        <w:t xml:space="preserve">The GoMining section would sit within GeroWallet’s existing navigation alongside the Financial Hub and Gero Card. The dashboard displays four key metrics at a glance: total hashpower (TH/s), total BTC earned, GERO/ADA spent, and daily earning rate. Below the metrics, users see a prominent “Buy Hashpower” call-to-action and a list of their active miners with individual performance data.</w:t>
      </w:r>
    </w:p>
    <w:p>
      <w:pPr>
        <w:spacing w:after="120" w:before="240"/>
      </w:pPr>
      <w:r>
        <w:rPr>
          <w:rFonts w:ascii="Arial" w:cs="Arial" w:eastAsia="Arial" w:hAnsi="Arial"/>
          <w:b/>
          <w:bCs/>
          <w:color w:val="2C3E50"/>
          <w:sz w:val="24"/>
          <w:szCs w:val="24"/>
        </w:rPr>
        <w:t xml:space="preserve">Purchase Flow</w:t>
      </w:r>
    </w:p>
    <w:p>
      <w:pPr>
        <w:spacing w:after="200" w:before="120"/>
        <w:jc w:val="left"/>
      </w:pPr>
      <w:r>
        <w:rPr>
          <w:rFonts w:ascii="Arial" w:cs="Arial" w:eastAsia="Arial" w:hAnsi="Arial"/>
          <w:b w:val="false"/>
          <w:bCs w:val="false"/>
          <w:i w:val="false"/>
          <w:iCs w:val="false"/>
          <w:color w:val="2C3E50"/>
          <w:sz w:val="22"/>
          <w:szCs w:val="22"/>
        </w:rPr>
        <w:t xml:space="preserve">The purchase experience is designed to be straightforward. Users select from tiered hashpower packages (suggested: 1, 5, and 10 TH/s), see pricing in both GERO and ADA with USD equivalent, choose their payment token, verify the transaction, and receive confirmation. Daily BTC rewards begin immediately. The exact package tiers and pricing would be finalised with GoMining during the partnership onboarding.</w:t>
      </w:r>
    </w:p>
    <w:p>
      <w:pPr>
        <w:pBdr>
          <w:bottom w:val="single" w:color="2E86C1" w:sz="6" w:space="4"/>
        </w:pBdr>
        <w:spacing w:after="200" w:before="360"/>
      </w:pPr>
      <w:r>
        <w:rPr>
          <w:rFonts w:ascii="Arial" w:cs="Arial" w:eastAsia="Arial" w:hAnsi="Arial"/>
          <w:b/>
          <w:bCs/>
          <w:color w:val="2E86C1"/>
          <w:sz w:val="28"/>
          <w:szCs w:val="28"/>
        </w:rPr>
        <w:t xml:space="preserve">4. </w:t>
      </w:r>
      <w:r>
        <w:rPr>
          <w:rFonts w:ascii="Arial" w:cs="Arial" w:eastAsia="Arial" w:hAnsi="Arial"/>
          <w:b/>
          <w:bCs/>
          <w:color w:val="1B4F72"/>
          <w:sz w:val="28"/>
          <w:szCs w:val="28"/>
        </w:rPr>
        <w:t xml:space="preserve">GERO Token Impact</w:t>
      </w:r>
    </w:p>
    <w:p>
      <w:pPr>
        <w:spacing w:after="160" w:before="120"/>
        <w:jc w:val="left"/>
      </w:pPr>
      <w:r>
        <w:rPr>
          <w:rFonts w:ascii="Arial" w:cs="Arial" w:eastAsia="Arial" w:hAnsi="Arial"/>
          <w:b w:val="false"/>
          <w:bCs w:val="false"/>
          <w:i w:val="false"/>
          <w:iCs w:val="false"/>
          <w:color w:val="2C3E50"/>
          <w:sz w:val="22"/>
          <w:szCs w:val="22"/>
        </w:rPr>
        <w:t xml:space="preserve">One of the most compelling aspects of this integration is its potential impact on the GERO token. Currently, GERO’s primary utility is card discounts and governance participation. Mining integration would add a powerful new use case: direct payment for a product that generates returns (BTC mining rewards).</w:t>
      </w:r>
    </w:p>
    <w:p>
      <w:pPr>
        <w:spacing w:after="160" w:before="120"/>
        <w:jc w:val="left"/>
      </w:pPr>
      <w:r>
        <w:rPr>
          <w:rFonts w:ascii="Arial" w:cs="Arial" w:eastAsia="Arial" w:hAnsi="Arial"/>
          <w:b w:val="false"/>
          <w:bCs w:val="false"/>
          <w:i w:val="false"/>
          <w:iCs w:val="false"/>
          <w:color w:val="2C3E50"/>
          <w:sz w:val="22"/>
          <w:szCs w:val="22"/>
        </w:rPr>
        <w:t xml:space="preserve">By accepting both GERO and ADA as payment, the integration avoids creating a barrier for users who don’t hold GERO while still incentivising GERO usage. Users naturally gravitate toward using the token that’s already in their wallet, and if GERO holders can access preferential pricing or exclusive tiers, the incentive becomes even stronger.</w:t>
      </w:r>
    </w:p>
    <w:p>
      <w:pPr>
        <w:spacing w:after="200" w:before="120"/>
        <w:jc w:val="left"/>
      </w:pPr>
      <w:r>
        <w:rPr>
          <w:rFonts w:ascii="Arial" w:cs="Arial" w:eastAsia="Arial" w:hAnsi="Arial"/>
          <w:b w:val="false"/>
          <w:bCs w:val="false"/>
          <w:i w:val="false"/>
          <w:iCs w:val="false"/>
          <w:color w:val="2C3E50"/>
          <w:sz w:val="22"/>
          <w:szCs w:val="22"/>
        </w:rPr>
        <w:t xml:space="preserve">This creates organic, utility-driven demand for GERO – the kind of sustainable demand that comes from real product usage rather than speculation.</w:t>
      </w:r>
    </w:p>
    <w:p>
      <w:pPr>
        <w:pBdr>
          <w:bottom w:val="single" w:color="2E86C1" w:sz="6" w:space="4"/>
        </w:pBdr>
        <w:spacing w:after="200" w:before="360"/>
      </w:pPr>
      <w:r>
        <w:rPr>
          <w:rFonts w:ascii="Arial" w:cs="Arial" w:eastAsia="Arial" w:hAnsi="Arial"/>
          <w:b/>
          <w:bCs/>
          <w:color w:val="2E86C1"/>
          <w:sz w:val="28"/>
          <w:szCs w:val="28"/>
        </w:rPr>
        <w:t xml:space="preserve">5. </w:t>
      </w:r>
      <w:r>
        <w:rPr>
          <w:rFonts w:ascii="Arial" w:cs="Arial" w:eastAsia="Arial" w:hAnsi="Arial"/>
          <w:b/>
          <w:bCs/>
          <w:color w:val="1B4F72"/>
          <w:sz w:val="28"/>
          <w:szCs w:val="28"/>
        </w:rPr>
        <w:t xml:space="preserve">Phased Delivery Plan</w:t>
      </w:r>
    </w:p>
    <w:p>
      <w:pPr>
        <w:spacing w:after="200" w:before="120"/>
        <w:jc w:val="left"/>
      </w:pPr>
      <w:r>
        <w:rPr>
          <w:rFonts w:ascii="Arial" w:cs="Arial" w:eastAsia="Arial" w:hAnsi="Arial"/>
          <w:b w:val="false"/>
          <w:bCs w:val="false"/>
          <w:i w:val="false"/>
          <w:iCs w:val="false"/>
          <w:color w:val="2C3E50"/>
          <w:sz w:val="22"/>
          <w:szCs w:val="22"/>
        </w:rPr>
        <w:t xml:space="preserve">A phased approach allows GeroWallet to validate the opportunity with minimal upfront investment, then scale based on real user data. Each phase builds on the previous one and includes clear go/no-go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2400"/>
        <w:gridCol w:w="2360"/>
      </w:tblGrid>
      <w:tr>
        <w:tc>
          <w:tcPr>
            <w:tcW w:type="dxa" w:w="14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Phase</w:t>
            </w:r>
          </w:p>
        </w:tc>
        <w:tc>
          <w:tcPr>
            <w:tcW w:type="dxa" w:w="32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Scope</w:t>
            </w:r>
          </w:p>
        </w:tc>
        <w:tc>
          <w:tcPr>
            <w:tcW w:type="dxa" w:w="24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Key Deliverables</w:t>
            </w:r>
          </w:p>
        </w:tc>
        <w:tc>
          <w:tcPr>
            <w:tcW w:type="dxa" w:w="23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Success Criteria</w:t>
            </w:r>
          </w:p>
        </w:tc>
      </w:tr>
      <w:tr>
        <w:tc>
          <w:tcPr>
            <w:tcW w:type="dxa" w:w="1400"/>
            <w:tcBorders>
              <w:top w:val="single" w:color="D5D8DC" w:sz="1"/>
              <w:left w:val="single" w:color="D5D8DC" w:sz="1"/>
              <w:bottom w:val="single" w:color="D5D8DC" w:sz="1"/>
              <w:right w:val="single" w:color="D5D8DC" w:sz="1"/>
            </w:tcBorders>
            <w:shd w:fill="D6EAF8" w:val="clear"/>
            <w:tcMar>
              <w:top w:type="dxa" w:w="80"/>
              <w:left w:type="dxa" w:w="120"/>
              <w:bottom w:type="dxa" w:w="80"/>
              <w:right w:type="dxa" w:w="120"/>
            </w:tcMar>
            <w:vAlign w:val="center"/>
          </w:tcPr>
          <w:p>
            <w:pPr>
              <w:jc w:val="left"/>
            </w:pPr>
            <w:r>
              <w:rPr>
                <w:rFonts w:ascii="Arial" w:cs="Arial" w:eastAsia="Arial" w:hAnsi="Arial"/>
                <w:b/>
                <w:bCs/>
                <w:color w:val="2C3E50"/>
                <w:sz w:val="20"/>
                <w:szCs w:val="20"/>
              </w:rPr>
              <w:t xml:space="preserve">Phase 1
MVP</w:t>
            </w:r>
          </w:p>
        </w:tc>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Core integration: dashboard, purchase flow with GERO/ADA payment, error handling, account linking</w:t>
            </w:r>
          </w:p>
        </w:tc>
        <w:tc>
          <w:tcPr>
            <w:tcW w:type="dxa" w:w="24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GoMining API integration, purchase UI, mining dashboard, basic analytics</w:t>
            </w:r>
          </w:p>
        </w:tc>
        <w:tc>
          <w:tcPr>
            <w:tcW w:type="dxa" w:w="23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5% of active users engage; 2% purchase conversion rate</w:t>
            </w:r>
          </w:p>
        </w:tc>
      </w:tr>
      <w:tr>
        <w:tc>
          <w:tcPr>
            <w:tcW w:type="dxa" w:w="1400"/>
            <w:tcBorders>
              <w:top w:val="single" w:color="D5D8DC" w:sz="1"/>
              <w:left w:val="single" w:color="D5D8DC" w:sz="1"/>
              <w:bottom w:val="single" w:color="D5D8DC" w:sz="1"/>
              <w:right w:val="single" w:color="D5D8DC" w:sz="1"/>
            </w:tcBorders>
            <w:shd w:fill="D6EAF8" w:val="clear"/>
            <w:tcMar>
              <w:top w:type="dxa" w:w="80"/>
              <w:left w:type="dxa" w:w="120"/>
              <w:bottom w:type="dxa" w:w="80"/>
              <w:right w:type="dxa" w:w="120"/>
            </w:tcMar>
            <w:vAlign w:val="center"/>
          </w:tcPr>
          <w:p>
            <w:pPr>
              <w:jc w:val="left"/>
            </w:pPr>
            <w:r>
              <w:rPr>
                <w:rFonts w:ascii="Arial" w:cs="Arial" w:eastAsia="Arial" w:hAnsi="Arial"/>
                <w:b/>
                <w:bCs/>
                <w:color w:val="2C3E50"/>
                <w:sz w:val="20"/>
                <w:szCs w:val="20"/>
              </w:rPr>
              <w:t xml:space="preserve">Phase 2
Growth</w:t>
            </w:r>
          </w:p>
        </w:tc>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Referral programme with tiered rewards (Bronze/Silver/Gold), bonus hashpower incentives</w:t>
            </w:r>
          </w:p>
        </w:tc>
        <w:tc>
          <w:tcPr>
            <w:tcW w:type="dxa" w:w="24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Referral codes, tier tracking, bonus application, social sharing</w:t>
            </w:r>
          </w:p>
        </w:tc>
        <w:tc>
          <w:tcPr>
            <w:tcW w:type="dxa" w:w="23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0.5 referrals per purchaser; measurable user growth</w:t>
            </w:r>
          </w:p>
        </w:tc>
      </w:tr>
      <w:tr>
        <w:tc>
          <w:tcPr>
            <w:tcW w:type="dxa" w:w="1400"/>
            <w:tcBorders>
              <w:top w:val="single" w:color="D5D8DC" w:sz="1"/>
              <w:left w:val="single" w:color="D5D8DC" w:sz="1"/>
              <w:bottom w:val="single" w:color="D5D8DC" w:sz="1"/>
              <w:right w:val="single" w:color="D5D8DC" w:sz="1"/>
            </w:tcBorders>
            <w:shd w:fill="D6EAF8" w:val="clear"/>
            <w:tcMar>
              <w:top w:type="dxa" w:w="80"/>
              <w:left w:type="dxa" w:w="120"/>
              <w:bottom w:type="dxa" w:w="80"/>
              <w:right w:type="dxa" w:w="120"/>
            </w:tcMar>
            <w:vAlign w:val="center"/>
          </w:tcPr>
          <w:p>
            <w:pPr>
              <w:jc w:val="left"/>
            </w:pPr>
            <w:r>
              <w:rPr>
                <w:rFonts w:ascii="Arial" w:cs="Arial" w:eastAsia="Arial" w:hAnsi="Arial"/>
                <w:b/>
                <w:bCs/>
                <w:color w:val="2C3E50"/>
                <w:sz w:val="20"/>
                <w:szCs w:val="20"/>
              </w:rPr>
              <w:t xml:space="preserve">Phase 3
Scale</w:t>
            </w:r>
          </w:p>
        </w:tc>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White-label API enabling third-party platforms to offer GoMining through Gero infrastructure</w:t>
            </w:r>
          </w:p>
        </w:tc>
        <w:tc>
          <w:tcPr>
            <w:tcW w:type="dxa" w:w="24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Partner API, key management, commission tracking, documentation</w:t>
            </w:r>
          </w:p>
        </w:tc>
        <w:tc>
          <w:tcPr>
            <w:tcW w:type="dxa" w:w="23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First external partner live; revenue from commissions</w:t>
            </w:r>
          </w:p>
        </w:tc>
      </w:tr>
    </w:tbl>
    <w:p>
      <w:pPr>
        <w:spacing w:after="120" w:before="120"/>
        <w:jc w:val="left"/>
      </w:pPr>
      <w:r>
        <w:rPr>
          <w:rFonts w:ascii="Arial" w:cs="Arial" w:eastAsia="Arial" w:hAnsi="Arial"/>
          <w:b w:val="false"/>
          <w:bCs w:val="false"/>
          <w:i w:val="false"/>
          <w:iCs w:val="false"/>
          <w:color w:val="2C3E50"/>
          <w:sz w:val="22"/>
          <w:szCs w:val="22"/>
        </w:rPr>
        <w:t xml:space="preserve"/>
      </w:r>
    </w:p>
    <w:p>
      <w:pPr>
        <w:spacing w:after="200" w:before="120"/>
        <w:jc w:val="left"/>
      </w:pPr>
      <w:r>
        <w:rPr>
          <w:rFonts w:ascii="Arial" w:cs="Arial" w:eastAsia="Arial" w:hAnsi="Arial"/>
          <w:b/>
          <w:bCs/>
          <w:i w:val="false"/>
          <w:iCs w:val="false"/>
          <w:color w:val="2C3E50"/>
          <w:sz w:val="22"/>
          <w:szCs w:val="22"/>
        </w:rPr>
        <w:t xml:space="preserve">Phase 1 recommendation: </w:t>
      </w:r>
      <w:r>
        <w:rPr>
          <w:rFonts w:ascii="Arial" w:cs="Arial" w:eastAsia="Arial" w:hAnsi="Arial"/>
          <w:b w:val="false"/>
          <w:bCs w:val="false"/>
          <w:i w:val="false"/>
          <w:iCs w:val="false"/>
          <w:color w:val="2C3E50"/>
          <w:sz w:val="22"/>
          <w:szCs w:val="22"/>
        </w:rPr>
        <w:t xml:space="preserve">Start with the MVP to validate user interest and establish the technical integration. Development can proceed with mock API services while the partnership is formalised, then switch to the live GoMining API when credentials are available. This allows engineering work to begin in parallel with business discussions.</w:t>
      </w:r>
    </w:p>
    <w:p>
      <w:pPr>
        <w:pBdr>
          <w:bottom w:val="single" w:color="2E86C1" w:sz="6" w:space="4"/>
        </w:pBdr>
        <w:spacing w:after="200" w:before="360"/>
      </w:pPr>
      <w:r>
        <w:rPr>
          <w:rFonts w:ascii="Arial" w:cs="Arial" w:eastAsia="Arial" w:hAnsi="Arial"/>
          <w:b/>
          <w:bCs/>
          <w:color w:val="2E86C1"/>
          <w:sz w:val="28"/>
          <w:szCs w:val="28"/>
        </w:rPr>
        <w:t xml:space="preserve">6. </w:t>
      </w:r>
      <w:r>
        <w:rPr>
          <w:rFonts w:ascii="Arial" w:cs="Arial" w:eastAsia="Arial" w:hAnsi="Arial"/>
          <w:b/>
          <w:bCs/>
          <w:color w:val="1B4F72"/>
          <w:sz w:val="28"/>
          <w:szCs w:val="28"/>
        </w:rPr>
        <w:t xml:space="preserve">Technical Considerations</w:t>
      </w:r>
    </w:p>
    <w:p>
      <w:pPr>
        <w:spacing w:after="160" w:before="120"/>
        <w:jc w:val="left"/>
      </w:pPr>
      <w:r>
        <w:rPr>
          <w:rFonts w:ascii="Arial" w:cs="Arial" w:eastAsia="Arial" w:hAnsi="Arial"/>
          <w:b w:val="false"/>
          <w:bCs w:val="false"/>
          <w:i w:val="false"/>
          <w:iCs w:val="false"/>
          <w:color w:val="2C3E50"/>
          <w:sz w:val="22"/>
          <w:szCs w:val="22"/>
        </w:rPr>
        <w:t xml:space="preserve">The integration is designed to work within GeroWallet’s existing Vue.js architecture using lazy-loaded feature modules, consistent with the current codebase patterns. Key technical components include a dedicated GoMining page, dashboard, purchase modal, API service layer, and state management.</w:t>
      </w:r>
    </w:p>
    <w:p>
      <w:pPr>
        <w:spacing w:after="160" w:before="120"/>
        <w:jc w:val="left"/>
      </w:pPr>
      <w:r>
        <w:rPr>
          <w:rFonts w:ascii="Arial" w:cs="Arial" w:eastAsia="Arial" w:hAnsi="Arial"/>
          <w:b w:val="false"/>
          <w:bCs w:val="false"/>
          <w:i w:val="false"/>
          <w:iCs w:val="false"/>
          <w:color w:val="2C3E50"/>
          <w:sz w:val="22"/>
          <w:szCs w:val="22"/>
        </w:rPr>
        <w:t xml:space="preserve">GoMining has shared API documentation covering user data, available packages, order creation, and earnings history. The API can be consumed via a service layer that abstracts GoMining’s endpoints, making it straightforward to swap between mock and production environments during development.</w:t>
      </w:r>
    </w:p>
    <w:p>
      <w:pPr>
        <w:spacing w:after="160" w:before="120"/>
        <w:jc w:val="left"/>
      </w:pPr>
      <w:r>
        <w:rPr>
          <w:rFonts w:ascii="Arial" w:cs="Arial" w:eastAsia="Arial" w:hAnsi="Arial"/>
          <w:b w:val="false"/>
          <w:bCs w:val="false"/>
          <w:i w:val="false"/>
          <w:iCs w:val="false"/>
          <w:color w:val="2C3E50"/>
          <w:sz w:val="22"/>
          <w:szCs w:val="22"/>
        </w:rPr>
        <w:t xml:space="preserve">Payment flow handles token selection (GERO or ADA), balance verification, transaction creation, order submission to GoMining, and dashboard refresh. Price feeds can leverage the existing Dexhunter integration for GERO/ADA to USD conversion.</w:t>
      </w:r>
    </w:p>
    <w:p>
      <w:pPr>
        <w:spacing w:after="200" w:before="120"/>
        <w:jc w:val="left"/>
      </w:pPr>
      <w:r>
        <w:rPr>
          <w:rFonts w:ascii="Arial" w:cs="Arial" w:eastAsia="Arial" w:hAnsi="Arial"/>
          <w:b/>
          <w:bCs/>
          <w:i/>
          <w:iCs/>
          <w:color w:val="2C3E50"/>
          <w:sz w:val="22"/>
          <w:szCs w:val="22"/>
        </w:rPr>
        <w:t xml:space="preserve">Note: </w:t>
      </w:r>
      <w:r>
        <w:rPr>
          <w:rFonts w:ascii="Arial" w:cs="Arial" w:eastAsia="Arial" w:hAnsi="Arial"/>
          <w:b w:val="false"/>
          <w:bCs w:val="false"/>
          <w:i/>
          <w:iCs/>
          <w:color w:val="2C3E50"/>
          <w:sz w:val="22"/>
          <w:szCs w:val="22"/>
        </w:rPr>
        <w:t xml:space="preserve">A detailed technical specification with component breakdowns, API endpoint mapping, and mock service strategy is available separately for the CTO and engineering team.</w:t>
      </w:r>
    </w:p>
    <w:p>
      <w:pPr>
        <w:pBdr>
          <w:bottom w:val="single" w:color="2E86C1" w:sz="6" w:space="4"/>
        </w:pBdr>
        <w:spacing w:after="200" w:before="360"/>
      </w:pPr>
      <w:r>
        <w:rPr>
          <w:rFonts w:ascii="Arial" w:cs="Arial" w:eastAsia="Arial" w:hAnsi="Arial"/>
          <w:b/>
          <w:bCs/>
          <w:color w:val="2E86C1"/>
          <w:sz w:val="28"/>
          <w:szCs w:val="28"/>
        </w:rPr>
        <w:t xml:space="preserve">7. </w:t>
      </w:r>
      <w:r>
        <w:rPr>
          <w:rFonts w:ascii="Arial" w:cs="Arial" w:eastAsia="Arial" w:hAnsi="Arial"/>
          <w:b/>
          <w:bCs/>
          <w:color w:val="1B4F72"/>
          <w:sz w:val="28"/>
          <w:szCs w:val="28"/>
        </w:rPr>
        <w:t xml:space="preserve">Risks and Mitigations</w:t>
      </w:r>
    </w:p>
    <w:p>
      <w:pPr>
        <w:spacing w:after="200" w:before="120"/>
        <w:jc w:val="left"/>
      </w:pPr>
      <w:r>
        <w:rPr>
          <w:rFonts w:ascii="Arial" w:cs="Arial" w:eastAsia="Arial" w:hAnsi="Arial"/>
          <w:b w:val="false"/>
          <w:bCs w:val="false"/>
          <w:i w:val="false"/>
          <w:iCs w:val="false"/>
          <w:color w:val="2C3E50"/>
          <w:sz w:val="22"/>
          <w:szCs w:val="22"/>
        </w:rPr>
        <w:t xml:space="preserve">Every new integration carries risk. The table below identifies the key risks and proposed mitigations, designed to keep the approach pragmatic and low-risk.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200"/>
        <w:gridCol w:w="4760"/>
      </w:tblGrid>
      <w:tr>
        <w:tc>
          <w:tcPr>
            <w:tcW w:type="dxa" w:w="22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Risk</w:t>
            </w:r>
          </w:p>
        </w:tc>
        <w:tc>
          <w:tcPr>
            <w:tcW w:type="dxa" w:w="12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Likelihood</w:t>
            </w:r>
          </w:p>
        </w:tc>
        <w:tc>
          <w:tcPr>
            <w:tcW w:type="dxa" w:w="12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Impact</w:t>
            </w:r>
          </w:p>
        </w:tc>
        <w:tc>
          <w:tcPr>
            <w:tcW w:type="dxa" w:w="47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Mitigation</w:t>
            </w:r>
          </w:p>
        </w:tc>
      </w:tr>
      <w:tr>
        <w:tc>
          <w:tcPr>
            <w:tcW w:type="dxa" w:w="2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GERO liquidity concerns</w:t>
            </w:r>
          </w:p>
        </w:tc>
        <w:tc>
          <w:tcPr>
            <w:tcW w:type="dxa" w:w="12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Medium</w:t>
            </w:r>
          </w:p>
        </w:tc>
        <w:tc>
          <w:tcPr>
            <w:tcW w:type="dxa" w:w="12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Medium</w:t>
            </w:r>
          </w:p>
        </w:tc>
        <w:tc>
          <w:tcPr>
            <w:tcW w:type="dxa" w:w="47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Dual payment (GERO + ADA) removes the blocker entirely. Use case drives organic demand over time.</w:t>
            </w:r>
          </w:p>
        </w:tc>
      </w:tr>
      <w:tr>
        <w:tc>
          <w:tcPr>
            <w:tcW w:type="dxa" w:w="2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GoMining API reliability</w:t>
            </w:r>
          </w:p>
        </w:tc>
        <w:tc>
          <w:tcPr>
            <w:tcW w:type="dxa" w:w="12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Medium</w:t>
            </w:r>
          </w:p>
        </w:tc>
        <w:tc>
          <w:tcPr>
            <w:tcW w:type="dxa" w:w="12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Medium</w:t>
            </w:r>
          </w:p>
        </w:tc>
        <w:tc>
          <w:tcPr>
            <w:tcW w:type="dxa" w:w="47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Require SLA commitments before production launch. Build robust error handling and fallback states into the UI.</w:t>
            </w:r>
          </w:p>
        </w:tc>
      </w:tr>
      <w:tr>
        <w:tc>
          <w:tcPr>
            <w:tcW w:type="dxa" w:w="2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GERO price volatility</w:t>
            </w:r>
          </w:p>
        </w:tc>
        <w:tc>
          <w:tcPr>
            <w:tcW w:type="dxa" w:w="12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High</w:t>
            </w:r>
          </w:p>
        </w:tc>
        <w:tc>
          <w:tcPr>
            <w:tcW w:type="dxa" w:w="12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Low</w:t>
            </w:r>
          </w:p>
        </w:tc>
        <w:tc>
          <w:tcPr>
            <w:tcW w:type="dxa" w:w="47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Lock pricing at transaction time and display USD equivalent throughout the purchase flow.</w:t>
            </w:r>
          </w:p>
        </w:tc>
      </w:tr>
      <w:tr>
        <w:tc>
          <w:tcPr>
            <w:tcW w:type="dxa" w:w="2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User adoption uncertainty</w:t>
            </w:r>
          </w:p>
        </w:tc>
        <w:tc>
          <w:tcPr>
            <w:tcW w:type="dxa" w:w="12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Low</w:t>
            </w:r>
          </w:p>
        </w:tc>
        <w:tc>
          <w:tcPr>
            <w:tcW w:type="dxa" w:w="12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Medium</w:t>
            </w:r>
          </w:p>
        </w:tc>
        <w:tc>
          <w:tcPr>
            <w:tcW w:type="dxa" w:w="47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Phased approach limits investment. Phase 1 validates demand before committing to Phase 2/3 development.</w:t>
            </w:r>
          </w:p>
        </w:tc>
      </w:tr>
      <w:tr>
        <w:tc>
          <w:tcPr>
            <w:tcW w:type="dxa" w:w="2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Partnership terms unclear</w:t>
            </w:r>
          </w:p>
        </w:tc>
        <w:tc>
          <w:tcPr>
            <w:tcW w:type="dxa" w:w="12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Low</w:t>
            </w:r>
          </w:p>
        </w:tc>
        <w:tc>
          <w:tcPr>
            <w:tcW w:type="dxa" w:w="12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Medium</w:t>
            </w:r>
          </w:p>
        </w:tc>
        <w:tc>
          <w:tcPr>
            <w:tcW w:type="dxa" w:w="47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Development can proceed with mock APIs while commercial terms are finalised in parallel.</w:t>
            </w:r>
          </w:p>
        </w:tc>
      </w:tr>
    </w:tbl>
    <w:p>
      <w:pPr>
        <w:pBdr>
          <w:bottom w:val="single" w:color="2E86C1" w:sz="6" w:space="4"/>
        </w:pBdr>
        <w:spacing w:after="200" w:before="360"/>
      </w:pPr>
      <w:r>
        <w:rPr>
          <w:rFonts w:ascii="Arial" w:cs="Arial" w:eastAsia="Arial" w:hAnsi="Arial"/>
          <w:b/>
          <w:bCs/>
          <w:color w:val="2E86C1"/>
          <w:sz w:val="28"/>
          <w:szCs w:val="28"/>
        </w:rPr>
        <w:t xml:space="preserve">8. </w:t>
      </w:r>
      <w:r>
        <w:rPr>
          <w:rFonts w:ascii="Arial" w:cs="Arial" w:eastAsia="Arial" w:hAnsi="Arial"/>
          <w:b/>
          <w:bCs/>
          <w:color w:val="1B4F72"/>
          <w:sz w:val="28"/>
          <w:szCs w:val="28"/>
        </w:rPr>
        <w:t xml:space="preserve">Decisions Needed</w:t>
      </w:r>
    </w:p>
    <w:p>
      <w:pPr>
        <w:spacing w:after="160" w:before="120"/>
        <w:jc w:val="left"/>
      </w:pPr>
      <w:r>
        <w:rPr>
          <w:rFonts w:ascii="Arial" w:cs="Arial" w:eastAsia="Arial" w:hAnsi="Arial"/>
          <w:b w:val="false"/>
          <w:bCs w:val="false"/>
          <w:i w:val="false"/>
          <w:iCs w:val="false"/>
          <w:color w:val="2C3E50"/>
          <w:sz w:val="22"/>
          <w:szCs w:val="22"/>
        </w:rPr>
        <w:t xml:space="preserve">To move this initiative forward, the following decisions and actions are needed from leadership: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560"/>
        <w:gridCol w:w="2200"/>
        <w:gridCol w:w="2000"/>
      </w:tblGrid>
      <w:tr>
        <w:tc>
          <w:tcPr>
            <w:tcW w:type="dxa" w:w="6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W w:type="dxa" w:w="45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Decision / Action</w:t>
            </w:r>
          </w:p>
        </w:tc>
        <w:tc>
          <w:tcPr>
            <w:tcW w:type="dxa" w:w="22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Owner</w:t>
            </w:r>
          </w:p>
        </w:tc>
        <w:tc>
          <w:tcPr>
            <w:tcW w:type="dxa" w:w="20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Priority</w:t>
            </w:r>
          </w:p>
        </w:tc>
      </w:tr>
      <w:tr>
        <w:tc>
          <w:tcPr>
            <w:tcW w:type="dxa" w:w="6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1</w:t>
            </w:r>
          </w:p>
        </w:tc>
        <w:tc>
          <w:tcPr>
            <w:tcW w:type="dxa" w:w="45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Confirm strategic interest in pursuing GoMining integration</w:t>
            </w:r>
          </w:p>
        </w:tc>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CEO</w:t>
            </w:r>
          </w:p>
        </w:tc>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bCs/>
                <w:color w:val="2C3E50"/>
                <w:sz w:val="20"/>
                <w:szCs w:val="20"/>
              </w:rPr>
              <w:t xml:space="preserve">High</w:t>
            </w:r>
          </w:p>
        </w:tc>
      </w:tr>
      <w:tr>
        <w:tc>
          <w:tcPr>
            <w:tcW w:type="dxa" w:w="6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2</w:t>
            </w:r>
          </w:p>
        </w:tc>
        <w:tc>
          <w:tcPr>
            <w:tcW w:type="dxa" w:w="45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Initiate or continue commercial discussions with GoMining (commission structure, SLAs, partnership terms)</w:t>
            </w:r>
          </w:p>
        </w:tc>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CEO / Business</w:t>
            </w:r>
          </w:p>
        </w:tc>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bCs/>
                <w:color w:val="2C3E50"/>
                <w:sz w:val="20"/>
                <w:szCs w:val="20"/>
              </w:rPr>
              <w:t xml:space="preserve">High</w:t>
            </w:r>
          </w:p>
        </w:tc>
      </w:tr>
      <w:tr>
        <w:tc>
          <w:tcPr>
            <w:tcW w:type="dxa" w:w="6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3</w:t>
            </w:r>
          </w:p>
        </w:tc>
        <w:tc>
          <w:tcPr>
            <w:tcW w:type="dxa" w:w="45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Confirm source code access and engineering resource availability for Phase 1</w:t>
            </w:r>
          </w:p>
        </w:tc>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CTO</w:t>
            </w:r>
          </w:p>
        </w:tc>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bCs/>
                <w:color w:val="2C3E50"/>
                <w:sz w:val="20"/>
                <w:szCs w:val="20"/>
              </w:rPr>
              <w:t xml:space="preserve">High</w:t>
            </w:r>
          </w:p>
        </w:tc>
      </w:tr>
      <w:tr>
        <w:tc>
          <w:tcPr>
            <w:tcW w:type="dxa" w:w="6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4</w:t>
            </w:r>
          </w:p>
        </w:tc>
        <w:tc>
          <w:tcPr>
            <w:tcW w:type="dxa" w:w="45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Decide on hashpower tier structure (number of tiers, minimum purchase)</w:t>
            </w:r>
          </w:p>
        </w:tc>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Product + Business</w:t>
            </w:r>
          </w:p>
        </w:tc>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Medium</w:t>
            </w:r>
          </w:p>
        </w:tc>
      </w:tr>
      <w:tr>
        <w:tc>
          <w:tcPr>
            <w:tcW w:type="dxa" w:w="6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5</w:t>
            </w:r>
          </w:p>
        </w:tc>
        <w:tc>
          <w:tcPr>
            <w:tcW w:type="dxa" w:w="45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Determine visibility rules (show to all users vs. GERO holders only)</w:t>
            </w:r>
          </w:p>
        </w:tc>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Product + Design</w:t>
            </w:r>
          </w:p>
        </w:tc>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Medium</w:t>
            </w:r>
          </w:p>
        </w:tc>
      </w:tr>
      <w:tr>
        <w:tc>
          <w:tcPr>
            <w:tcW w:type="dxa" w:w="6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6</w:t>
            </w:r>
          </w:p>
        </w:tc>
        <w:tc>
          <w:tcPr>
            <w:tcW w:type="dxa" w:w="456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Design Authority review of proposed UI placement and user flows</w:t>
            </w:r>
          </w:p>
        </w:tc>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Design Authority</w:t>
            </w:r>
          </w:p>
        </w:tc>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Medium</w:t>
            </w:r>
          </w:p>
        </w:tc>
      </w:tr>
    </w:tbl>
    <w:p>
      <w:pPr>
        <w:pBdr>
          <w:bottom w:val="single" w:color="2E86C1" w:sz="6" w:space="4"/>
        </w:pBdr>
        <w:spacing w:after="200" w:before="360"/>
      </w:pPr>
      <w:r>
        <w:rPr>
          <w:rFonts w:ascii="Arial" w:cs="Arial" w:eastAsia="Arial" w:hAnsi="Arial"/>
          <w:b/>
          <w:bCs/>
          <w:color w:val="2E86C1"/>
          <w:sz w:val="28"/>
          <w:szCs w:val="28"/>
        </w:rPr>
        <w:t xml:space="preserve">9. </w:t>
      </w:r>
      <w:r>
        <w:rPr>
          <w:rFonts w:ascii="Arial" w:cs="Arial" w:eastAsia="Arial" w:hAnsi="Arial"/>
          <w:b/>
          <w:bCs/>
          <w:color w:val="1B4F72"/>
          <w:sz w:val="28"/>
          <w:szCs w:val="28"/>
        </w:rPr>
        <w:t xml:space="preserve">Proposed Next Steps</w:t>
      </w:r>
    </w:p>
    <w:p>
      <w:pPr>
        <w:spacing w:after="160" w:before="120"/>
        <w:jc w:val="left"/>
      </w:pPr>
      <w:r>
        <w:rPr>
          <w:rFonts w:ascii="Arial" w:cs="Arial" w:eastAsia="Arial" w:hAnsi="Arial"/>
          <w:b w:val="false"/>
          <w:bCs w:val="false"/>
          <w:i w:val="false"/>
          <w:iCs w:val="false"/>
          <w:color w:val="2C3E50"/>
          <w:sz w:val="22"/>
          <w:szCs w:val="22"/>
        </w:rPr>
        <w:t xml:space="preserve">If the team is aligned on pursuing this opportunity, the following steps would move us toward Phase 1 delivery:</w:t>
      </w:r>
    </w:p>
    <w:p>
      <w:pPr>
        <w:pStyle w:val="ListParagraph"/>
        <w:numPr>
          <w:ilvl w:val="0"/>
          <w:numId w:val="3"/>
        </w:numPr>
        <w:spacing w:after="80"/>
      </w:pPr>
      <w:r>
        <w:rPr>
          <w:rFonts w:ascii="Arial" w:cs="Arial" w:eastAsia="Arial" w:hAnsi="Arial"/>
          <w:b/>
          <w:bCs/>
          <w:color w:val="2C3E50"/>
          <w:sz w:val="22"/>
          <w:szCs w:val="22"/>
        </w:rPr>
        <w:t xml:space="preserve">Leadership alignment meeting </w:t>
      </w:r>
      <w:r>
        <w:rPr>
          <w:rFonts w:ascii="Arial" w:cs="Arial" w:eastAsia="Arial" w:hAnsi="Arial"/>
          <w:color w:val="2C3E50"/>
          <w:sz w:val="22"/>
          <w:szCs w:val="22"/>
        </w:rPr>
        <w:t xml:space="preserve">to confirm strategic interest and assign ownership for GoMining commercial discussions.</w:t>
      </w:r>
    </w:p>
    <w:p>
      <w:pPr>
        <w:pStyle w:val="ListParagraph"/>
        <w:numPr>
          <w:ilvl w:val="0"/>
          <w:numId w:val="3"/>
        </w:numPr>
        <w:spacing w:after="80"/>
      </w:pPr>
      <w:r>
        <w:rPr>
          <w:rFonts w:ascii="Arial" w:cs="Arial" w:eastAsia="Arial" w:hAnsi="Arial"/>
          <w:b/>
          <w:bCs/>
          <w:color w:val="2C3E50"/>
          <w:sz w:val="22"/>
          <w:szCs w:val="22"/>
        </w:rPr>
        <w:t xml:space="preserve">CTO technical review </w:t>
      </w:r>
      <w:r>
        <w:rPr>
          <w:rFonts w:ascii="Arial" w:cs="Arial" w:eastAsia="Arial" w:hAnsi="Arial"/>
          <w:color w:val="2C3E50"/>
          <w:sz w:val="22"/>
          <w:szCs w:val="22"/>
        </w:rPr>
        <w:t xml:space="preserve">of the detailed technical specification (available separately) and confirmation of engineering feasibility.</w:t>
      </w:r>
    </w:p>
    <w:p>
      <w:pPr>
        <w:pStyle w:val="ListParagraph"/>
        <w:numPr>
          <w:ilvl w:val="0"/>
          <w:numId w:val="3"/>
        </w:numPr>
        <w:spacing w:after="80"/>
      </w:pPr>
      <w:r>
        <w:rPr>
          <w:rFonts w:ascii="Arial" w:cs="Arial" w:eastAsia="Arial" w:hAnsi="Arial"/>
          <w:b/>
          <w:bCs/>
          <w:color w:val="2C3E50"/>
          <w:sz w:val="22"/>
          <w:szCs w:val="22"/>
        </w:rPr>
        <w:t xml:space="preserve">Begin mock API development </w:t>
      </w:r>
      <w:r>
        <w:rPr>
          <w:rFonts w:ascii="Arial" w:cs="Arial" w:eastAsia="Arial" w:hAnsi="Arial"/>
          <w:color w:val="2C3E50"/>
          <w:sz w:val="22"/>
          <w:szCs w:val="22"/>
        </w:rPr>
        <w:t xml:space="preserve">in parallel with partnership discussions, allowing engineering progress without dependency on GoMining credentials.</w:t>
      </w:r>
    </w:p>
    <w:p>
      <w:pPr>
        <w:pStyle w:val="ListParagraph"/>
        <w:numPr>
          <w:ilvl w:val="0"/>
          <w:numId w:val="3"/>
        </w:numPr>
        <w:spacing w:after="80"/>
      </w:pPr>
      <w:r>
        <w:rPr>
          <w:rFonts w:ascii="Arial" w:cs="Arial" w:eastAsia="Arial" w:hAnsi="Arial"/>
          <w:b/>
          <w:bCs/>
          <w:color w:val="2C3E50"/>
          <w:sz w:val="22"/>
          <w:szCs w:val="22"/>
        </w:rPr>
        <w:t xml:space="preserve">Design Authority review </w:t>
      </w:r>
      <w:r>
        <w:rPr>
          <w:rFonts w:ascii="Arial" w:cs="Arial" w:eastAsia="Arial" w:hAnsi="Arial"/>
          <w:color w:val="2C3E50"/>
          <w:sz w:val="22"/>
          <w:szCs w:val="22"/>
        </w:rPr>
        <w:t xml:space="preserve">of proposed navigation placement and user flow wireframes.</w:t>
      </w:r>
    </w:p>
    <w:p>
      <w:pPr>
        <w:pStyle w:val="ListParagraph"/>
        <w:numPr>
          <w:ilvl w:val="0"/>
          <w:numId w:val="3"/>
        </w:numPr>
        <w:spacing w:after="200"/>
      </w:pPr>
      <w:r>
        <w:rPr>
          <w:rFonts w:ascii="Arial" w:cs="Arial" w:eastAsia="Arial" w:hAnsi="Arial"/>
          <w:b/>
          <w:bCs/>
          <w:color w:val="2C3E50"/>
          <w:sz w:val="22"/>
          <w:szCs w:val="22"/>
        </w:rPr>
        <w:t xml:space="preserve">Phase 1 sprint planning </w:t>
      </w:r>
      <w:r>
        <w:rPr>
          <w:rFonts w:ascii="Arial" w:cs="Arial" w:eastAsia="Arial" w:hAnsi="Arial"/>
          <w:color w:val="2C3E50"/>
          <w:sz w:val="22"/>
          <w:szCs w:val="22"/>
        </w:rPr>
        <w:t xml:space="preserve">once technical and commercial alignment is confirmed.</w:t>
      </w:r>
    </w:p>
    <w:p>
      <w:r>
        <w:br w:type="page"/>
      </w:r>
    </w:p>
    <w:p>
      <w:pPr>
        <w:pBdr>
          <w:bottom w:val="single" w:color="2E86C1" w:sz="6" w:space="4"/>
        </w:pBdr>
        <w:spacing w:after="200" w:before="360"/>
      </w:pPr>
      <w:r>
        <w:rPr>
          <w:rFonts w:ascii="Arial" w:cs="Arial" w:eastAsia="Arial" w:hAnsi="Arial"/>
          <w:b/>
          <w:bCs/>
          <w:color w:val="2E86C1"/>
          <w:sz w:val="28"/>
          <w:szCs w:val="28"/>
        </w:rPr>
        <w:t xml:space="preserve">10. </w:t>
      </w:r>
      <w:r>
        <w:rPr>
          <w:rFonts w:ascii="Arial" w:cs="Arial" w:eastAsia="Arial" w:hAnsi="Arial"/>
          <w:b/>
          <w:bCs/>
          <w:color w:val="1B4F72"/>
          <w:sz w:val="28"/>
          <w:szCs w:val="28"/>
        </w:rPr>
        <w:t xml:space="preserve">Summary</w:t>
      </w:r>
    </w:p>
    <w:p>
      <w:pPr>
        <w:spacing w:after="160" w:before="120"/>
        <w:jc w:val="left"/>
      </w:pPr>
      <w:r>
        <w:rPr>
          <w:rFonts w:ascii="Arial" w:cs="Arial" w:eastAsia="Arial" w:hAnsi="Arial"/>
          <w:b w:val="false"/>
          <w:bCs w:val="false"/>
          <w:i w:val="false"/>
          <w:iCs w:val="false"/>
          <w:color w:val="2C3E50"/>
          <w:sz w:val="22"/>
          <w:szCs w:val="22"/>
        </w:rPr>
        <w:t xml:space="preserve">The GoMining integration represents a low-risk, high-upside opportunity for GeroWallet. It creates the first BTC DeFi feature on a Cardano wallet, adds meaningful utility to the GERO token, opens a new revenue channel, and improves user retention through an integrated experience.</w:t>
      </w:r>
    </w:p>
    <w:p>
      <w:pPr>
        <w:spacing w:after="160" w:before="120"/>
        <w:jc w:val="left"/>
      </w:pPr>
      <w:r>
        <w:rPr>
          <w:rFonts w:ascii="Arial" w:cs="Arial" w:eastAsia="Arial" w:hAnsi="Arial"/>
          <w:b w:val="false"/>
          <w:bCs w:val="false"/>
          <w:i w:val="false"/>
          <w:iCs w:val="false"/>
          <w:color w:val="2C3E50"/>
          <w:sz w:val="22"/>
          <w:szCs w:val="22"/>
        </w:rPr>
        <w:t xml:space="preserve">The phased approach ensures we can validate the opportunity with minimal upfront investment. Early signals from GoMining are encouraging, and the dual GERO/ADA payment model addresses liquidity concerns proactively.</w:t>
      </w:r>
    </w:p>
    <w:p>
      <w:pPr>
        <w:spacing w:after="400" w:before="120"/>
        <w:jc w:val="left"/>
      </w:pPr>
      <w:r>
        <w:rPr>
          <w:rFonts w:ascii="Arial" w:cs="Arial" w:eastAsia="Arial" w:hAnsi="Arial"/>
          <w:b w:val="false"/>
          <w:bCs w:val="false"/>
          <w:i w:val="false"/>
          <w:iCs w:val="false"/>
          <w:color w:val="2C3E50"/>
          <w:sz w:val="22"/>
          <w:szCs w:val="22"/>
        </w:rPr>
        <w:t xml:space="preserve">With leadership alignment and engineering support, Phase 1 can be delivered efficiently, giving the team real data to inform the decision on Phase 2 and beyond.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8DC" w:sz="4"/>
              <w:left w:val="single" w:color="D5D8DC" w:sz="4"/>
              <w:bottom w:val="single" w:color="D5D8DC" w:sz="4"/>
              <w:right w:val="single" w:color="D5D8DC" w:sz="4"/>
            </w:tcBorders>
            <w:shd w:fill="F2F3F4" w:val="clear"/>
            <w:tcMar>
              <w:top w:type="dxa" w:w="160"/>
              <w:left w:type="dxa" w:w="200"/>
              <w:bottom w:type="dxa" w:w="160"/>
              <w:right w:type="dxa" w:w="200"/>
            </w:tcMar>
          </w:tcPr>
          <w:p>
            <w:pPr>
              <w:spacing w:after="80"/>
            </w:pPr>
            <w:r>
              <w:rPr>
                <w:rFonts w:ascii="Arial" w:cs="Arial" w:eastAsia="Arial" w:hAnsi="Arial"/>
                <w:b/>
                <w:bCs/>
                <w:color w:val="2C3E50"/>
                <w:sz w:val="22"/>
                <w:szCs w:val="22"/>
              </w:rPr>
              <w:t xml:space="preserve">Supporting Materials Available</w:t>
            </w:r>
          </w:p>
          <w:p>
            <w:pPr>
              <w:pStyle w:val="ListParagraph"/>
              <w:numPr>
                <w:ilvl w:val="0"/>
                <w:numId w:val="2"/>
              </w:numPr>
              <w:spacing w:after="40"/>
            </w:pPr>
            <w:r>
              <w:rPr>
                <w:rFonts w:ascii="Arial" w:cs="Arial" w:eastAsia="Arial" w:hAnsi="Arial"/>
                <w:color w:val="2C3E50"/>
                <w:sz w:val="20"/>
                <w:szCs w:val="20"/>
              </w:rPr>
              <w:t xml:space="preserve">Detailed Technical Specification (component architecture, API mapping, mock service strategy)</w:t>
            </w:r>
          </w:p>
          <w:p>
            <w:pPr>
              <w:pStyle w:val="ListParagraph"/>
              <w:numPr>
                <w:ilvl w:val="0"/>
                <w:numId w:val="2"/>
              </w:numPr>
              <w:spacing w:after="40"/>
            </w:pPr>
            <w:r>
              <w:rPr>
                <w:rFonts w:ascii="Arial" w:cs="Arial" w:eastAsia="Arial" w:hAnsi="Arial"/>
                <w:color w:val="2C3E50"/>
                <w:sz w:val="20"/>
                <w:szCs w:val="20"/>
              </w:rPr>
              <w:t xml:space="preserve">GoMining API documentation (shared by GoMining team, Nov 2024)</w:t>
            </w:r>
          </w:p>
          <w:p>
            <w:pPr>
              <w:pStyle w:val="ListParagraph"/>
              <w:numPr>
                <w:ilvl w:val="0"/>
                <w:numId w:val="2"/>
              </w:numPr>
              <w:spacing w:after="40"/>
            </w:pPr>
            <w:r>
              <w:rPr>
                <w:rFonts w:ascii="Arial" w:cs="Arial" w:eastAsia="Arial" w:hAnsi="Arial"/>
                <w:color w:val="2C3E50"/>
                <w:sz w:val="20"/>
                <w:szCs w:val="20"/>
              </w:rPr>
              <w:t xml:space="preserve">UI/UX wireframe concepts and dashboard mockups</w:t>
            </w:r>
          </w:p>
          <w:p>
            <w:pPr>
              <w:pStyle w:val="ListParagraph"/>
              <w:numPr>
                <w:ilvl w:val="0"/>
                <w:numId w:val="2"/>
              </w:numPr>
              <w:spacing w:after="20"/>
            </w:pPr>
            <w:r>
              <w:rPr>
                <w:rFonts w:ascii="Arial" w:cs="Arial" w:eastAsia="Arial" w:hAnsi="Arial"/>
                <w:color w:val="2C3E50"/>
                <w:sz w:val="20"/>
                <w:szCs w:val="20"/>
              </w:rPr>
              <w:t xml:space="preserve">Playwright test execution plan for AI-driven development</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8DC" w:sz="2" w:space="4"/>
      </w:pBd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4" w:space="4"/>
      </w:pBdr>
      <w:tabs>
        <w:tab w:val="right" w:pos="9026"/>
      </w:tabs>
    </w:pPr>
    <w:r>
      <w:rPr>
        <w:rFonts w:ascii="Arial" w:cs="Arial" w:eastAsia="Arial" w:hAnsi="Arial"/>
        <w:color w:val="2E86C1"/>
        <w:sz w:val="18"/>
        <w:szCs w:val="18"/>
      </w:rPr>
      <w:t xml:space="preserve">GoMining Integration PRD</w:t>
    </w:r>
    <w:r>
      <w:rPr>
        <w:rFonts w:ascii="Arial" w:cs="Arial" w:eastAsia="Arial" w:hAnsi="Arial"/>
        <w:color w:val="999999"/>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B4F72"/>
      <w:sz w:val="36"/>
      <w:szCs w:val="36"/>
    </w:rPr>
  </w:style>
  <w:style w:type="paragraph" w:styleId="Heading2">
    <w:name w:val="Heading 2"/>
    <w:basedOn w:val="Normal"/>
    <w:next w:val="Normal"/>
    <w:qFormat/>
    <w:pPr>
      <w:spacing w:after="180" w:before="240"/>
      <w:outlineLvl w:val="1"/>
    </w:pPr>
    <w:rPr>
      <w:rFonts w:ascii="Arial" w:cs="Arial" w:eastAsia="Arial" w:hAnsi="Arial"/>
      <w:b/>
      <w:bCs/>
      <w:color w:val="2C3E5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2026-02-26T12:16:46.967Z</dcterms:created>
  <dcterms:modified xsi:type="dcterms:W3CDTF">2026-02-26T12:16:46.968Z</dcterms:modified>
</cp:coreProperties>
</file>

<file path=docProps/custom.xml><?xml version="1.0" encoding="utf-8"?>
<Properties xmlns="http://schemas.openxmlformats.org/officeDocument/2006/custom-properties" xmlns:vt="http://schemas.openxmlformats.org/officeDocument/2006/docPropsVTypes"/>
</file>