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MINISTERIO DE SALUD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Subsecretaría de Redes Asistenciales — División de Presupuesto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Plan de Monitoreo y Gestión del Trato Directo — Año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FORMATO TIPO — REPORTE CONSOLIDADO DE ANTECEDENTES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Monitoreo Trimestral de Compras por Trato Directo</w:t>
      </w:r>
    </w:p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1. Identificación del Servicio de Salud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Servicio de Salud: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Reporte / período que se informa: </w:t>
      </w:r>
      <w:r>
        <w:rPr>
          <w:rFonts w:ascii="Calibri" w:cs="Calibri" w:eastAsia="Calibri" w:hAnsi="Calibri"/>
          <w:sz w:val="19"/>
          <w:szCs w:val="19"/>
        </w:rPr>
        <w:t xml:space="preserve">1° (Ene-Mar) ☐   2° (Abr-Jun) ☐   3° (Jul-Sep) ☐   4° (Oct-Dic) ☐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Nombre de quien remite / cargo: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Correo electrónico: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Fecha de envío: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pBdr>
          <w:top w:val="single" w:color="1F4E78" w:sz="4" w:space="6"/>
          <w:bottom w:val="single" w:color="1F4E78" w:sz="4" w:space="6"/>
          <w:left w:val="single" w:color="1F4E78" w:sz="4" w:space="6"/>
          <w:right w:val="single" w:color="1F4E78" w:sz="4" w:space="6"/>
        </w:pBdr>
        <w:shd w:fill="EEF3FA" w:val="clear"/>
        <w:spacing w:after="200" w:before="1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Instrucciones: complete las Secciones 2 y 3 únicamente con los establecimientos clasificados en Riesgo Amarillo o Riesgo Rojo. Los establecimientos en Riesgo Verde no requieren el envío de antecedentes, conforme al Plan de Monitoreo y Gestión del Trato Directo. Luego, duplique el bloque tipo de la Sección 4 (Amarillo) o Sección 5 (Rojo) por cada establecimiento que corresponda informar, incluyendo el respectivo Plan de Seguimiento. Si detecta establecimientos en riesgo Amarillo o Rojo no incluidos en la comunicación original de la Subsecretaría, infórmelos igualmente en la Sección 6.</w:t>
      </w:r>
    </w:p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2. Consolidado de Indicadores — Establecimientos en Riesgo Amarillo y Rojo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Incluya únicamente los establecimientos del Servicio de Salud clasificados en Riesgo Amarillo o Riesgo Rojo. Los establecimientos en Riesgo Verde no requieren ser reportados en este formato.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400"/>
        <w:gridCol w:w="3250"/>
        <w:gridCol w:w="1550"/>
        <w:gridCol w:w="1550"/>
        <w:gridCol w:w="1080"/>
        <w:gridCol w:w="1320"/>
        <w:gridCol w:w="1180"/>
        <w:gridCol w:w="1120"/>
        <w:gridCol w:w="1100"/>
      </w:tblGrid>
      <w:tr>
        <w:trPr>
          <w:tblHeader/>
        </w:trPr>
        <w:tc>
          <w:tcPr>
            <w:tcW w:type="dxa" w:w="9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 DEIS</w:t>
            </w:r>
          </w:p>
        </w:tc>
        <w:tc>
          <w:tcPr>
            <w:tcW w:type="dxa" w:w="14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 Unidad de Compra</w:t>
            </w:r>
          </w:p>
        </w:tc>
        <w:tc>
          <w:tcPr>
            <w:tcW w:type="dxa" w:w="32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Establecimiento</w:t>
            </w:r>
          </w:p>
        </w:tc>
        <w:tc>
          <w:tcPr>
            <w:tcW w:type="dxa" w:w="1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Denominador ($)</w:t>
            </w:r>
          </w:p>
        </w:tc>
        <w:tc>
          <w:tcPr>
            <w:tcW w:type="dxa" w:w="1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Numerador ($)</w:t>
            </w:r>
          </w:p>
        </w:tc>
        <w:tc>
          <w:tcPr>
            <w:tcW w:type="dxa" w:w="108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TD 2026</w:t>
            </w:r>
          </w:p>
        </w:tc>
        <w:tc>
          <w:tcPr>
            <w:tcW w:type="dxa" w:w="132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TD período equiv. 2025</w:t>
            </w:r>
          </w:p>
        </w:tc>
        <w:tc>
          <w:tcPr>
            <w:tcW w:type="dxa" w:w="118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Brecha vs meta 16%</w:t>
            </w:r>
          </w:p>
        </w:tc>
        <w:tc>
          <w:tcPr>
            <w:tcW w:type="dxa" w:w="112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Variación vs 2025 (p.p.)</w:t>
            </w:r>
          </w:p>
        </w:tc>
        <w:tc>
          <w:tcPr>
            <w:tcW w:type="dxa" w:w="11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Nivel de riesgo</w:t>
            </w:r>
          </w:p>
        </w:tc>
      </w:tr>
      <w:tr>
        <w:tc>
          <w:tcPr>
            <w:tcW w:type="dxa" w:w="9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2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3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2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3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2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3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2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3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2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3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2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3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18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Fuente sugerida: exportación oficial de ChileCompra del período (campos EsTratoDirecto, MontoTotalOC_PesosChilenos, RutUnidadCompra, FechaEnvio) u otra fuente consolidada equivalente del Servicio de Salud.</w:t>
      </w:r>
    </w:p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3. Cotejo de Clasificación con la Comunicación de la Subsecretaría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Complete esta tabla para todos los establecimientos clasificados en Riesgo Amarillo o Rojo en la comunicación de la Subsecretaría, y agregue los que el Servicio identifique adicionalmente según su propio consolidado. Esta tabla permite detectar oportunamente discrepancias de clasificación y fundamentarlas.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50"/>
        <w:gridCol w:w="1080"/>
        <w:gridCol w:w="1550"/>
        <w:gridCol w:w="1080"/>
        <w:gridCol w:w="1220"/>
        <w:gridCol w:w="1220"/>
        <w:gridCol w:w="3400"/>
      </w:tblGrid>
      <w:tr>
        <w:trPr>
          <w:tblHeader/>
        </w:trPr>
        <w:tc>
          <w:tcPr>
            <w:tcW w:type="dxa" w:w="25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Establecimiento</w:t>
            </w:r>
          </w:p>
        </w:tc>
        <w:tc>
          <w:tcPr>
            <w:tcW w:type="dxa" w:w="1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 según comunicación MINSAL</w:t>
            </w:r>
          </w:p>
        </w:tc>
        <w:tc>
          <w:tcPr>
            <w:tcW w:type="dxa" w:w="108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según comunicación</w:t>
            </w:r>
          </w:p>
        </w:tc>
        <w:tc>
          <w:tcPr>
            <w:tcW w:type="dxa" w:w="1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 según Consolidado del Servicio</w:t>
            </w:r>
          </w:p>
        </w:tc>
        <w:tc>
          <w:tcPr>
            <w:tcW w:type="dxa" w:w="108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según Consolidado</w:t>
            </w:r>
          </w:p>
        </w:tc>
        <w:tc>
          <w:tcPr>
            <w:tcW w:type="dxa" w:w="122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Variación vs 2025</w:t>
            </w:r>
          </w:p>
        </w:tc>
        <w:tc>
          <w:tcPr>
            <w:tcW w:type="dxa" w:w="122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¿Coincide clasificación?</w:t>
            </w:r>
          </w:p>
        </w:tc>
        <w:tc>
          <w:tcPr>
            <w:tcW w:type="dxa" w:w="34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08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22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18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Si la clasificación no coincide, explique brevemente la causa en la columna "Observación" (p. ej. diferencias de fuente de datos, fecha de corte, o el resultado se ubica bajo la meta de 16% pero la variación interanual determina el nivel de riesgo).</w:t>
      </w:r>
    </w:p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4. Antecedentes por Establecimiento — Riesgo Amarillo</w:t>
      </w:r>
    </w:p>
    <w:p>
      <w:pPr>
        <w:shd w:fill="FFF2CC" w:val="clear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Bloque tipo — Establecimiento N°__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0"/>
      </w:tblGrid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Establecimiento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Código DEIS / RUT Unidad de Compra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Trato Directo del período (Consolidado del Servicio)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mismo período año 2025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Variación vs 2025 (p.p.)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Nivel de riesgo</w:t>
            </w:r>
          </w:p>
        </w:tc>
        <w:tc>
          <w:tcPr>
            <w:tcW w:type="dxa" w:w="11000"/>
            <w:shd w:fill="FFF2CC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RIESGO AMARILLO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¿Incluido en la comunicación original de la Subsecretaría?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 ☐     No ☐ (antecedente adicional aportado por el Servicio)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Aclaración sobre la clasificación (si corresponde): </w:t>
      </w:r>
      <w:r>
        <w:rPr>
          <w:rFonts w:ascii="Calibri" w:cs="Calibri" w:eastAsia="Calibri" w:hAnsi="Calibri"/>
          <w:sz w:val="19"/>
          <w:szCs w:val="19"/>
        </w:rPr>
        <w:t xml:space="preserve">indique si el resultado se ubica bajo la meta de 16% y la clasificación Amarilla obedece exclusivamente a la variación interanual, u otra situación relevante.</w:t>
      </w:r>
    </w:p>
    <w:p>
      <w:pPr>
        <w:pBdr>
          <w:bottom w:val="single" w:color="AAAAAA" w:sz="4" w:space="1"/>
        </w:pBdr>
        <w:spacing w:after="9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AAAAAA" w:sz="4" w:space="1"/>
        </w:pBdr>
        <w:spacing w:after="9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100" w:before="100"/>
      </w:pPr>
      <w:r>
        <w:rPr>
          <w:rFonts w:ascii="Calibri" w:cs="Calibri" w:eastAsia="Calibri" w:hAnsi="Calibri"/>
          <w:sz w:val="19"/>
          <w:szCs w:val="19"/>
        </w:rPr>
        <w:t xml:space="preserve">Detalle por causa (agregue tantas filas como sea necesario):</w:t>
      </w:r>
    </w:p>
    <w:tbl>
      <w:tblPr>
        <w:tblW w:type="dxa" w:w="13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550"/>
        <w:gridCol w:w="2550"/>
        <w:gridCol w:w="2500"/>
        <w:gridCol w:w="1800"/>
        <w:gridCol w:w="1600"/>
        <w:gridCol w:w="2400"/>
      </w:tblGrid>
      <w:tr>
        <w:trPr>
          <w:tblHeader/>
        </w:trPr>
        <w:tc>
          <w:tcPr>
            <w:tcW w:type="dxa" w:w="3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Principales causas</w:t>
            </w:r>
          </w:p>
        </w:tc>
        <w:tc>
          <w:tcPr>
            <w:tcW w:type="dxa" w:w="2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Medidas implementadas</w:t>
            </w:r>
          </w:p>
        </w:tc>
        <w:tc>
          <w:tcPr>
            <w:tcW w:type="dxa" w:w="25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Compromiso</w:t>
            </w:r>
          </w:p>
        </w:tc>
        <w:tc>
          <w:tcPr>
            <w:tcW w:type="dxa" w:w="18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6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Plazo comprometido</w:t>
            </w:r>
          </w:p>
        </w:tc>
        <w:tc>
          <w:tcPr>
            <w:tcW w:type="dxa" w:w="24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 de avance</w:t>
            </w:r>
          </w:p>
        </w:tc>
      </w:tr>
      <w:tr>
        <w:tc>
          <w:tcPr>
            <w:tcW w:type="dxa" w:w="3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8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8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8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40" w:before="18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hd w:fill="F2F2F2" w:val="clear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Plan de Seguimiento — Riesgo Amarillo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¿Se revisaron las compras recurrentes efectuadas mediante Trato Directo?: </w:t>
      </w:r>
      <w:r>
        <w:rPr>
          <w:rFonts w:ascii="Calibri" w:cs="Calibri" w:eastAsia="Calibri" w:hAnsi="Calibri"/>
          <w:sz w:val="19"/>
          <w:szCs w:val="19"/>
        </w:rPr>
        <w:t xml:space="preserve">Sí ☐     No ☐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Detalle de la revisión (ítems recurrentes identificados y periodicidad):</w:t>
      </w:r>
    </w:p>
    <w:p>
      <w:pPr>
        <w:pBdr>
          <w:bottom w:val="single" w:color="AAAAAA" w:sz="4" w:space="1"/>
        </w:pBdr>
        <w:spacing w:after="90"/>
        <w:ind w:left="30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Seguimiento reforzado comprometido para el período siguiente: </w:t>
      </w:r>
      <w:r>
        <w:rPr>
          <w:rFonts w:ascii="Calibri" w:cs="Calibri" w:eastAsia="Calibri" w:hAnsi="Calibri"/>
          <w:sz w:val="19"/>
          <w:szCs w:val="19"/>
        </w:rPr>
        <w:t xml:space="preserve">Sí ☐     No ☐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Modalidad y fecha del seguimiento reforzado: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Duplique este bloque completo (identificación + tabla de causas + plan de seguimiento) para cada establecimiento adicional clasificado en Riesgo Amarillo.</w:t>
      </w:r>
    </w:p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5. Antecedentes por Establecimiento — Riesgo Rojo</w:t>
      </w:r>
    </w:p>
    <w:p>
      <w:pPr>
        <w:shd w:fill="FCE4E4" w:val="clear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Bloque tipo — Establecimiento N°__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0"/>
      </w:tblGrid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Establecimiento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Código DEIS / RUT Unidad de Compra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Trato Directo del período (Consolidado del Servicio)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mismo período año 2025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Variación vs 2025 (p.p.)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Nivel de riesgo</w:t>
            </w:r>
          </w:p>
        </w:tc>
        <w:tc>
          <w:tcPr>
            <w:tcW w:type="dxa" w:w="11000"/>
            <w:shd w:fill="FCE4E4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RIESGO ROJO</w:t>
            </w:r>
          </w:p>
        </w:tc>
      </w:tr>
      <w:tr>
        <w:tc>
          <w:tcPr>
            <w:tcW w:type="dxa" w:w="32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¿Incluido en la comunicación original de la Subsecretaría?</w:t>
            </w:r>
          </w:p>
        </w:tc>
        <w:tc>
          <w:tcPr>
            <w:tcW w:type="dxa" w:w="11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Sí ☐     No ☐ (antecedente adicional aportado por el Servicio)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Informe detallado de causas, plan de acción con medidas correctivas, responsables y plazos comprometidos, y estado de avance (agregue tantas filas como sea necesario):</w:t>
      </w:r>
    </w:p>
    <w:tbl>
      <w:tblPr>
        <w:tblW w:type="dxa" w:w="13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550"/>
        <w:gridCol w:w="2550"/>
        <w:gridCol w:w="2500"/>
        <w:gridCol w:w="1800"/>
        <w:gridCol w:w="1600"/>
        <w:gridCol w:w="2400"/>
      </w:tblGrid>
      <w:tr>
        <w:trPr>
          <w:tblHeader/>
        </w:trPr>
        <w:tc>
          <w:tcPr>
            <w:tcW w:type="dxa" w:w="3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Principales causas</w:t>
            </w:r>
          </w:p>
        </w:tc>
        <w:tc>
          <w:tcPr>
            <w:tcW w:type="dxa" w:w="255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Medidas implementadas</w:t>
            </w:r>
          </w:p>
        </w:tc>
        <w:tc>
          <w:tcPr>
            <w:tcW w:type="dxa" w:w="25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Compromiso</w:t>
            </w:r>
          </w:p>
        </w:tc>
        <w:tc>
          <w:tcPr>
            <w:tcW w:type="dxa" w:w="18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6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Plazo comprometido</w:t>
            </w:r>
          </w:p>
        </w:tc>
        <w:tc>
          <w:tcPr>
            <w:tcW w:type="dxa" w:w="24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 de avance</w:t>
            </w:r>
          </w:p>
        </w:tc>
      </w:tr>
      <w:tr>
        <w:tc>
          <w:tcPr>
            <w:tcW w:type="dxa" w:w="3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8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8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5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8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40" w:before="18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hd w:fill="F2F2F2" w:val="clear"/>
        <w:spacing w:after="100" w:before="2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Plan de Seguimiento y Control — Riesgo Rojo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Mecanismo competitivo identificado para regularizar el abastecimiento: </w:t>
      </w:r>
      <w:r>
        <w:rPr>
          <w:rFonts w:ascii="Calibri" w:cs="Calibri" w:eastAsia="Calibri" w:hAnsi="Calibri"/>
          <w:sz w:val="19"/>
          <w:szCs w:val="19"/>
        </w:rPr>
        <w:t xml:space="preserve">Licitación ☐   Compra coordinada ☐   Convenio Marco ☐   Otro: ___________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Reunión de seguimiento técnico con el equipo del Servicio de Salud — fecha programada: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00" w:before="120"/>
      </w:pPr>
      <w:r>
        <w:rPr>
          <w:rFonts w:ascii="Calibri" w:cs="Calibri" w:eastAsia="Calibri" w:hAnsi="Calibri"/>
          <w:sz w:val="19"/>
          <w:szCs w:val="19"/>
        </w:rPr>
        <w:t xml:space="preserve">Monitoreo mensual de compromisos (obligatorio hasta la normalización del indicador):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400"/>
        <w:gridCol w:w="60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Mes de seguimiento</w:t>
            </w:r>
          </w:p>
        </w:tc>
        <w:tc>
          <w:tcPr>
            <w:tcW w:type="dxa" w:w="24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de control</w:t>
            </w:r>
          </w:p>
        </w:tc>
        <w:tc>
          <w:tcPr>
            <w:tcW w:type="dxa" w:w="34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 de cumplimiento</w:t>
            </w:r>
          </w:p>
        </w:tc>
        <w:tc>
          <w:tcPr>
            <w:tcW w:type="dxa" w:w="60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24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 1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6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 2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6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shd w:fill="F2F2F2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 3</w:t>
            </w:r>
          </w:p>
        </w:tc>
        <w:tc>
          <w:tcPr>
            <w:tcW w:type="dxa" w:w="2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34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6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18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Duplique este bloque completo (identificación + tabla de causas + plan de seguimiento y control) para cada establecimiento adicional clasificado en Riesgo Rojo.</w:t>
      </w:r>
    </w:p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6. Antecedentes Adicionales No Incluidos en la Comunicación Original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Utilice esta sección para establecimientos en Riesgo Amarillo o Rojo según el Consolidado del Servicio, pero que no fueron citados en la comunicación original de la Subsecretaría. Duplique el bloque tipo de la Sección 4 o 5 según corresponda, indicando "No" en el campo "¿Incluido en la comunicación original?".</w:t>
      </w:r>
    </w:p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7. Establecimientos con Información Pendiente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Informe aquí los establecimientos en Riesgo Amarillo o Rojo cuyo antecedente aún no ha sido recibido por el Servicio de Salud al momento del envío del presente reporte.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00"/>
        <w:gridCol w:w="2500"/>
        <w:gridCol w:w="5200"/>
      </w:tblGrid>
      <w:tr>
        <w:trPr>
          <w:tblHeader/>
        </w:trPr>
        <w:tc>
          <w:tcPr>
            <w:tcW w:type="dxa" w:w="40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Establecimiento</w:t>
            </w:r>
          </w:p>
        </w:tc>
        <w:tc>
          <w:tcPr>
            <w:tcW w:type="dxa" w:w="21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25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estimada de envío</w:t>
            </w:r>
          </w:p>
        </w:tc>
        <w:tc>
          <w:tcPr>
            <w:tcW w:type="dxa" w:w="5200"/>
            <w:shd w:fill="1F4E7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4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52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52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0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1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5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5200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pBdr>
          <w:bottom w:val="single" w:color="1F4E78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8"/>
          <w:sz w:val="25"/>
          <w:szCs w:val="25"/>
        </w:rPr>
        <w:t xml:space="preserve">8. Validación y Envío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Visado por (Subdirector/a Administrativo, RRFF y Financieros):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Firma: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Fecha: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___________________________________________________________</w:t>
      </w:r>
    </w:p>
    <w:p>
      <w:pPr>
        <w:spacing w:after="100" w:before="120"/>
      </w:pPr>
      <w:r>
        <w:rPr>
          <w:rFonts w:ascii="Calibri" w:cs="Calibri" w:eastAsia="Calibri" w:hAnsi="Calibri"/>
          <w:sz w:val="19"/>
          <w:szCs w:val="19"/>
        </w:rPr>
        <w:t xml:space="preserve">Remitir el presente formato consolidado, junto con los antecedentes de respaldo que correspondan, a la casilla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hernan.lira@minsal.cl</w:t>
      </w:r>
      <w:r>
        <w:rPr>
          <w:rFonts w:ascii="Calibri" w:cs="Calibri" w:eastAsia="Calibri" w:hAnsi="Calibri"/>
          <w:sz w:val="19"/>
          <w:szCs w:val="19"/>
        </w:rPr>
        <w:t xml:space="preserve">, dentro del plazo establecido para el reporte respectivo.</w:t>
      </w:r>
    </w:p>
    <w:sectPr>
      <w:headerReference w:type="default" r:id="rId7"/>
      <w:footerReference w:type="default" r:id="rId8"/>
      <w:pgSz w:w="15840" w:h="12240" w:orient="landscape"/>
      <w:pgMar w:top="720" w:right="620" w:bottom="7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Página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5"/>
        <w:szCs w:val="15"/>
      </w:rPr>
      <w:t xml:space="preserve"> de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5"/>
        <w:szCs w:val="15"/>
      </w:rPr>
      <w:t xml:space="preserve">Monitoreo Trimestral Trato Directo 2026 — Formato Tipo Consolidado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2026-08-11T15:34:19.583Z</dcterms:created>
  <dcterms:modified xsi:type="dcterms:W3CDTF">2026-08-11T15:34:19.596Z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