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666666"/>
          <w:sz w:val="19"/>
          <w:szCs w:val="19"/>
        </w:rPr>
        <w:t xml:space="preserve">MINISTERIO DE SALUD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Subsecretaría de Redes Asistenciales — División de Presupuesto</w:t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Plan de Monitoreo y Gestión del Trato Directo — Año 2026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8"/>
          <w:sz w:val="30"/>
          <w:szCs w:val="30"/>
        </w:rPr>
        <w:t xml:space="preserve">FORMATO TIPO — REPORTE CONSOLIDADO DE ANTECEDENTES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Monitoreo Trimestral de Compras por Trato Directo</w:t>
      </w:r>
    </w:p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1. Identificación del Servicio de Salud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Servicio de Salud: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Reporte / período que se informa: </w:t>
      </w:r>
      <w:r>
        <w:rPr>
          <w:rFonts w:ascii="Calibri" w:cs="Calibri" w:eastAsia="Calibri" w:hAnsi="Calibri"/>
          <w:sz w:val="19"/>
          <w:szCs w:val="19"/>
        </w:rPr>
        <w:t xml:space="preserve">1° (Ene-Mar) ☐   2° (Abr-Jun) ☐   3° (Jul-Sep) ☐   4° (Oct-Dic) ☐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Nombre de quien remite / cargo: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Correo electrónico: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Fecha de envío: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pBdr>
          <w:top w:val="single" w:color="1F4E78" w:sz="4" w:space="6"/>
          <w:bottom w:val="single" w:color="1F4E78" w:sz="4" w:space="6"/>
          <w:left w:val="single" w:color="1F4E78" w:sz="4" w:space="6"/>
          <w:right w:val="single" w:color="1F4E78" w:sz="4" w:space="6"/>
        </w:pBdr>
        <w:shd w:fill="EEF3FA" w:val="clear"/>
        <w:spacing w:after="200" w:before="100"/>
      </w:pPr>
      <w:r>
        <w:rPr>
          <w:rFonts w:ascii="Calibri" w:cs="Calibri" w:eastAsia="Calibri" w:hAnsi="Calibri"/>
          <w:i/>
          <w:iCs/>
          <w:sz w:val="19"/>
          <w:szCs w:val="19"/>
        </w:rPr>
        <w:t>Instrucciones: complete las Secciones 2 y 3 únicamente con los establecimientos clasificados en Riesgo Amarillo o Riesgo Rojo. Los establecimientos en Riesgo Verde no requieren el envío de antecedentes, conforme al Plan de Monitoreo y Gestión del Trato Directo. Luego, duplique el bloque tipo de la Sección 4 (Amarillo) o Sección 5 (Rojo) por cada establecimiento que corresponda informar, incluyendo el respectivo Plan de Seguimiento.</w:t>
      </w:r>
    </w:p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2. Consolidado de Indicadores — Establecimientos en Riesgo Amarillo y Rojo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Incluya únicamente los establecimientos del Servicio de Salud clasificados en Riesgo Amarillo o Riesgo Rojo. Los establecimientos en Riesgo Verde no requieren ser reportados en este formato.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400"/>
        <w:gridCol w:w="3250"/>
        <w:gridCol w:w="1550"/>
        <w:gridCol w:w="1550"/>
        <w:gridCol w:w="1080"/>
        <w:gridCol w:w="1320"/>
        <w:gridCol w:w="1180"/>
        <w:gridCol w:w="1120"/>
        <w:gridCol w:w="1100"/>
      </w:tblGrid>
      <w:tr>
        <w:trPr>
          <w:tblHeader/>
        </w:trPr>
        <w:tc>
          <w:tcPr>
            <w:tcW w:type="dxa" w:w="9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Código DEIS</w:t>
            </w:r>
          </w:p>
        </w:tc>
        <w:tc>
          <w:tcPr>
            <w:tcW w:type="dxa" w:w="14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RUT Unidad de Compra</w:t>
            </w:r>
          </w:p>
        </w:tc>
        <w:tc>
          <w:tcPr>
            <w:tcW w:type="dxa" w:w="32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Establecimiento</w:t>
            </w:r>
          </w:p>
        </w:tc>
        <w:tc>
          <w:tcPr>
            <w:tcW w:type="dxa" w:w="1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Denominador ($)</w:t>
            </w:r>
          </w:p>
        </w:tc>
        <w:tc>
          <w:tcPr>
            <w:tcW w:type="dxa" w:w="1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Numerador ($)</w:t>
            </w:r>
          </w:p>
        </w:tc>
        <w:tc>
          <w:tcPr>
            <w:tcW w:type="dxa" w:w="108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% TD 2026</w:t>
            </w:r>
          </w:p>
        </w:tc>
        <w:tc>
          <w:tcPr>
            <w:tcW w:type="dxa" w:w="132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% TD período equiv. 2025</w:t>
            </w:r>
          </w:p>
        </w:tc>
        <w:tc>
          <w:tcPr>
            <w:tcW w:type="dxa" w:w="118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Brecha vs meta 16%</w:t>
            </w:r>
          </w:p>
        </w:tc>
        <w:tc>
          <w:tcPr>
            <w:tcW w:type="dxa" w:w="112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Variación vs 2025 (p.p.)</w:t>
            </w:r>
          </w:p>
        </w:tc>
        <w:tc>
          <w:tcPr>
            <w:tcW w:type="dxa" w:w="11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Nivel de riesgo</w:t>
            </w:r>
          </w:p>
        </w:tc>
      </w:tr>
      <w:tr>
        <w:tc>
          <w:tcPr>
            <w:tcW w:type="dxa" w:w="9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2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3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2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3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2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3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2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3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2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3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9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2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3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</w:tbl>
    <w:p>
      <w:pPr>
        <w:spacing w:after="180" w:before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Fuente sugerida: exportación oficial de ChileCompra del período (campos EsTratoDirecto, MontoTotalOC_PesosChilenos, RutUnidadCompra, FechaEnvio) u otra fuente consolidada equivalente del Servicio de Salud.</w:t>
      </w:r>
    </w:p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3. Cotejo de Clasificación con la Comunicación de la Subsecretaría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Complete esta tabla para todos los establecimientos clasificados en Riesgo Amarillo o Rojo en la comunicación de la Subsecretaría, y agregue los que el Servicio identifique adicionalmente según su propio consolidado. Esta tabla permite detectar oportunamente discrepancias de clasificación y fundamentarlas.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50"/>
        <w:gridCol w:w="1080"/>
        <w:gridCol w:w="1550"/>
        <w:gridCol w:w="1080"/>
        <w:gridCol w:w="1220"/>
        <w:gridCol w:w="1220"/>
        <w:gridCol w:w="3400"/>
      </w:tblGrid>
      <w:tr>
        <w:trPr>
          <w:tblHeader/>
        </w:trPr>
        <w:tc>
          <w:tcPr>
            <w:tcW w:type="dxa" w:w="25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Establecimiento</w:t>
            </w:r>
          </w:p>
        </w:tc>
        <w:tc>
          <w:tcPr>
            <w:tcW w:type="dxa" w:w="1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Riesgo según comunicación MINSAL</w:t>
            </w:r>
          </w:p>
        </w:tc>
        <w:tc>
          <w:tcPr>
            <w:tcW w:type="dxa" w:w="108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% según comunicación</w:t>
            </w:r>
          </w:p>
        </w:tc>
        <w:tc>
          <w:tcPr>
            <w:tcW w:type="dxa" w:w="1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Riesgo según Consolidado del Servicio</w:t>
            </w:r>
          </w:p>
        </w:tc>
        <w:tc>
          <w:tcPr>
            <w:tcW w:type="dxa" w:w="108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% según Consolidado</w:t>
            </w:r>
          </w:p>
        </w:tc>
        <w:tc>
          <w:tcPr>
            <w:tcW w:type="dxa" w:w="122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Variación vs 2025</w:t>
            </w:r>
          </w:p>
        </w:tc>
        <w:tc>
          <w:tcPr>
            <w:tcW w:type="dxa" w:w="122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¿Coincide clasificación?</w:t>
            </w:r>
          </w:p>
        </w:tc>
        <w:tc>
          <w:tcPr>
            <w:tcW w:type="dxa" w:w="34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Observación</w:t>
            </w:r>
          </w:p>
        </w:tc>
      </w:tr>
      <w:tr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08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22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</w:tbl>
    <w:p>
      <w:pPr>
        <w:spacing w:after="180" w:before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Si la clasificación no coincide, explique brevemente la causa en la columna "Observación" (p. ej. diferencias de fuente de datos, fecha de corte, o el resultado se ubica bajo la meta de 16% pero la variación interanual determina el nivel de riesgo).</w:t>
      </w:r>
    </w:p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4. Antecedentes por Establecimiento — Riesgo Amarillo</w:t>
      </w:r>
    </w:p>
    <w:p>
      <w:pPr>
        <w:shd w:fill="FFF2CC" w:val="clear"/>
        <w:spacing w:after="100" w:before="24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Bloque tipo — Establecimiento N°__</w:t>
      </w:r>
    </w:p>
    <w:tbl>
      <w:tblPr>
        <w:tblW w:type="dxa" w:w="14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000"/>
      </w:tblGrid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Establecimiento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Código DEIS / RUT Unidad de Compra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% Trato Directo del período (Consolidado del Servicio)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% mismo período año 2025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Variación vs 2025 (p.p.)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Nivel de riesgo</w:t>
            </w:r>
          </w:p>
        </w:tc>
        <w:tc>
          <w:tcPr>
            <w:tcW w:type="dxa" w:w="11000"/>
            <w:shd w:fill="FFF2CC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RIESGO AMARILLO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¿Incluido en la comunicación original de la Subsecretaría?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Sí ☐     No ☐ (antecedente adicional aportado por el Servicio)</w:t>
            </w:r>
          </w:p>
        </w:tc>
      </w:tr>
    </w:tbl>
    <w:p>
      <w:pPr>
        <w:spacing w:after="40" w:before="16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Aclaración sobre la clasificación (si corresponde): </w:t>
      </w:r>
      <w:r>
        <w:rPr>
          <w:rFonts w:ascii="Calibri" w:cs="Calibri" w:eastAsia="Calibri" w:hAnsi="Calibri"/>
          <w:sz w:val="19"/>
          <w:szCs w:val="19"/>
        </w:rPr>
        <w:t xml:space="preserve">indique si el resultado se ubica bajo la meta de 16% y la clasificación Amarilla obedece exclusivamente a la variación interanual, u otra situación relevante.</w:t>
      </w:r>
    </w:p>
    <w:p>
      <w:pPr>
        <w:pBdr>
          <w:bottom w:val="single" w:color="AAAAAA" w:sz="4" w:space="1"/>
        </w:pBdr>
        <w:spacing w:after="9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AAAAAA" w:sz="4" w:space="1"/>
        </w:pBdr>
        <w:spacing w:after="9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spacing w:after="100" w:before="100"/>
      </w:pPr>
      <w:r>
        <w:rPr>
          <w:rFonts w:ascii="Calibri" w:cs="Calibri" w:eastAsia="Calibri" w:hAnsi="Calibri"/>
          <w:sz w:val="19"/>
          <w:szCs w:val="19"/>
        </w:rPr>
        <w:t xml:space="preserve">Detalle por causa (agregue tantas filas como sea necesario):</w:t>
      </w:r>
    </w:p>
    <w:tbl>
      <w:tblPr>
        <w:tblW w:type="dxa" w:w="13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"/>
        <w:gridCol w:w="2550"/>
        <w:gridCol w:w="2550"/>
        <w:gridCol w:w="2500"/>
        <w:gridCol w:w="1800"/>
        <w:gridCol w:w="1600"/>
        <w:gridCol w:w="2400"/>
      </w:tblGrid>
      <w:tr>
        <w:trPr>
          <w:tblHeader/>
        </w:trPr>
        <w:tc>
          <w:tcPr>
            <w:tcW w:type="dxa" w:w="3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Principales causas</w:t>
            </w:r>
          </w:p>
        </w:tc>
        <w:tc>
          <w:tcPr>
            <w:tcW w:type="dxa" w:w="2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Medidas implementadas</w:t>
            </w:r>
          </w:p>
        </w:tc>
        <w:tc>
          <w:tcPr>
            <w:tcW w:type="dxa" w:w="25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Compromiso</w:t>
            </w:r>
          </w:p>
        </w:tc>
        <w:tc>
          <w:tcPr>
            <w:tcW w:type="dxa" w:w="18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Responsable</w:t>
            </w:r>
          </w:p>
        </w:tc>
        <w:tc>
          <w:tcPr>
            <w:tcW w:type="dxa" w:w="16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Plazo comprometido</w:t>
            </w:r>
          </w:p>
        </w:tc>
        <w:tc>
          <w:tcPr>
            <w:tcW w:type="dxa" w:w="24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Estado de avance</w:t>
            </w:r>
          </w:p>
        </w:tc>
      </w:tr>
      <w:tr>
        <w:tc>
          <w:tcPr>
            <w:tcW w:type="dxa" w:w="3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8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8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8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</w:tbl>
    <w:p>
      <w:pPr>
        <w:spacing w:after="40" w:before="18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shd w:fill="F2F2F2" w:val="clear"/>
        <w:spacing w:after="100" w:before="24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Plan de Seguimiento — Riesgo Amarillo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¿Se revisaron las compras recurrentes efectuadas mediante Trato Directo?: </w:t>
      </w:r>
      <w:r>
        <w:rPr>
          <w:rFonts w:ascii="Calibri" w:cs="Calibri" w:eastAsia="Calibri" w:hAnsi="Calibri"/>
          <w:sz w:val="19"/>
          <w:szCs w:val="19"/>
        </w:rPr>
        <w:t xml:space="preserve">Sí ☐     No ☐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Detalle de la revisión (ítems recurrentes identificados y periodicidad):</w:t>
      </w:r>
    </w:p>
    <w:p>
      <w:pPr>
        <w:pBdr>
          <w:bottom w:val="single" w:color="AAAAAA" w:sz="4" w:space="1"/>
        </w:pBdr>
        <w:spacing w:after="90"/>
        <w:ind w:left="30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Seguimiento reforzado comprometido para el período siguiente: </w:t>
      </w:r>
      <w:r>
        <w:rPr>
          <w:rFonts w:ascii="Calibri" w:cs="Calibri" w:eastAsia="Calibri" w:hAnsi="Calibri"/>
          <w:sz w:val="19"/>
          <w:szCs w:val="19"/>
        </w:rPr>
        <w:t xml:space="preserve">Sí ☐     No ☐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Modalidad y fecha del seguimiento reforzado: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80" w:before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Duplique este bloque completo (identificación + tabla de causas + plan de seguimiento) para cada establecimiento adicional clasificado en Riesgo Amarillo.</w:t>
      </w:r>
    </w:p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5. Antecedentes por Establecimiento — Riesgo Rojo</w:t>
      </w:r>
    </w:p>
    <w:p>
      <w:pPr>
        <w:shd w:fill="FCE4E4" w:val="clear"/>
        <w:spacing w:after="100" w:before="24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Bloque tipo — Establecimiento N°__</w:t>
      </w:r>
    </w:p>
    <w:tbl>
      <w:tblPr>
        <w:tblW w:type="dxa" w:w="14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000"/>
      </w:tblGrid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Establecimiento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Código DEIS / RUT Unidad de Compra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% Trato Directo del período (Consolidado del Servicio)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% mismo período año 2025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Variación vs 2025 (p.p.)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Nivel de riesgo</w:t>
            </w:r>
          </w:p>
        </w:tc>
        <w:tc>
          <w:tcPr>
            <w:tcW w:type="dxa" w:w="11000"/>
            <w:shd w:fill="FCE4E4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RIESGO ROJO</w:t>
            </w:r>
          </w:p>
        </w:tc>
      </w:tr>
      <w:tr>
        <w:tc>
          <w:tcPr>
            <w:tcW w:type="dxa" w:w="32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¿Incluido en la comunicación original de la Subsecretaría?</w:t>
            </w:r>
          </w:p>
        </w:tc>
        <w:tc>
          <w:tcPr>
            <w:tcW w:type="dxa" w:w="11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Sí ☐     No ☐ (antecedente adicional aportado por el Servicio)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spacing w:after="100"/>
      </w:pPr>
      <w:r>
        <w:rPr>
          <w:rFonts w:ascii="Calibri" w:cs="Calibri" w:eastAsia="Calibri" w:hAnsi="Calibri"/>
          <w:sz w:val="19"/>
          <w:szCs w:val="19"/>
        </w:rPr>
        <w:t xml:space="preserve">Informe detallado de causas, plan de acción con medidas correctivas, responsables y plazos comprometidos, y estado de avance (agregue tantas filas como sea necesario):</w:t>
      </w:r>
    </w:p>
    <w:tbl>
      <w:tblPr>
        <w:tblW w:type="dxa" w:w="13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"/>
        <w:gridCol w:w="2550"/>
        <w:gridCol w:w="2550"/>
        <w:gridCol w:w="2500"/>
        <w:gridCol w:w="1800"/>
        <w:gridCol w:w="1600"/>
        <w:gridCol w:w="2400"/>
      </w:tblGrid>
      <w:tr>
        <w:trPr>
          <w:tblHeader/>
        </w:trPr>
        <w:tc>
          <w:tcPr>
            <w:tcW w:type="dxa" w:w="3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2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Principales causas</w:t>
            </w:r>
          </w:p>
        </w:tc>
        <w:tc>
          <w:tcPr>
            <w:tcW w:type="dxa" w:w="255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Medidas implementadas</w:t>
            </w:r>
          </w:p>
        </w:tc>
        <w:tc>
          <w:tcPr>
            <w:tcW w:type="dxa" w:w="25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Compromiso</w:t>
            </w:r>
          </w:p>
        </w:tc>
        <w:tc>
          <w:tcPr>
            <w:tcW w:type="dxa" w:w="18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Responsable</w:t>
            </w:r>
          </w:p>
        </w:tc>
        <w:tc>
          <w:tcPr>
            <w:tcW w:type="dxa" w:w="16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Plazo comprometido</w:t>
            </w:r>
          </w:p>
        </w:tc>
        <w:tc>
          <w:tcPr>
            <w:tcW w:type="dxa" w:w="24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Estado de avance</w:t>
            </w:r>
          </w:p>
        </w:tc>
      </w:tr>
      <w:tr>
        <w:tc>
          <w:tcPr>
            <w:tcW w:type="dxa" w:w="3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8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8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3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5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8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</w:tbl>
    <w:p>
      <w:pPr>
        <w:spacing w:after="40" w:before="18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shd w:fill="F2F2F2" w:val="clear"/>
        <w:spacing w:after="100" w:before="24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Plan de Seguimiento y Control — Riesgo Rojo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Mecanismo competitivo identificado para regularizar el abastecimiento: </w:t>
      </w:r>
      <w:r>
        <w:rPr>
          <w:rFonts w:ascii="Calibri" w:cs="Calibri" w:eastAsia="Calibri" w:hAnsi="Calibri"/>
          <w:sz w:val="19"/>
          <w:szCs w:val="19"/>
        </w:rPr>
        <w:t xml:space="preserve">Licitación ☐   Compra coordinada ☐   Convenio Marco ☐   Otro: ___________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Reunión de seguimiento técnico con el equipo del Servicio de Salud — fecha programada: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00" w:before="120"/>
      </w:pPr>
      <w:r>
        <w:rPr>
          <w:rFonts w:ascii="Calibri" w:cs="Calibri" w:eastAsia="Calibri" w:hAnsi="Calibri"/>
          <w:sz w:val="19"/>
          <w:szCs w:val="19"/>
        </w:rPr>
        <w:t xml:space="preserve">Monitoreo mensual de compromisos (obligatorio hasta la normalización del indicador):</w:t>
      </w:r>
    </w:p>
    <w:tbl>
      <w:tblPr>
        <w:tblW w:type="dxa" w:w="14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400"/>
        <w:gridCol w:w="6000"/>
      </w:tblGrid>
      <w:tr>
        <w:trPr>
          <w:tblHeader/>
        </w:trPr>
        <w:tc>
          <w:tcPr>
            <w:tcW w:type="dxa" w:w="24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Mes de seguimiento</w:t>
            </w:r>
          </w:p>
        </w:tc>
        <w:tc>
          <w:tcPr>
            <w:tcW w:type="dxa" w:w="24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Fecha de control</w:t>
            </w:r>
          </w:p>
        </w:tc>
        <w:tc>
          <w:tcPr>
            <w:tcW w:type="dxa" w:w="34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Estado de cumplimiento</w:t>
            </w:r>
          </w:p>
        </w:tc>
        <w:tc>
          <w:tcPr>
            <w:tcW w:type="dxa" w:w="60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Observación</w:t>
            </w:r>
          </w:p>
        </w:tc>
      </w:tr>
      <w:tr>
        <w:tc>
          <w:tcPr>
            <w:tcW w:type="dxa" w:w="24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Mes 1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6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Mes 2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6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shd w:fill="F2F2F2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Mes 3</w:t>
            </w:r>
          </w:p>
        </w:tc>
        <w:tc>
          <w:tcPr>
            <w:tcW w:type="dxa" w:w="2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34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6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</w:tbl>
    <w:p>
      <w:pPr>
        <w:spacing w:after="180" w:before="6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Duplique este bloque completo (identificación + tabla de causas + plan de seguimiento y control) para cada establecimiento adicional clasificado en Riesgo Rojo.</w:t>
      </w:r>
    </w:p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6. Antecedentes Adicionales No Incluidos en la Comunicación Original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Utilice esta sección para establecimientos en Riesgo Amarillo o Rojo según el Consolidado del Servicio, pero que no fueron citados en la comunicación original de la Subsecretaría. Duplique el bloque tipo de la Sección 4 o 5 según corresponda, indicando "No" en el campo "¿Incluido en la comunicación original?".</w:t>
      </w:r>
    </w:p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7. Establecimientos con Información Pendiente</w:t>
      </w:r>
    </w:p>
    <w:p>
      <w:pPr>
        <w:spacing w:after="140"/>
      </w:pPr>
      <w:r>
        <w:rPr>
          <w:rFonts w:ascii="Calibri" w:cs="Calibri" w:eastAsia="Calibri" w:hAnsi="Calibri"/>
          <w:sz w:val="19"/>
          <w:szCs w:val="19"/>
        </w:rPr>
        <w:t xml:space="preserve">Informe aquí los establecimientos en Riesgo Amarillo o Rojo cuyo antecedente aún no ha sido recibido por el Servicio de Salud al momento del envío del presente reporte.</w:t>
      </w:r>
    </w:p>
    <w:tbl>
      <w:tblPr>
        <w:tblW w:type="dxa" w:w="13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100"/>
        <w:gridCol w:w="2500"/>
        <w:gridCol w:w="5200"/>
      </w:tblGrid>
      <w:tr>
        <w:trPr>
          <w:tblHeader/>
        </w:trPr>
        <w:tc>
          <w:tcPr>
            <w:tcW w:type="dxa" w:w="40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Establecimiento</w:t>
            </w:r>
          </w:p>
        </w:tc>
        <w:tc>
          <w:tcPr>
            <w:tcW w:type="dxa" w:w="21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Estado</w:t>
            </w:r>
          </w:p>
        </w:tc>
        <w:tc>
          <w:tcPr>
            <w:tcW w:type="dxa" w:w="25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Fecha estimada de envío</w:t>
            </w:r>
          </w:p>
        </w:tc>
        <w:tc>
          <w:tcPr>
            <w:tcW w:type="dxa" w:w="5200"/>
            <w:shd w:fill="1F4E78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Observación</w:t>
            </w:r>
          </w:p>
        </w:tc>
      </w:tr>
      <w:tr>
        <w:tc>
          <w:tcPr>
            <w:tcW w:type="dxa" w:w="4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52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4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52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40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1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25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  <w:tc>
          <w:tcPr>
            <w:tcW w:type="dxa" w:w="5200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 </w:t>
            </w:r>
          </w:p>
        </w:tc>
      </w:tr>
    </w:tbl>
    <w:p>
      <w:pPr>
        <w:pStyle w:val="Heading1"/>
        <w:pBdr>
          <w:bottom w:val="single" w:color="1F4E78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4E78"/>
          <w:sz w:val="25"/>
          <w:szCs w:val="25"/>
        </w:rPr>
        <w:t xml:space="preserve">8. Validación y Envío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Visado por (Subdirector/a Administrativo, RRFF y Financieros):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Firma: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Fecha: </w:t>
      </w:r>
      <w:r>
        <w:rPr>
          <w:rFonts w:ascii="Calibri" w:cs="Calibri" w:eastAsia="Calibri" w:hAnsi="Calibri"/>
          <w:sz w:val="19"/>
          <w:szCs w:val="19"/>
        </w:rPr>
        <w:t xml:space="preserve">___________________________________________________________</w:t>
      </w:r>
    </w:p>
    <w:p>
      <w:pPr>
        <w:spacing w:after="100" w:before="120"/>
      </w:pPr>
      <w:r>
        <w:rPr>
          <w:rFonts w:ascii="Calibri" w:cs="Calibri" w:eastAsia="Calibri" w:hAnsi="Calibri"/>
          <w:sz w:val="19"/>
          <w:szCs w:val="19"/>
        </w:rPr>
        <w:t xml:space="preserve">Remitir el presente formato consolidado, junto con los antecedentes de respaldo que correspondan, a la casilla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hernan.lira@minsal.cl</w:t>
      </w:r>
      <w:r>
        <w:rPr>
          <w:rFonts w:ascii="Calibri" w:cs="Calibri" w:eastAsia="Calibri" w:hAnsi="Calibri"/>
          <w:sz w:val="19"/>
          <w:szCs w:val="19"/>
        </w:rPr>
        <w:t xml:space="preserve">, dentro del plazo establecido para el reporte respectivo.</w:t>
      </w:r>
    </w:p>
    <w:sectPr>
      <w:headerReference w:type="default" r:id="rId7"/>
      <w:footerReference w:type="default" r:id="rId8"/>
      <w:pgSz w:w="15840" w:h="12240" w:orient="landscape"/>
      <w:pgMar w:top="720" w:right="620" w:bottom="7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5"/>
        <w:szCs w:val="15"/>
      </w:rPr>
      <w:t xml:space="preserve">Página </w:t>
    </w:r>
    <w:r>
      <w:rPr>
        <w:rFonts w:ascii="Calibri" w:cs="Calibri" w:eastAsia="Calibri" w:hAnsi="Calibri"/>
        <w:color w:val="99999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99999"/>
        <w:sz w:val="15"/>
        <w:szCs w:val="15"/>
      </w:rPr>
      <w:t xml:space="preserve"> de </w:t>
    </w:r>
    <w:r>
      <w:rPr>
        <w:rFonts w:ascii="Calibri" w:cs="Calibri" w:eastAsia="Calibri" w:hAnsi="Calibri"/>
        <w:color w:val="99999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99999"/>
        <w:sz w:val="15"/>
        <w:szCs w:val="15"/>
      </w:rPr>
      <w:t xml:space="preserve">Monitoreo Trimestral Trato Directo 2026 — Formato Tipo Consolidado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2026-08-11T15:34:19.583Z</dcterms:created>
  <dcterms:modified xsi:type="dcterms:W3CDTF">2026-08-11T15:34:19.596Z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