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ad3fa984595d5d3c80a6a005f421ee3a6f29ea"/>
    <w:p>
      <w:pPr>
        <w:pStyle w:val="Heading1"/>
      </w:pPr>
      <w:r>
        <w:t xml:space="preserve">Academic Online Profiles and Research Software Section</w:t>
      </w:r>
    </w:p>
    <w:bookmarkStart w:id="20" w:name="google-scholar-profile"/>
    <w:p>
      <w:pPr>
        <w:pStyle w:val="Heading2"/>
      </w:pPr>
      <w:r>
        <w:t xml:space="preserve">Google Scholar Profile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To be created</w:t>
      </w:r>
    </w:p>
    <w:p>
      <w:pPr>
        <w:pStyle w:val="BodyText"/>
      </w:pPr>
      <w:r>
        <w:t xml:space="preserve">A Google Scholar profile will showcase your research outputs, citations, conference papers, working papers, and future publications. Even while your publications are under review, establishing a profile demonstrates your commitment to research and helps build your academic visibility.</w:t>
      </w:r>
    </w:p>
    <w:p>
      <w:pPr>
        <w:pStyle w:val="BodyText"/>
      </w:pPr>
      <w:r>
        <w:rPr>
          <w:b/>
          <w:bCs/>
        </w:rPr>
        <w:t xml:space="preserve">Proposed Research Interests</w:t>
      </w:r>
    </w:p>
    <w:p>
      <w:pPr>
        <w:pStyle w:val="Compact"/>
        <w:numPr>
          <w:ilvl w:val="0"/>
          <w:numId w:val="1001"/>
        </w:numPr>
      </w:pPr>
      <w:r>
        <w:t xml:space="preserve">Artificial Intelligence in Education (AIED)</w:t>
      </w:r>
    </w:p>
    <w:p>
      <w:pPr>
        <w:pStyle w:val="Compact"/>
        <w:numPr>
          <w:ilvl w:val="0"/>
          <w:numId w:val="1001"/>
        </w:numPr>
      </w:pPr>
      <w:r>
        <w:t xml:space="preserve">Inclusive Education</w:t>
      </w:r>
    </w:p>
    <w:p>
      <w:pPr>
        <w:pStyle w:val="Compact"/>
        <w:numPr>
          <w:ilvl w:val="0"/>
          <w:numId w:val="1001"/>
        </w:numPr>
      </w:pPr>
      <w:r>
        <w:t xml:space="preserve">Educational Technology</w:t>
      </w:r>
    </w:p>
    <w:p>
      <w:pPr>
        <w:pStyle w:val="Compact"/>
        <w:numPr>
          <w:ilvl w:val="0"/>
          <w:numId w:val="1001"/>
        </w:numPr>
      </w:pPr>
      <w:r>
        <w:t xml:space="preserve">Learning Analytics</w:t>
      </w:r>
    </w:p>
    <w:p>
      <w:pPr>
        <w:pStyle w:val="Compact"/>
        <w:numPr>
          <w:ilvl w:val="0"/>
          <w:numId w:val="1001"/>
        </w:numPr>
      </w:pPr>
      <w:r>
        <w:t xml:space="preserve">Competency-Based Education (CBE)</w:t>
      </w:r>
    </w:p>
    <w:p>
      <w:pPr>
        <w:pStyle w:val="Compact"/>
        <w:numPr>
          <w:ilvl w:val="0"/>
          <w:numId w:val="1001"/>
        </w:numPr>
      </w:pPr>
      <w:r>
        <w:t xml:space="preserve">Competency-Based Assessment</w:t>
      </w:r>
    </w:p>
    <w:p>
      <w:pPr>
        <w:pStyle w:val="Compact"/>
        <w:numPr>
          <w:ilvl w:val="0"/>
          <w:numId w:val="1001"/>
        </w:numPr>
      </w:pPr>
      <w:r>
        <w:t xml:space="preserve">Universal Design for Learning (UDL)</w:t>
      </w:r>
    </w:p>
    <w:p>
      <w:pPr>
        <w:pStyle w:val="Compact"/>
        <w:numPr>
          <w:ilvl w:val="0"/>
          <w:numId w:val="1001"/>
        </w:numPr>
      </w:pPr>
      <w:r>
        <w:t xml:space="preserve">Ethical Artificial Intelligence</w:t>
      </w:r>
    </w:p>
    <w:p>
      <w:pPr>
        <w:pStyle w:val="Compact"/>
        <w:numPr>
          <w:ilvl w:val="0"/>
          <w:numId w:val="1001"/>
        </w:numPr>
      </w:pPr>
      <w:r>
        <w:t xml:space="preserve">Special Needs Education</w:t>
      </w:r>
    </w:p>
    <w:p>
      <w:pPr>
        <w:pStyle w:val="Compact"/>
        <w:numPr>
          <w:ilvl w:val="0"/>
          <w:numId w:val="1001"/>
        </w:numPr>
      </w:pPr>
      <w:r>
        <w:t xml:space="preserve">Technical and Vocational Education and Training (TVET)</w:t>
      </w:r>
    </w:p>
    <w:p>
      <w:pPr>
        <w:pStyle w:val="Compact"/>
        <w:numPr>
          <w:ilvl w:val="0"/>
          <w:numId w:val="1001"/>
        </w:numPr>
      </w:pPr>
      <w:r>
        <w:t xml:space="preserve">Intellectual and Developmental Disabilities (IDD)</w:t>
      </w:r>
    </w:p>
    <w:p>
      <w:pPr>
        <w:pStyle w:val="Compact"/>
        <w:numPr>
          <w:ilvl w:val="0"/>
          <w:numId w:val="1001"/>
        </w:numPr>
      </w:pPr>
      <w:r>
        <w:t xml:space="preserve">Assistive Technology</w:t>
      </w:r>
    </w:p>
    <w:p>
      <w:pPr>
        <w:pStyle w:val="Compact"/>
        <w:numPr>
          <w:ilvl w:val="0"/>
          <w:numId w:val="1001"/>
        </w:numPr>
      </w:pPr>
      <w:r>
        <w:t xml:space="preserve">Digital Assessment</w:t>
      </w:r>
    </w:p>
    <w:p>
      <w:pPr>
        <w:pStyle w:val="Compact"/>
        <w:numPr>
          <w:ilvl w:val="0"/>
          <w:numId w:val="1001"/>
        </w:numPr>
      </w:pPr>
      <w:r>
        <w:t xml:space="preserve">Educational Data Analytics</w:t>
      </w:r>
    </w:p>
    <w:p>
      <w:pPr>
        <w:pStyle w:val="FirstParagraph"/>
      </w:pPr>
      <w:r>
        <w:rPr>
          <w:b/>
          <w:bCs/>
        </w:rPr>
        <w:t xml:space="preserve">Initial Publications to Add (when available)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iCOMPASS: An Ethical AI-Driven Collaborative Assessment Framework for Inclusive Competency-Based TVET Education in Low-Resource Contexts</w:t>
      </w:r>
      <w:r>
        <w:t xml:space="preserve"> </w:t>
      </w:r>
      <w:r>
        <w:t xml:space="preserve">(Manuscript under preparation)</w:t>
      </w:r>
    </w:p>
    <w:p>
      <w:pPr>
        <w:numPr>
          <w:ilvl w:val="0"/>
          <w:numId w:val="1002"/>
        </w:numPr>
      </w:pPr>
      <w:r>
        <w:t xml:space="preserve">Master’s Thesis:</w:t>
      </w:r>
      <w:r>
        <w:t xml:space="preserve"> </w:t>
      </w:r>
      <w:r>
        <w:rPr>
          <w:i/>
          <w:iCs/>
        </w:rPr>
        <w:t xml:space="preserve">AI-Driven Inclusive Assessment Systems for Learners with Intellectual and Developmental Disabilities in Kenyan TVET Institutions</w:t>
      </w:r>
    </w:p>
    <w:p>
      <w:pPr>
        <w:numPr>
          <w:ilvl w:val="0"/>
          <w:numId w:val="1002"/>
        </w:numPr>
      </w:pPr>
      <w:r>
        <w:t xml:space="preserve">Conference papers and technical reports derived from the iCOMPASS project.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linkedin-professional-academic-summary"/>
    <w:p>
      <w:pPr>
        <w:pStyle w:val="Heading1"/>
      </w:pPr>
      <w:r>
        <w:t xml:space="preserve">LinkedIn Professional Academic Summary</w:t>
      </w:r>
    </w:p>
    <w:p>
      <w:pPr>
        <w:pStyle w:val="FirstParagraph"/>
      </w:pPr>
      <w:r>
        <w:rPr>
          <w:b/>
          <w:bCs/>
        </w:rPr>
        <w:t xml:space="preserve">Headline</w:t>
      </w:r>
    </w:p>
    <w:p>
      <w:pPr>
        <w:pStyle w:val="BodyText"/>
      </w:pPr>
      <w:r>
        <w:t xml:space="preserve">Special Needs Education Specialist | Educational Technology Researcher | AI in Education | Learning Analytics | Inclusive Assessment | TVET | Competency-Based Education</w:t>
      </w:r>
    </w:p>
    <w:p>
      <w:r>
        <w:pict>
          <v:rect style="width:0;height:1.5pt" o:hralign="center" o:hrstd="t" o:hr="t"/>
        </w:pict>
      </w:r>
    </w:p>
    <w:bookmarkStart w:id="23" w:name="about"/>
    <w:p>
      <w:pPr>
        <w:pStyle w:val="Heading2"/>
      </w:pPr>
      <w:r>
        <w:t xml:space="preserve">About</w:t>
      </w:r>
    </w:p>
    <w:p>
      <w:pPr>
        <w:pStyle w:val="FirstParagraph"/>
      </w:pPr>
      <w:r>
        <w:t xml:space="preserve">I am a Special Needs Education Specialist with over 30 years of professional experience in inclusive education, educational leadership, curriculum implementation, and teacher development. I currently serve as a Senior Special Needs Education Teacher at Mathare Special Training Centre in Nairobi, Kenya, while completing a Master of Education in Technology in Education at Jomo Kenyatta University of Agriculture and Technology (JKUAT).</w:t>
      </w:r>
    </w:p>
    <w:p>
      <w:pPr>
        <w:pStyle w:val="BodyText"/>
      </w:pPr>
      <w:r>
        <w:t xml:space="preserve">My research focuses on Artificial Intelligence in Education (AIED), ethical AI, learning analytics, competency-based assessment, Universal Design for Learning (UDL), and inclusive educational technologies for learners with intellectual and developmental disabilities (IDD).</w:t>
      </w:r>
    </w:p>
    <w:p>
      <w:pPr>
        <w:pStyle w:val="BodyText"/>
      </w:pPr>
      <w:r>
        <w:t xml:space="preserve">I am developing the</w:t>
      </w:r>
      <w:r>
        <w:t xml:space="preserve"> </w:t>
      </w:r>
      <w:r>
        <w:rPr>
          <w:b/>
          <w:bCs/>
        </w:rPr>
        <w:t xml:space="preserve">iCOMPASS (Inclusive Collaborative Platform for AI-Supported Student Success)</w:t>
      </w:r>
      <w:r>
        <w:t xml:space="preserve"> </w:t>
      </w:r>
      <w:r>
        <w:t xml:space="preserve">framework, an ethical AI-driven assessment model designed to improve competency-based assessment and personalized learning within Technical and Vocational Education and Training (TVET) institutions operating in resource-constrained environments.</w:t>
      </w:r>
    </w:p>
    <w:p>
      <w:pPr>
        <w:pStyle w:val="BodyText"/>
      </w:pPr>
      <w:r>
        <w:t xml:space="preserve">My long-term research goal is to advance equitable, evidence-based AI solutions that improve educational access, learner outcomes, and employment opportunities for persons with disabilities across Africa through interdisciplinary research and international collaboration.</w:t>
      </w:r>
    </w:p>
    <w:bookmarkStart w:id="22" w:name="research-interests"/>
    <w:p>
      <w:pPr>
        <w:pStyle w:val="Heading3"/>
      </w:pPr>
      <w:r>
        <w:t xml:space="preserve">Research Interests</w:t>
      </w:r>
    </w:p>
    <w:p>
      <w:pPr>
        <w:pStyle w:val="Compact"/>
        <w:numPr>
          <w:ilvl w:val="0"/>
          <w:numId w:val="1003"/>
        </w:numPr>
      </w:pPr>
      <w:r>
        <w:t xml:space="preserve">Artificial Intelligence in Education</w:t>
      </w:r>
    </w:p>
    <w:p>
      <w:pPr>
        <w:pStyle w:val="Compact"/>
        <w:numPr>
          <w:ilvl w:val="0"/>
          <w:numId w:val="1003"/>
        </w:numPr>
      </w:pPr>
      <w:r>
        <w:t xml:space="preserve">Inclusive Education</w:t>
      </w:r>
    </w:p>
    <w:p>
      <w:pPr>
        <w:pStyle w:val="Compact"/>
        <w:numPr>
          <w:ilvl w:val="0"/>
          <w:numId w:val="1003"/>
        </w:numPr>
      </w:pPr>
      <w:r>
        <w:t xml:space="preserve">Learning Analytics</w:t>
      </w:r>
    </w:p>
    <w:p>
      <w:pPr>
        <w:pStyle w:val="Compact"/>
        <w:numPr>
          <w:ilvl w:val="0"/>
          <w:numId w:val="1003"/>
        </w:numPr>
      </w:pPr>
      <w:r>
        <w:t xml:space="preserve">Educational Technology</w:t>
      </w:r>
    </w:p>
    <w:p>
      <w:pPr>
        <w:pStyle w:val="Compact"/>
        <w:numPr>
          <w:ilvl w:val="0"/>
          <w:numId w:val="1003"/>
        </w:numPr>
      </w:pPr>
      <w:r>
        <w:t xml:space="preserve">Competency-Based Education</w:t>
      </w:r>
    </w:p>
    <w:p>
      <w:pPr>
        <w:pStyle w:val="Compact"/>
        <w:numPr>
          <w:ilvl w:val="0"/>
          <w:numId w:val="1003"/>
        </w:numPr>
      </w:pPr>
      <w:r>
        <w:t xml:space="preserve">Ethical AI</w:t>
      </w:r>
    </w:p>
    <w:p>
      <w:pPr>
        <w:pStyle w:val="Compact"/>
        <w:numPr>
          <w:ilvl w:val="0"/>
          <w:numId w:val="1003"/>
        </w:numPr>
      </w:pPr>
      <w:r>
        <w:t xml:space="preserve">Universal Design for Learning</w:t>
      </w:r>
    </w:p>
    <w:p>
      <w:pPr>
        <w:pStyle w:val="Compact"/>
        <w:numPr>
          <w:ilvl w:val="0"/>
          <w:numId w:val="1003"/>
        </w:numPr>
      </w:pPr>
      <w:r>
        <w:t xml:space="preserve">TVET</w:t>
      </w:r>
    </w:p>
    <w:p>
      <w:pPr>
        <w:pStyle w:val="Compact"/>
        <w:numPr>
          <w:ilvl w:val="0"/>
          <w:numId w:val="1003"/>
        </w:numPr>
      </w:pPr>
      <w:r>
        <w:t xml:space="preserve">Special Needs Education</w:t>
      </w:r>
    </w:p>
    <w:p>
      <w:pPr>
        <w:pStyle w:val="Compact"/>
        <w:numPr>
          <w:ilvl w:val="0"/>
          <w:numId w:val="1003"/>
        </w:numPr>
      </w:pPr>
      <w:r>
        <w:t xml:space="preserve">Assistive Technology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5" w:name="Xd070b4d910d5587d3aa609f09e7e0a051574e1f"/>
    <w:p>
      <w:pPr>
        <w:pStyle w:val="Heading1"/>
      </w:pPr>
      <w:r>
        <w:t xml:space="preserve">Research Software and Technical Competencies</w:t>
      </w:r>
    </w:p>
    <w:bookmarkStart w:id="25" w:name="statistical-analysis"/>
    <w:p>
      <w:pPr>
        <w:pStyle w:val="Heading2"/>
      </w:pPr>
      <w:r>
        <w:t xml:space="preserve">Statistical Analysis</w:t>
      </w:r>
    </w:p>
    <w:p>
      <w:pPr>
        <w:pStyle w:val="Compact"/>
        <w:numPr>
          <w:ilvl w:val="0"/>
          <w:numId w:val="1004"/>
        </w:numPr>
      </w:pPr>
      <w:r>
        <w:t xml:space="preserve">IBM SPSS Statistics</w:t>
      </w:r>
    </w:p>
    <w:p>
      <w:pPr>
        <w:pStyle w:val="Compact"/>
        <w:numPr>
          <w:ilvl w:val="0"/>
          <w:numId w:val="1004"/>
        </w:numPr>
      </w:pPr>
      <w:r>
        <w:t xml:space="preserve">R (Statistical Computing)</w:t>
      </w:r>
    </w:p>
    <w:p>
      <w:pPr>
        <w:pStyle w:val="Compact"/>
        <w:numPr>
          <w:ilvl w:val="0"/>
          <w:numId w:val="1004"/>
        </w:numPr>
      </w:pPr>
      <w:r>
        <w:t xml:space="preserve">Microsoft Excel (Advanced Data Analysis)</w:t>
      </w:r>
    </w:p>
    <w:p>
      <w:pPr>
        <w:pStyle w:val="Compact"/>
        <w:numPr>
          <w:ilvl w:val="0"/>
          <w:numId w:val="1004"/>
        </w:numPr>
      </w:pPr>
      <w:r>
        <w:t xml:space="preserve">Jamovi</w:t>
      </w:r>
    </w:p>
    <w:p>
      <w:pPr>
        <w:pStyle w:val="Compact"/>
        <w:numPr>
          <w:ilvl w:val="0"/>
          <w:numId w:val="1004"/>
        </w:numPr>
      </w:pPr>
      <w:r>
        <w:t xml:space="preserve">JASP</w:t>
      </w:r>
    </w:p>
    <w:bookmarkEnd w:id="25"/>
    <w:bookmarkStart w:id="26" w:name="qualitative-data-analysis"/>
    <w:p>
      <w:pPr>
        <w:pStyle w:val="Heading2"/>
      </w:pPr>
      <w:r>
        <w:t xml:space="preserve">Qualitative Data Analysis</w:t>
      </w:r>
    </w:p>
    <w:p>
      <w:pPr>
        <w:pStyle w:val="Compact"/>
        <w:numPr>
          <w:ilvl w:val="0"/>
          <w:numId w:val="1005"/>
        </w:numPr>
      </w:pPr>
      <w:r>
        <w:t xml:space="preserve">NVivo</w:t>
      </w:r>
    </w:p>
    <w:p>
      <w:pPr>
        <w:pStyle w:val="Compact"/>
        <w:numPr>
          <w:ilvl w:val="0"/>
          <w:numId w:val="1005"/>
        </w:numPr>
      </w:pPr>
      <w:r>
        <w:t xml:space="preserve">ATLAS.ti</w:t>
      </w:r>
    </w:p>
    <w:p>
      <w:pPr>
        <w:pStyle w:val="Compact"/>
        <w:numPr>
          <w:ilvl w:val="0"/>
          <w:numId w:val="1005"/>
        </w:numPr>
      </w:pPr>
      <w:r>
        <w:t xml:space="preserve">MAXQDA</w:t>
      </w:r>
    </w:p>
    <w:bookmarkEnd w:id="26"/>
    <w:bookmarkStart w:id="27" w:name="research-design-and-survey-platforms"/>
    <w:p>
      <w:pPr>
        <w:pStyle w:val="Heading2"/>
      </w:pPr>
      <w:r>
        <w:t xml:space="preserve">Research Design and Survey Platforms</w:t>
      </w:r>
    </w:p>
    <w:p>
      <w:pPr>
        <w:pStyle w:val="Compact"/>
        <w:numPr>
          <w:ilvl w:val="0"/>
          <w:numId w:val="1006"/>
        </w:numPr>
      </w:pPr>
      <w:r>
        <w:t xml:space="preserve">Qualtrics</w:t>
      </w:r>
    </w:p>
    <w:p>
      <w:pPr>
        <w:pStyle w:val="Compact"/>
        <w:numPr>
          <w:ilvl w:val="0"/>
          <w:numId w:val="1006"/>
        </w:numPr>
      </w:pPr>
      <w:r>
        <w:t xml:space="preserve">Google Forms</w:t>
      </w:r>
    </w:p>
    <w:p>
      <w:pPr>
        <w:pStyle w:val="Compact"/>
        <w:numPr>
          <w:ilvl w:val="0"/>
          <w:numId w:val="1006"/>
        </w:numPr>
      </w:pPr>
      <w:r>
        <w:t xml:space="preserve">Microsoft Forms</w:t>
      </w:r>
    </w:p>
    <w:p>
      <w:pPr>
        <w:pStyle w:val="Compact"/>
        <w:numPr>
          <w:ilvl w:val="0"/>
          <w:numId w:val="1006"/>
        </w:numPr>
      </w:pPr>
      <w:r>
        <w:t xml:space="preserve">KoboToolbox</w:t>
      </w:r>
    </w:p>
    <w:p>
      <w:pPr>
        <w:pStyle w:val="Compact"/>
        <w:numPr>
          <w:ilvl w:val="0"/>
          <w:numId w:val="1006"/>
        </w:numPr>
      </w:pPr>
      <w:r>
        <w:t xml:space="preserve">REDCap (basic familiarity)</w:t>
      </w:r>
    </w:p>
    <w:bookmarkEnd w:id="27"/>
    <w:bookmarkStart w:id="28" w:name="data-visualization"/>
    <w:p>
      <w:pPr>
        <w:pStyle w:val="Heading2"/>
      </w:pPr>
      <w:r>
        <w:t xml:space="preserve">Data Visualization</w:t>
      </w:r>
    </w:p>
    <w:p>
      <w:pPr>
        <w:pStyle w:val="Compact"/>
        <w:numPr>
          <w:ilvl w:val="0"/>
          <w:numId w:val="1007"/>
        </w:numPr>
      </w:pPr>
      <w:r>
        <w:t xml:space="preserve">Microsoft Power BI</w:t>
      </w:r>
    </w:p>
    <w:p>
      <w:pPr>
        <w:pStyle w:val="Compact"/>
        <w:numPr>
          <w:ilvl w:val="0"/>
          <w:numId w:val="1007"/>
        </w:numPr>
      </w:pPr>
      <w:r>
        <w:t xml:space="preserve">Tableau (basic)</w:t>
      </w:r>
    </w:p>
    <w:p>
      <w:pPr>
        <w:pStyle w:val="Compact"/>
        <w:numPr>
          <w:ilvl w:val="0"/>
          <w:numId w:val="1007"/>
        </w:numPr>
      </w:pPr>
      <w:r>
        <w:t xml:space="preserve">Microsoft Excel Dashboards</w:t>
      </w:r>
    </w:p>
    <w:p>
      <w:pPr>
        <w:pStyle w:val="Compact"/>
        <w:numPr>
          <w:ilvl w:val="0"/>
          <w:numId w:val="1007"/>
        </w:numPr>
      </w:pPr>
      <w:r>
        <w:t xml:space="preserve">Power Query</w:t>
      </w:r>
    </w:p>
    <w:p>
      <w:pPr>
        <w:pStyle w:val="Compact"/>
        <w:numPr>
          <w:ilvl w:val="0"/>
          <w:numId w:val="1007"/>
        </w:numPr>
      </w:pPr>
      <w:r>
        <w:t xml:space="preserve">Power Pivot</w:t>
      </w:r>
    </w:p>
    <w:bookmarkEnd w:id="28"/>
    <w:bookmarkStart w:id="29" w:name="reference-management"/>
    <w:p>
      <w:pPr>
        <w:pStyle w:val="Heading2"/>
      </w:pPr>
      <w:r>
        <w:t xml:space="preserve">Reference Management</w:t>
      </w:r>
    </w:p>
    <w:p>
      <w:pPr>
        <w:pStyle w:val="Compact"/>
        <w:numPr>
          <w:ilvl w:val="0"/>
          <w:numId w:val="1008"/>
        </w:numPr>
      </w:pPr>
      <w:r>
        <w:t xml:space="preserve">Zotero</w:t>
      </w:r>
    </w:p>
    <w:p>
      <w:pPr>
        <w:pStyle w:val="Compact"/>
        <w:numPr>
          <w:ilvl w:val="0"/>
          <w:numId w:val="1008"/>
        </w:numPr>
      </w:pPr>
      <w:r>
        <w:t xml:space="preserve">Mendeley</w:t>
      </w:r>
    </w:p>
    <w:p>
      <w:pPr>
        <w:pStyle w:val="Compact"/>
        <w:numPr>
          <w:ilvl w:val="0"/>
          <w:numId w:val="1008"/>
        </w:numPr>
      </w:pPr>
      <w:r>
        <w:t xml:space="preserve">EndNote</w:t>
      </w:r>
    </w:p>
    <w:p>
      <w:pPr>
        <w:pStyle w:val="Compact"/>
        <w:numPr>
          <w:ilvl w:val="0"/>
          <w:numId w:val="1008"/>
        </w:numPr>
      </w:pPr>
      <w:r>
        <w:t xml:space="preserve">EndNote Online</w:t>
      </w:r>
    </w:p>
    <w:bookmarkEnd w:id="29"/>
    <w:bookmarkStart w:id="30" w:name="X2658683beca8dae49d0ea6588f78609f77fb463"/>
    <w:p>
      <w:pPr>
        <w:pStyle w:val="Heading2"/>
      </w:pPr>
      <w:r>
        <w:t xml:space="preserve">Artificial Intelligence and Educational Technology</w:t>
      </w:r>
    </w:p>
    <w:p>
      <w:pPr>
        <w:pStyle w:val="Compact"/>
        <w:numPr>
          <w:ilvl w:val="0"/>
          <w:numId w:val="1009"/>
        </w:numPr>
      </w:pPr>
      <w:r>
        <w:t xml:space="preserve">ChatGPT</w:t>
      </w:r>
    </w:p>
    <w:p>
      <w:pPr>
        <w:pStyle w:val="Compact"/>
        <w:numPr>
          <w:ilvl w:val="0"/>
          <w:numId w:val="1009"/>
        </w:numPr>
      </w:pPr>
      <w:r>
        <w:t xml:space="preserve">Microsoft Copilot</w:t>
      </w:r>
    </w:p>
    <w:p>
      <w:pPr>
        <w:pStyle w:val="Compact"/>
        <w:numPr>
          <w:ilvl w:val="0"/>
          <w:numId w:val="1009"/>
        </w:numPr>
      </w:pPr>
      <w:r>
        <w:t xml:space="preserve">Google Gemini</w:t>
      </w:r>
    </w:p>
    <w:p>
      <w:pPr>
        <w:pStyle w:val="Compact"/>
        <w:numPr>
          <w:ilvl w:val="0"/>
          <w:numId w:val="1009"/>
        </w:numPr>
      </w:pPr>
      <w:r>
        <w:t xml:space="preserve">Perplexity AI</w:t>
      </w:r>
    </w:p>
    <w:p>
      <w:pPr>
        <w:pStyle w:val="Compact"/>
        <w:numPr>
          <w:ilvl w:val="0"/>
          <w:numId w:val="1009"/>
        </w:numPr>
      </w:pPr>
      <w:r>
        <w:t xml:space="preserve">AI-assisted literature review tools</w:t>
      </w:r>
    </w:p>
    <w:p>
      <w:pPr>
        <w:pStyle w:val="Compact"/>
        <w:numPr>
          <w:ilvl w:val="0"/>
          <w:numId w:val="1009"/>
        </w:numPr>
      </w:pPr>
      <w:r>
        <w:t xml:space="preserve">Learning Management Systems (Moodle, Google Classroom, Microsoft Teams)</w:t>
      </w:r>
    </w:p>
    <w:bookmarkEnd w:id="30"/>
    <w:bookmarkStart w:id="31" w:name="programming-and-data-science"/>
    <w:p>
      <w:pPr>
        <w:pStyle w:val="Heading2"/>
      </w:pPr>
      <w:r>
        <w:t xml:space="preserve">Programming and Data Science</w:t>
      </w:r>
    </w:p>
    <w:p>
      <w:pPr>
        <w:pStyle w:val="Compact"/>
        <w:numPr>
          <w:ilvl w:val="0"/>
          <w:numId w:val="1010"/>
        </w:numPr>
      </w:pPr>
      <w:r>
        <w:t xml:space="preserve">Python (beginner to intermediate for educational data analysis and AI applications)</w:t>
      </w:r>
    </w:p>
    <w:p>
      <w:pPr>
        <w:pStyle w:val="Compact"/>
        <w:numPr>
          <w:ilvl w:val="0"/>
          <w:numId w:val="1010"/>
        </w:numPr>
      </w:pPr>
      <w:r>
        <w:t xml:space="preserve">R (research statistics and visualization)</w:t>
      </w:r>
    </w:p>
    <w:p>
      <w:pPr>
        <w:pStyle w:val="Compact"/>
        <w:numPr>
          <w:ilvl w:val="0"/>
          <w:numId w:val="1010"/>
        </w:numPr>
      </w:pPr>
      <w:r>
        <w:t xml:space="preserve">SQL (basic)</w:t>
      </w:r>
    </w:p>
    <w:bookmarkEnd w:id="31"/>
    <w:bookmarkStart w:id="32" w:name="geographic-and-educational-data"/>
    <w:p>
      <w:pPr>
        <w:pStyle w:val="Heading2"/>
      </w:pPr>
      <w:r>
        <w:t xml:space="preserve">Geographic and Educational Data</w:t>
      </w:r>
    </w:p>
    <w:p>
      <w:pPr>
        <w:pStyle w:val="Compact"/>
        <w:numPr>
          <w:ilvl w:val="0"/>
          <w:numId w:val="1011"/>
        </w:numPr>
      </w:pPr>
      <w:r>
        <w:t xml:space="preserve">KoboToolbox</w:t>
      </w:r>
    </w:p>
    <w:p>
      <w:pPr>
        <w:pStyle w:val="Compact"/>
        <w:numPr>
          <w:ilvl w:val="0"/>
          <w:numId w:val="1011"/>
        </w:numPr>
      </w:pPr>
      <w:r>
        <w:t xml:space="preserve">QGIS (basic)</w:t>
      </w:r>
    </w:p>
    <w:bookmarkEnd w:id="32"/>
    <w:bookmarkStart w:id="33" w:name="office-productivity"/>
    <w:p>
      <w:pPr>
        <w:pStyle w:val="Heading2"/>
      </w:pPr>
      <w:r>
        <w:t xml:space="preserve">Office Productivity</w:t>
      </w:r>
    </w:p>
    <w:p>
      <w:pPr>
        <w:pStyle w:val="Compact"/>
        <w:numPr>
          <w:ilvl w:val="0"/>
          <w:numId w:val="1012"/>
        </w:numPr>
      </w:pPr>
      <w:r>
        <w:t xml:space="preserve">Microsoft 365</w:t>
      </w:r>
    </w:p>
    <w:p>
      <w:pPr>
        <w:pStyle w:val="Compact"/>
        <w:numPr>
          <w:ilvl w:val="0"/>
          <w:numId w:val="1012"/>
        </w:numPr>
      </w:pPr>
      <w:r>
        <w:t xml:space="preserve">Google Workspace</w:t>
      </w:r>
    </w:p>
    <w:p>
      <w:pPr>
        <w:pStyle w:val="Compact"/>
        <w:numPr>
          <w:ilvl w:val="0"/>
          <w:numId w:val="1012"/>
        </w:numPr>
      </w:pPr>
      <w:r>
        <w:t xml:space="preserve">Adobe Acrobat Pro</w:t>
      </w:r>
    </w:p>
    <w:p>
      <w:pPr>
        <w:pStyle w:val="Compact"/>
        <w:numPr>
          <w:ilvl w:val="0"/>
          <w:numId w:val="1012"/>
        </w:numPr>
      </w:pPr>
      <w:r>
        <w:t xml:space="preserve">Canva</w:t>
      </w:r>
    </w:p>
    <w:p>
      <w:pPr>
        <w:pStyle w:val="Compact"/>
        <w:numPr>
          <w:ilvl w:val="0"/>
          <w:numId w:val="1012"/>
        </w:numPr>
      </w:pPr>
      <w:r>
        <w:t xml:space="preserve">Microsoft Project (basic)</w:t>
      </w:r>
    </w:p>
    <w:p>
      <w:pPr>
        <w:pStyle w:val="Compact"/>
        <w:numPr>
          <w:ilvl w:val="0"/>
          <w:numId w:val="1012"/>
        </w:numPr>
      </w:pPr>
      <w:r>
        <w:t xml:space="preserve">Trello</w:t>
      </w:r>
    </w:p>
    <w:p>
      <w:pPr>
        <w:pStyle w:val="Compact"/>
        <w:numPr>
          <w:ilvl w:val="0"/>
          <w:numId w:val="1012"/>
        </w:numPr>
      </w:pPr>
      <w:r>
        <w:t xml:space="preserve">Notion</w:t>
      </w:r>
    </w:p>
    <w:bookmarkEnd w:id="33"/>
    <w:bookmarkStart w:id="34" w:name="research-methods"/>
    <w:p>
      <w:pPr>
        <w:pStyle w:val="Heading2"/>
      </w:pPr>
      <w:r>
        <w:t xml:space="preserve">Research Methods</w:t>
      </w:r>
    </w:p>
    <w:p>
      <w:pPr>
        <w:pStyle w:val="Compact"/>
        <w:numPr>
          <w:ilvl w:val="0"/>
          <w:numId w:val="1013"/>
        </w:numPr>
      </w:pPr>
      <w:r>
        <w:t xml:space="preserve">Mixed Methods Research</w:t>
      </w:r>
    </w:p>
    <w:p>
      <w:pPr>
        <w:pStyle w:val="Compact"/>
        <w:numPr>
          <w:ilvl w:val="0"/>
          <w:numId w:val="1013"/>
        </w:numPr>
      </w:pPr>
      <w:r>
        <w:t xml:space="preserve">Quantitative Research</w:t>
      </w:r>
    </w:p>
    <w:p>
      <w:pPr>
        <w:pStyle w:val="Compact"/>
        <w:numPr>
          <w:ilvl w:val="0"/>
          <w:numId w:val="1013"/>
        </w:numPr>
      </w:pPr>
      <w:r>
        <w:t xml:space="preserve">Qualitative Research</w:t>
      </w:r>
    </w:p>
    <w:p>
      <w:pPr>
        <w:pStyle w:val="Compact"/>
        <w:numPr>
          <w:ilvl w:val="0"/>
          <w:numId w:val="1013"/>
        </w:numPr>
      </w:pPr>
      <w:r>
        <w:t xml:space="preserve">Case Study Research</w:t>
      </w:r>
    </w:p>
    <w:p>
      <w:pPr>
        <w:pStyle w:val="Compact"/>
        <w:numPr>
          <w:ilvl w:val="0"/>
          <w:numId w:val="1013"/>
        </w:numPr>
      </w:pPr>
      <w:r>
        <w:t xml:space="preserve">Convergent Mixed-Methods Design</w:t>
      </w:r>
    </w:p>
    <w:p>
      <w:pPr>
        <w:pStyle w:val="Compact"/>
        <w:numPr>
          <w:ilvl w:val="0"/>
          <w:numId w:val="1013"/>
        </w:numPr>
      </w:pPr>
      <w:r>
        <w:t xml:space="preserve">Survey Design</w:t>
      </w:r>
    </w:p>
    <w:p>
      <w:pPr>
        <w:pStyle w:val="Compact"/>
        <w:numPr>
          <w:ilvl w:val="0"/>
          <w:numId w:val="1013"/>
        </w:numPr>
      </w:pPr>
      <w:r>
        <w:t xml:space="preserve">Focus Group Facilitation</w:t>
      </w:r>
    </w:p>
    <w:p>
      <w:pPr>
        <w:pStyle w:val="Compact"/>
        <w:numPr>
          <w:ilvl w:val="0"/>
          <w:numId w:val="1013"/>
        </w:numPr>
      </w:pPr>
      <w:r>
        <w:t xml:space="preserve">Semi-Structured Interviews</w:t>
      </w:r>
    </w:p>
    <w:p>
      <w:pPr>
        <w:pStyle w:val="Compact"/>
        <w:numPr>
          <w:ilvl w:val="0"/>
          <w:numId w:val="1013"/>
        </w:numPr>
      </w:pPr>
      <w:r>
        <w:t xml:space="preserve">Classroom Observation</w:t>
      </w:r>
    </w:p>
    <w:p>
      <w:pPr>
        <w:pStyle w:val="Compact"/>
        <w:numPr>
          <w:ilvl w:val="0"/>
          <w:numId w:val="1013"/>
        </w:numPr>
      </w:pPr>
      <w:r>
        <w:t xml:space="preserve">Thematic Analysis</w:t>
      </w:r>
    </w:p>
    <w:p>
      <w:pPr>
        <w:pStyle w:val="Compact"/>
        <w:numPr>
          <w:ilvl w:val="0"/>
          <w:numId w:val="1013"/>
        </w:numPr>
      </w:pPr>
      <w:r>
        <w:t xml:space="preserve">Regression Analysis</w:t>
      </w:r>
    </w:p>
    <w:p>
      <w:pPr>
        <w:pStyle w:val="Compact"/>
        <w:numPr>
          <w:ilvl w:val="0"/>
          <w:numId w:val="1013"/>
        </w:numPr>
      </w:pPr>
      <w:r>
        <w:t xml:space="preserve">ANOVA</w:t>
      </w:r>
    </w:p>
    <w:p>
      <w:pPr>
        <w:pStyle w:val="Compact"/>
        <w:numPr>
          <w:ilvl w:val="0"/>
          <w:numId w:val="1013"/>
        </w:numPr>
      </w:pPr>
      <w:r>
        <w:t xml:space="preserve">Descriptive Statistics</w:t>
      </w:r>
    </w:p>
    <w:p>
      <w:pPr>
        <w:pStyle w:val="Compact"/>
        <w:numPr>
          <w:ilvl w:val="0"/>
          <w:numId w:val="1013"/>
        </w:numPr>
      </w:pPr>
      <w:r>
        <w:t xml:space="preserve">Educational Assessment</w:t>
      </w:r>
    </w:p>
    <w:p>
      <w:pPr>
        <w:pStyle w:val="Compact"/>
        <w:numPr>
          <w:ilvl w:val="0"/>
          <w:numId w:val="1013"/>
        </w:numPr>
      </w:pPr>
      <w:r>
        <w:t xml:space="preserve">Learning Analytics</w:t>
      </w:r>
    </w:p>
    <w:p>
      <w:pPr>
        <w:pStyle w:val="Compact"/>
        <w:numPr>
          <w:ilvl w:val="0"/>
          <w:numId w:val="1013"/>
        </w:numPr>
      </w:pPr>
      <w:r>
        <w:t xml:space="preserve">Academic Writing</w:t>
      </w:r>
    </w:p>
    <w:p>
      <w:pPr>
        <w:pStyle w:val="Compact"/>
        <w:numPr>
          <w:ilvl w:val="0"/>
          <w:numId w:val="1013"/>
        </w:numPr>
      </w:pPr>
      <w:r>
        <w:t xml:space="preserve">Systematic Literature Review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