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aching-portfolio"/>
    <w:p>
      <w:pPr>
        <w:pStyle w:val="Heading1"/>
      </w:pPr>
      <w:r>
        <w:t xml:space="preserve">Teaching Portfolio</w:t>
      </w:r>
    </w:p>
    <w:bookmarkStart w:id="21" w:name="anne-barongo-ondieki"/>
    <w:p>
      <w:pPr>
        <w:pStyle w:val="Heading2"/>
      </w:pPr>
      <w:r>
        <w:t xml:space="preserve">Anne Barongo Ondieki</w:t>
      </w:r>
    </w:p>
    <w:bookmarkStart w:id="20" w:name="Xe273e2d488063ff43cc119f42255f889c76a7cd"/>
    <w:p>
      <w:pPr>
        <w:pStyle w:val="Heading3"/>
      </w:pPr>
      <w:r>
        <w:t xml:space="preserve">Special Needs Education Specialist | Educational Technology Researcher</w:t>
      </w:r>
    </w:p>
    <w:p>
      <w:r>
        <w:pict>
          <v:rect style="width:0;height:1.5pt" o:hralign="center" o:hrstd="t" o:hr="t"/>
        </w:pict>
      </w:r>
    </w:p>
    <w:bookmarkEnd w:id="20"/>
    <w:bookmarkEnd w:id="21"/>
    <w:bookmarkEnd w:id="22"/>
    <w:bookmarkStart w:id="23" w:name="teaching-philosophy"/>
    <w:p>
      <w:pPr>
        <w:pStyle w:val="Heading1"/>
      </w:pPr>
      <w:r>
        <w:t xml:space="preserve">1. Teaching Philosophy</w:t>
      </w:r>
    </w:p>
    <w:p>
      <w:pPr>
        <w:pStyle w:val="FirstParagraph"/>
      </w:pPr>
      <w:r>
        <w:t xml:space="preserve">I believe every learner has the ability to succeed when teaching is inclusive, evidence-based, and responsive to individual needs. My teaching philosophy is grounded in equity, Universal Design for Learning (UDL), competency-based education, and learner-centred pedagogy. I view technology, including Artificial Intelligence, as a means of enhancing—not replacing—effective teaching by providing personalized support, timely feedback, and accessible learning opportunities.</w:t>
      </w:r>
    </w:p>
    <w:p>
      <w:pPr>
        <w:pStyle w:val="BodyText"/>
      </w:pPr>
      <w:r>
        <w:t xml:space="preserve">My goal is to create learning environments where learners with intellectual and developmental disabilities can demonstrate competence, develop practical vocational skills, and participate fully in education and society.</w:t>
      </w:r>
    </w:p>
    <w:p>
      <w:r>
        <w:pict>
          <v:rect style="width:0;height:1.5pt" o:hralign="center" o:hrstd="t" o:hr="t"/>
        </w:pict>
      </w:r>
    </w:p>
    <w:bookmarkEnd w:id="23"/>
    <w:bookmarkStart w:id="25" w:name="teaching-experience"/>
    <w:p>
      <w:pPr>
        <w:pStyle w:val="Heading1"/>
      </w:pPr>
      <w:r>
        <w:t xml:space="preserve">2. Teaching Experience</w:t>
      </w:r>
    </w:p>
    <w:p>
      <w:pPr>
        <w:pStyle w:val="FirstParagraph"/>
      </w:pPr>
      <w:r>
        <w:rPr>
          <w:b/>
          <w:bCs/>
        </w:rPr>
        <w:t xml:space="preserve">Senior Special Needs Education Teacher</w:t>
      </w:r>
      <w:r>
        <w:br/>
      </w:r>
      <w:r>
        <w:t xml:space="preserve">Mathare Special Training Centre, Nairobi, Kenya</w:t>
      </w:r>
    </w:p>
    <w:p>
      <w:pPr>
        <w:pStyle w:val="BodyText"/>
      </w:pPr>
      <w:r>
        <w:rPr>
          <w:b/>
          <w:bCs/>
        </w:rPr>
        <w:t xml:space="preserve">Years of Service:</w:t>
      </w:r>
      <w:r>
        <w:t xml:space="preserve"> </w:t>
      </w:r>
      <w:r>
        <w:t xml:space="preserve">1992–Present</w:t>
      </w:r>
    </w:p>
    <w:bookmarkStart w:id="24" w:name="key-responsibilities"/>
    <w:p>
      <w:pPr>
        <w:pStyle w:val="Heading3"/>
      </w:pPr>
      <w:r>
        <w:t xml:space="preserve">Key Responsibilities</w:t>
      </w:r>
    </w:p>
    <w:p>
      <w:pPr>
        <w:pStyle w:val="Compact"/>
        <w:numPr>
          <w:ilvl w:val="0"/>
          <w:numId w:val="1001"/>
        </w:numPr>
      </w:pPr>
      <w:r>
        <w:t xml:space="preserve">Teaching learners with intellectual and developmental disabilities.</w:t>
      </w:r>
    </w:p>
    <w:p>
      <w:pPr>
        <w:pStyle w:val="Compact"/>
        <w:numPr>
          <w:ilvl w:val="0"/>
          <w:numId w:val="1001"/>
        </w:numPr>
      </w:pPr>
      <w:r>
        <w:t xml:space="preserve">Designing Individualized Education Programmes (IEPs).</w:t>
      </w:r>
    </w:p>
    <w:p>
      <w:pPr>
        <w:pStyle w:val="Compact"/>
        <w:numPr>
          <w:ilvl w:val="0"/>
          <w:numId w:val="1001"/>
        </w:numPr>
      </w:pPr>
      <w:r>
        <w:t xml:space="preserve">Delivering competency-based vocational education.</w:t>
      </w:r>
    </w:p>
    <w:p>
      <w:pPr>
        <w:pStyle w:val="Compact"/>
        <w:numPr>
          <w:ilvl w:val="0"/>
          <w:numId w:val="1001"/>
        </w:numPr>
      </w:pPr>
      <w:r>
        <w:t xml:space="preserve">Integrating educational technology into classroom instruction.</w:t>
      </w:r>
    </w:p>
    <w:p>
      <w:pPr>
        <w:pStyle w:val="Compact"/>
        <w:numPr>
          <w:ilvl w:val="0"/>
          <w:numId w:val="1001"/>
        </w:numPr>
      </w:pPr>
      <w:r>
        <w:t xml:space="preserve">Supporting inclusive assessment practices.</w:t>
      </w:r>
    </w:p>
    <w:p>
      <w:pPr>
        <w:pStyle w:val="Compact"/>
        <w:numPr>
          <w:ilvl w:val="0"/>
          <w:numId w:val="1001"/>
        </w:numPr>
      </w:pPr>
      <w:r>
        <w:t xml:space="preserve">Supervising learner work placements and vocational training.</w:t>
      </w:r>
    </w:p>
    <w:p>
      <w:pPr>
        <w:pStyle w:val="Compact"/>
        <w:numPr>
          <w:ilvl w:val="0"/>
          <w:numId w:val="1001"/>
        </w:numPr>
      </w:pPr>
      <w:r>
        <w:t xml:space="preserve">Mentoring teachers and trainee educators.</w:t>
      </w:r>
    </w:p>
    <w:p>
      <w:pPr>
        <w:pStyle w:val="Compact"/>
        <w:numPr>
          <w:ilvl w:val="0"/>
          <w:numId w:val="1001"/>
        </w:numPr>
      </w:pPr>
      <w:r>
        <w:t xml:space="preserve">Collaborating with parents and multidisciplinary teams.</w:t>
      </w:r>
    </w:p>
    <w:p>
      <w:r>
        <w:pict>
          <v:rect style="width:0;height:1.5pt" o:hralign="center" o:hrstd="t" o:hr="t"/>
        </w:pict>
      </w:r>
    </w:p>
    <w:bookmarkEnd w:id="24"/>
    <w:bookmarkEnd w:id="25"/>
    <w:bookmarkStart w:id="26" w:name="courses-and-areas-taught"/>
    <w:p>
      <w:pPr>
        <w:pStyle w:val="Heading1"/>
      </w:pPr>
      <w:r>
        <w:t xml:space="preserve">3. Courses and Areas Taught</w:t>
      </w:r>
    </w:p>
    <w:p>
      <w:pPr>
        <w:pStyle w:val="Compact"/>
        <w:numPr>
          <w:ilvl w:val="0"/>
          <w:numId w:val="1002"/>
        </w:numPr>
      </w:pPr>
      <w:r>
        <w:t xml:space="preserve">Special Needs Education</w:t>
      </w:r>
    </w:p>
    <w:p>
      <w:pPr>
        <w:pStyle w:val="Compact"/>
        <w:numPr>
          <w:ilvl w:val="0"/>
          <w:numId w:val="1002"/>
        </w:numPr>
      </w:pPr>
      <w:r>
        <w:t xml:space="preserve">Functional Literacy and Numeracy</w:t>
      </w:r>
    </w:p>
    <w:p>
      <w:pPr>
        <w:pStyle w:val="Compact"/>
        <w:numPr>
          <w:ilvl w:val="0"/>
          <w:numId w:val="1002"/>
        </w:numPr>
      </w:pPr>
      <w:r>
        <w:t xml:space="preserve">Life Skills Education</w:t>
      </w:r>
    </w:p>
    <w:p>
      <w:pPr>
        <w:pStyle w:val="Compact"/>
        <w:numPr>
          <w:ilvl w:val="0"/>
          <w:numId w:val="1002"/>
        </w:numPr>
      </w:pPr>
      <w:r>
        <w:t xml:space="preserve">Vocational Skills Development</w:t>
      </w:r>
    </w:p>
    <w:p>
      <w:pPr>
        <w:pStyle w:val="Compact"/>
        <w:numPr>
          <w:ilvl w:val="0"/>
          <w:numId w:val="1002"/>
        </w:numPr>
      </w:pPr>
      <w:r>
        <w:t xml:space="preserve">Competency-Based Assessment</w:t>
      </w:r>
    </w:p>
    <w:p>
      <w:pPr>
        <w:pStyle w:val="Compact"/>
        <w:numPr>
          <w:ilvl w:val="0"/>
          <w:numId w:val="1002"/>
        </w:numPr>
      </w:pPr>
      <w:r>
        <w:t xml:space="preserve">Inclusive Education</w:t>
      </w:r>
    </w:p>
    <w:p>
      <w:pPr>
        <w:pStyle w:val="Compact"/>
        <w:numPr>
          <w:ilvl w:val="0"/>
          <w:numId w:val="1002"/>
        </w:numPr>
      </w:pPr>
      <w:r>
        <w:t xml:space="preserve">Classroom Management</w:t>
      </w:r>
    </w:p>
    <w:p>
      <w:pPr>
        <w:pStyle w:val="Compact"/>
        <w:numPr>
          <w:ilvl w:val="0"/>
          <w:numId w:val="1002"/>
        </w:numPr>
      </w:pPr>
      <w:r>
        <w:t xml:space="preserve">Educational Technology Integration</w:t>
      </w:r>
    </w:p>
    <w:p>
      <w:r>
        <w:pict>
          <v:rect style="width:0;height:1.5pt" o:hralign="center" o:hrstd="t" o:hr="t"/>
        </w:pict>
      </w:r>
    </w:p>
    <w:bookmarkEnd w:id="26"/>
    <w:bookmarkStart w:id="27" w:name="teaching-innovations"/>
    <w:p>
      <w:pPr>
        <w:pStyle w:val="Heading1"/>
      </w:pPr>
      <w:r>
        <w:t xml:space="preserve">4. Teaching Innovations</w:t>
      </w:r>
    </w:p>
    <w:p>
      <w:pPr>
        <w:pStyle w:val="Compact"/>
        <w:numPr>
          <w:ilvl w:val="0"/>
          <w:numId w:val="1003"/>
        </w:numPr>
      </w:pPr>
      <w:r>
        <w:t xml:space="preserve">Integration of digital learning resources into classroom instruction.</w:t>
      </w:r>
    </w:p>
    <w:p>
      <w:pPr>
        <w:pStyle w:val="Compact"/>
        <w:numPr>
          <w:ilvl w:val="0"/>
          <w:numId w:val="1003"/>
        </w:numPr>
      </w:pPr>
      <w:r>
        <w:t xml:space="preserve">Development of learner-centred competency-based assessment approaches.</w:t>
      </w:r>
    </w:p>
    <w:p>
      <w:pPr>
        <w:pStyle w:val="Compact"/>
        <w:numPr>
          <w:ilvl w:val="0"/>
          <w:numId w:val="1003"/>
        </w:numPr>
      </w:pPr>
      <w:r>
        <w:t xml:space="preserve">Application of Universal Design for Learning principles.</w:t>
      </w:r>
    </w:p>
    <w:p>
      <w:pPr>
        <w:pStyle w:val="Compact"/>
        <w:numPr>
          <w:ilvl w:val="0"/>
          <w:numId w:val="1003"/>
        </w:numPr>
      </w:pPr>
      <w:r>
        <w:t xml:space="preserve">Use of formative assessment to monitor learner progress.</w:t>
      </w:r>
    </w:p>
    <w:p>
      <w:pPr>
        <w:pStyle w:val="Compact"/>
        <w:numPr>
          <w:ilvl w:val="0"/>
          <w:numId w:val="1003"/>
        </w:numPr>
      </w:pPr>
      <w:r>
        <w:t xml:space="preserve">Exploration of ethical AI applications for inclusive assessment through the iCOMPASS research framework.</w:t>
      </w:r>
    </w:p>
    <w:p>
      <w:r>
        <w:pict>
          <v:rect style="width:0;height:1.5pt" o:hralign="center" o:hrstd="t" o:hr="t"/>
        </w:pict>
      </w:r>
    </w:p>
    <w:bookmarkEnd w:id="27"/>
    <w:bookmarkStart w:id="28" w:name="educational-leadership"/>
    <w:p>
      <w:pPr>
        <w:pStyle w:val="Heading1"/>
      </w:pPr>
      <w:r>
        <w:t xml:space="preserve">5. Educational Leadership</w:t>
      </w:r>
    </w:p>
    <w:p>
      <w:pPr>
        <w:pStyle w:val="Compact"/>
        <w:numPr>
          <w:ilvl w:val="0"/>
          <w:numId w:val="1004"/>
        </w:numPr>
      </w:pPr>
      <w:r>
        <w:t xml:space="preserve">Deputy Head Teacher (2007)</w:t>
      </w:r>
    </w:p>
    <w:p>
      <w:pPr>
        <w:pStyle w:val="Compact"/>
        <w:numPr>
          <w:ilvl w:val="0"/>
          <w:numId w:val="1004"/>
        </w:numPr>
      </w:pPr>
      <w:r>
        <w:t xml:space="preserve">Senior Master I</w:t>
      </w:r>
    </w:p>
    <w:p>
      <w:pPr>
        <w:pStyle w:val="Compact"/>
        <w:numPr>
          <w:ilvl w:val="0"/>
          <w:numId w:val="1004"/>
        </w:numPr>
      </w:pPr>
      <w:r>
        <w:t xml:space="preserve">Teacher mentoring and instructional supervision.</w:t>
      </w:r>
    </w:p>
    <w:p>
      <w:pPr>
        <w:pStyle w:val="Compact"/>
        <w:numPr>
          <w:ilvl w:val="0"/>
          <w:numId w:val="1004"/>
        </w:numPr>
      </w:pPr>
      <w:r>
        <w:t xml:space="preserve">Curriculum implementation support.</w:t>
      </w:r>
    </w:p>
    <w:p>
      <w:pPr>
        <w:pStyle w:val="Compact"/>
        <w:numPr>
          <w:ilvl w:val="0"/>
          <w:numId w:val="1004"/>
        </w:numPr>
      </w:pPr>
      <w:r>
        <w:t xml:space="preserve">Leadership in inclusive education initiatives.</w:t>
      </w:r>
    </w:p>
    <w:p>
      <w:pPr>
        <w:pStyle w:val="Compact"/>
        <w:numPr>
          <w:ilvl w:val="0"/>
          <w:numId w:val="1004"/>
        </w:numPr>
      </w:pPr>
      <w:r>
        <w:t xml:space="preserve">Coordination of school-based professional development.</w:t>
      </w:r>
    </w:p>
    <w:p>
      <w:r>
        <w:pict>
          <v:rect style="width:0;height:1.5pt" o:hralign="center" o:hrstd="t" o:hr="t"/>
        </w:pict>
      </w:r>
    </w:p>
    <w:bookmarkEnd w:id="28"/>
    <w:bookmarkStart w:id="29" w:name="student-support"/>
    <w:p>
      <w:pPr>
        <w:pStyle w:val="Heading1"/>
      </w:pPr>
      <w:r>
        <w:t xml:space="preserve">6. Student Support</w:t>
      </w:r>
    </w:p>
    <w:p>
      <w:pPr>
        <w:pStyle w:val="FirstParagraph"/>
      </w:pPr>
      <w:r>
        <w:t xml:space="preserve">My teaching extends beyond classroom instruction to include academic guidance, social-emotional support, family engagement, and transition planning. I work closely with parents, colleagues, and community partners to promote learner independence, vocational readiness, and successful participation in society.</w:t>
      </w:r>
    </w:p>
    <w:p>
      <w:r>
        <w:pict>
          <v:rect style="width:0;height:1.5pt" o:hralign="center" o:hrstd="t" o:hr="t"/>
        </w:pict>
      </w:r>
    </w:p>
    <w:bookmarkEnd w:id="29"/>
    <w:bookmarkStart w:id="30" w:name="professional-development"/>
    <w:p>
      <w:pPr>
        <w:pStyle w:val="Heading1"/>
      </w:pPr>
      <w:r>
        <w:t xml:space="preserve">7. Professional Development</w:t>
      </w:r>
    </w:p>
    <w:p>
      <w:pPr>
        <w:pStyle w:val="FirstParagraph"/>
      </w:pPr>
      <w:r>
        <w:t xml:space="preserve">Areas of continuing professional learning include:</w:t>
      </w:r>
    </w:p>
    <w:p>
      <w:pPr>
        <w:pStyle w:val="Compact"/>
        <w:numPr>
          <w:ilvl w:val="0"/>
          <w:numId w:val="1005"/>
        </w:numPr>
      </w:pPr>
      <w:r>
        <w:t xml:space="preserve">Artificial Intelligence in Education</w:t>
      </w:r>
    </w:p>
    <w:p>
      <w:pPr>
        <w:pStyle w:val="Compact"/>
        <w:numPr>
          <w:ilvl w:val="0"/>
          <w:numId w:val="1005"/>
        </w:numPr>
      </w:pPr>
      <w:r>
        <w:t xml:space="preserve">Educational Technology</w:t>
      </w:r>
    </w:p>
    <w:p>
      <w:pPr>
        <w:pStyle w:val="Compact"/>
        <w:numPr>
          <w:ilvl w:val="0"/>
          <w:numId w:val="1005"/>
        </w:numPr>
      </w:pPr>
      <w:r>
        <w:t xml:space="preserve">Inclusive Education</w:t>
      </w:r>
    </w:p>
    <w:p>
      <w:pPr>
        <w:pStyle w:val="Compact"/>
        <w:numPr>
          <w:ilvl w:val="0"/>
          <w:numId w:val="1005"/>
        </w:numPr>
      </w:pPr>
      <w:r>
        <w:t xml:space="preserve">Learning Analytics</w:t>
      </w:r>
    </w:p>
    <w:p>
      <w:pPr>
        <w:pStyle w:val="Compact"/>
        <w:numPr>
          <w:ilvl w:val="0"/>
          <w:numId w:val="1005"/>
        </w:numPr>
      </w:pPr>
      <w:r>
        <w:t xml:space="preserve">Universal Design for Learning</w:t>
      </w:r>
    </w:p>
    <w:p>
      <w:pPr>
        <w:pStyle w:val="Compact"/>
        <w:numPr>
          <w:ilvl w:val="0"/>
          <w:numId w:val="1005"/>
        </w:numPr>
      </w:pPr>
      <w:r>
        <w:t xml:space="preserve">Competency-Based Curriculum</w:t>
      </w:r>
    </w:p>
    <w:p>
      <w:pPr>
        <w:pStyle w:val="Compact"/>
        <w:numPr>
          <w:ilvl w:val="0"/>
          <w:numId w:val="1005"/>
        </w:numPr>
      </w:pPr>
      <w:r>
        <w:t xml:space="preserve">Educational Leadership</w:t>
      </w:r>
    </w:p>
    <w:p>
      <w:pPr>
        <w:pStyle w:val="Compact"/>
        <w:numPr>
          <w:ilvl w:val="0"/>
          <w:numId w:val="1005"/>
        </w:numPr>
      </w:pPr>
      <w:r>
        <w:t xml:space="preserve">Research Methods</w:t>
      </w:r>
    </w:p>
    <w:p>
      <w:r>
        <w:pict>
          <v:rect style="width:0;height:1.5pt" o:hralign="center" o:hrstd="t" o:hr="t"/>
        </w:pict>
      </w:r>
    </w:p>
    <w:bookmarkEnd w:id="30"/>
    <w:bookmarkStart w:id="31" w:name="future-teaching-goals"/>
    <w:p>
      <w:pPr>
        <w:pStyle w:val="Heading1"/>
      </w:pPr>
      <w:r>
        <w:t xml:space="preserve">8. Future Teaching Goals</w:t>
      </w:r>
    </w:p>
    <w:p>
      <w:pPr>
        <w:pStyle w:val="Compact"/>
        <w:numPr>
          <w:ilvl w:val="0"/>
          <w:numId w:val="1006"/>
        </w:numPr>
      </w:pPr>
      <w:r>
        <w:t xml:space="preserve">Integrate ethical AI tools into competency-based assessment.</w:t>
      </w:r>
    </w:p>
    <w:p>
      <w:pPr>
        <w:pStyle w:val="Compact"/>
        <w:numPr>
          <w:ilvl w:val="0"/>
          <w:numId w:val="1006"/>
        </w:numPr>
      </w:pPr>
      <w:r>
        <w:t xml:space="preserve">Develop accessible digital learning resources for learners with disabilities.</w:t>
      </w:r>
    </w:p>
    <w:p>
      <w:pPr>
        <w:pStyle w:val="Compact"/>
        <w:numPr>
          <w:ilvl w:val="0"/>
          <w:numId w:val="1006"/>
        </w:numPr>
      </w:pPr>
      <w:r>
        <w:t xml:space="preserve">Strengthen teacher capacity in technology-enhanced inclusive education.</w:t>
      </w:r>
    </w:p>
    <w:p>
      <w:pPr>
        <w:pStyle w:val="Compact"/>
        <w:numPr>
          <w:ilvl w:val="0"/>
          <w:numId w:val="1006"/>
        </w:numPr>
      </w:pPr>
      <w:r>
        <w:t xml:space="preserve">Conduct research-informed professional development workshops.</w:t>
      </w:r>
    </w:p>
    <w:p>
      <w:pPr>
        <w:pStyle w:val="Compact"/>
        <w:numPr>
          <w:ilvl w:val="0"/>
          <w:numId w:val="1006"/>
        </w:numPr>
      </w:pPr>
      <w:r>
        <w:t xml:space="preserve">Contribute to international collaborations in AI-supported inclusive education.</w:t>
      </w:r>
    </w:p>
    <w:p>
      <w:r>
        <w:pict>
          <v:rect style="width:0;height:1.5pt" o:hralign="center" o:hrstd="t" o:hr="t"/>
        </w:pict>
      </w:r>
    </w:p>
    <w:bookmarkEnd w:id="31"/>
    <w:bookmarkStart w:id="32" w:name="evidence-of-teaching-effectiveness"/>
    <w:p>
      <w:pPr>
        <w:pStyle w:val="Heading1"/>
      </w:pPr>
      <w:r>
        <w:t xml:space="preserve">9. Evidence of Teaching Effectiveness</w:t>
      </w:r>
    </w:p>
    <w:p>
      <w:pPr>
        <w:pStyle w:val="FirstParagraph"/>
      </w:pPr>
      <w:r>
        <w:t xml:space="preserve">This section can be expanded over time with:</w:t>
      </w:r>
    </w:p>
    <w:p>
      <w:pPr>
        <w:pStyle w:val="Compact"/>
        <w:numPr>
          <w:ilvl w:val="0"/>
          <w:numId w:val="1007"/>
        </w:numPr>
      </w:pPr>
      <w:r>
        <w:t xml:space="preserve">Teaching evaluations.</w:t>
      </w:r>
    </w:p>
    <w:p>
      <w:pPr>
        <w:pStyle w:val="Compact"/>
        <w:numPr>
          <w:ilvl w:val="0"/>
          <w:numId w:val="1007"/>
        </w:numPr>
      </w:pPr>
      <w:r>
        <w:t xml:space="preserve">Peer observation reports.</w:t>
      </w:r>
    </w:p>
    <w:p>
      <w:pPr>
        <w:pStyle w:val="Compact"/>
        <w:numPr>
          <w:ilvl w:val="0"/>
          <w:numId w:val="1007"/>
        </w:numPr>
      </w:pPr>
      <w:r>
        <w:t xml:space="preserve">Professional development certificates.</w:t>
      </w:r>
    </w:p>
    <w:p>
      <w:pPr>
        <w:pStyle w:val="Compact"/>
        <w:numPr>
          <w:ilvl w:val="0"/>
          <w:numId w:val="1007"/>
        </w:numPr>
      </w:pPr>
      <w:r>
        <w:t xml:space="preserve">Lesson plans.</w:t>
      </w:r>
    </w:p>
    <w:p>
      <w:pPr>
        <w:pStyle w:val="Compact"/>
        <w:numPr>
          <w:ilvl w:val="0"/>
          <w:numId w:val="1007"/>
        </w:numPr>
      </w:pPr>
      <w:r>
        <w:t xml:space="preserve">Curriculum materials.</w:t>
      </w:r>
    </w:p>
    <w:p>
      <w:pPr>
        <w:pStyle w:val="Compact"/>
        <w:numPr>
          <w:ilvl w:val="0"/>
          <w:numId w:val="1007"/>
        </w:numPr>
      </w:pPr>
      <w:r>
        <w:t xml:space="preserve">Student learning resources.</w:t>
      </w:r>
    </w:p>
    <w:p>
      <w:pPr>
        <w:pStyle w:val="Compact"/>
        <w:numPr>
          <w:ilvl w:val="0"/>
          <w:numId w:val="1007"/>
        </w:numPr>
      </w:pPr>
      <w:r>
        <w:t xml:space="preserve">Conference presentations.</w:t>
      </w:r>
    </w:p>
    <w:p>
      <w:pPr>
        <w:pStyle w:val="Compact"/>
        <w:numPr>
          <w:ilvl w:val="0"/>
          <w:numId w:val="1007"/>
        </w:numPr>
      </w:pPr>
      <w:r>
        <w:t xml:space="preserve">Publications on teaching practice.</w:t>
      </w:r>
    </w:p>
    <w:p>
      <w:r>
        <w:pict>
          <v:rect style="width:0;height:1.5pt" o:hralign="center" o:hrstd="t" o:hr="t"/>
        </w:pict>
      </w:r>
    </w:p>
    <w:bookmarkEnd w:id="32"/>
    <w:bookmarkStart w:id="33" w:name="professional-vision"/>
    <w:p>
      <w:pPr>
        <w:pStyle w:val="Heading1"/>
      </w:pPr>
      <w:r>
        <w:t xml:space="preserve">10. Professional Vision</w:t>
      </w:r>
    </w:p>
    <w:p>
      <w:pPr>
        <w:pStyle w:val="FirstParagraph"/>
      </w:pPr>
      <w:r>
        <w:t xml:space="preserve">My long-term vision is to contribute to the global advancement of inclusive education through research, teaching, and international collaboration. By combining decades of classroom experience with research in Artificial Intelligence in Education, I aim to support the development of equitable, evidence-based educational systems that empower learners with intellectual and developmental disabilities to achieve meaningful educational and employment outcomes.</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