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cvyicnh7l1" w:id="0"/>
      <w:bookmarkEnd w:id="0"/>
      <w:r w:rsidDel="00000000" w:rsidR="00000000" w:rsidRPr="00000000">
        <w:rPr>
          <w:rtl w:val="0"/>
        </w:rPr>
        <w:t xml:space="preserve">Base para elaboração do estudo sobre a  identidade visual do BINGO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czecgvfphi1o" w:id="1"/>
      <w:bookmarkEnd w:id="1"/>
      <w:r w:rsidDel="00000000" w:rsidR="00000000" w:rsidRPr="00000000">
        <w:rPr>
          <w:rtl w:val="0"/>
        </w:rPr>
        <w:t xml:space="preserve">Finalidade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Estabelecer princípios, regras e aplicações para o uso coerente da identidade do BINGO e de iniciativas associadas.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Organizar as decisões necessárias para transformar o patrimônio visual já existente do BINGO em um sistema institucional coerente, multicanal e reutilizável.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Distinguir definições institucionais, regras visuais, orientações editoriais, exigências técnicas, conhecimento científico e informações operacionais.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manual final deve orientar portal, documentos, apresentações, redes sociais, materiais educacionais, audiovisual, interfaces web, eventos e impressos sem exigir nova decisão estética a cada peça.</w:t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3rx3ir4xaj1o" w:id="2"/>
      <w:bookmarkEnd w:id="2"/>
      <w:r w:rsidDel="00000000" w:rsidR="00000000" w:rsidRPr="00000000">
        <w:rPr>
          <w:rtl w:val="0"/>
        </w:rPr>
        <w:t xml:space="preserve">Nomes do BINGO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BINGO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Baryon Acoustic Oscillations from Integrated Neutral Gas Observations (expansão da sigla)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Radiotelescópio BINGO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Telescópio BINGO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BINGO Telescope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ABDALLA, E. et al. (2022). The BINGO project - I. Baryon acoustic oscillations from integrated neutral gas observations. Astronomy &amp; Astrophysics, 664, A14.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DOI 10.1051/0004-6361/202140883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BINGO-ABDUS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ABDUS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Advanced BINGO Dark Universe Studies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Radiotelescópio BINGO-ABDUS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Colaboração BINGO-ABDUS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BINGO-ABDUS Radio Telescope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BINGO-ABDUS Collaboration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documentação científica o trata como extensão do BINGO, com phased arrays/outliers e ampliação de capacidades científicas, inclusive relacionadas a FRBs.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ABDALLA, E. et al. (2023). BINGO-ABDUS: a radiotelescope to unveil the dark sector of the Universe. arXiv:2309.05099 [astro-ph.CO], submetido em 10 set. 2023.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arXiv:2309.05099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BINGO-Uirapuru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 fonte científica o descreve como um additional feed horn localizado no campus da UFCG, usado como testbed de receptores, backend, software, calibração e RFI.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Hermathena</w:t>
      </w:r>
      <w:r w:rsidDel="00000000" w:rsidR="00000000" w:rsidRPr="00000000">
        <w:rPr>
          <w:rtl w:val="0"/>
        </w:rPr>
        <w:t xml:space="preserve"> — programa/ecossistema de comunicação, educação e extensão associado ao BINGO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Núcleos do Programa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Magellan</w:t>
      </w:r>
      <w:r w:rsidDel="00000000" w:rsidR="00000000" w:rsidRPr="00000000">
        <w:rPr>
          <w:rtl w:val="0"/>
        </w:rPr>
        <w:t xml:space="preserve"> — tecnologia da informação, infraestrutura digital e automação.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Via Láctea</w:t>
      </w:r>
      <w:r w:rsidDel="00000000" w:rsidR="00000000" w:rsidRPr="00000000">
        <w:rPr>
          <w:rtl w:val="0"/>
        </w:rPr>
        <w:t xml:space="preserve"> — comunicação institucional e educacional.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Andromeda</w:t>
      </w:r>
      <w:r w:rsidDel="00000000" w:rsidR="00000000" w:rsidRPr="00000000">
        <w:rPr>
          <w:rtl w:val="0"/>
        </w:rPr>
        <w:t xml:space="preserve"> — comunicação de engajamento e redes sociais.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Triangulum</w:t>
      </w:r>
      <w:r w:rsidDel="00000000" w:rsidR="00000000" w:rsidRPr="00000000">
        <w:rPr>
          <w:rtl w:val="0"/>
        </w:rPr>
        <w:t xml:space="preserve"> — comunicação de profundidade, audiovisual, podcasts e conteúdos longos.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Virgo</w:t>
      </w:r>
      <w:r w:rsidDel="00000000" w:rsidR="00000000" w:rsidRPr="00000000">
        <w:rPr>
          <w:rtl w:val="0"/>
        </w:rPr>
        <w:t xml:space="preserve"> — Steering Committee / coordenação e governança; na formalização FLUEX assume a coordenação do programa.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Laniakea</w:t>
      </w:r>
      <w:r w:rsidDel="00000000" w:rsidR="00000000" w:rsidRPr="00000000">
        <w:rPr>
          <w:rtl w:val="0"/>
        </w:rPr>
        <w:t xml:space="preserve"> — camada de stakeholders, coordenação BINGO e especialistas.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Nomes dos eixos temáticos do Hermathena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Tengre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Shiva Nataraja</w:t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Sun Wukong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Tekoha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Urania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Guaraci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Ações/projetos associados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Esperança no Espaço</w:t>
      </w:r>
      <w:r w:rsidDel="00000000" w:rsidR="00000000" w:rsidRPr="00000000">
        <w:rPr>
          <w:rtl w:val="0"/>
        </w:rPr>
        <w:t xml:space="preserve"> — aparece como iniciativa financiada e nos materiais de divulgação. O repositório registra SECTIES FAPESQ Nº 0001/2023 — ESPERANÇA NO ESPAÇO.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Lutando pela ciência no Sertão paraibano</w:t>
      </w:r>
      <w:r w:rsidDel="00000000" w:rsidR="00000000" w:rsidRPr="00000000">
        <w:rPr>
          <w:rtl w:val="0"/>
        </w:rPr>
        <w:t xml:space="preserve"> — aparece na organização institucional/Stage V e na relação com o programa de extensão.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fpl4arcs8hgg" w:id="3"/>
      <w:bookmarkEnd w:id="3"/>
      <w:r w:rsidDel="00000000" w:rsidR="00000000" w:rsidRPr="00000000">
        <w:rPr>
          <w:rtl w:val="0"/>
        </w:rPr>
        <w:t xml:space="preserve">Termos/trechos-chave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BINGO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Acrônimo de Baryon Acoustic Oscillations from Integrated Neutral Gas Observations; busca mapear a intensidade integrada de 21 cm e detectar BAO em radiofrequência para restringir modelos do setor escuro.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Configuração 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Radiotelescópio de trânsito fixo, em drift scan; cobertura de ~5000 deg2, declinação aproximada de -25° a -10°, resolução média de 40 arcmin e faixa de 980-1260 MHz.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Instrumentação 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Projeto óptico off-axis crossed-Dragone, com refletor primário parabólico e secundário hiperbólico de ~40 m e arranjo de 28 feed horns móveis no plano focal.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Local do projeto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Aguiar, interior da Paraíba; o artigo BINGO-ABDUS identifica o sítio Serra do Urubu.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4ujhaoy8xjp0" w:id="4"/>
      <w:bookmarkEnd w:id="4"/>
      <w:r w:rsidDel="00000000" w:rsidR="00000000" w:rsidRPr="00000000">
        <w:rPr>
          <w:rtl w:val="0"/>
        </w:rPr>
        <w:t xml:space="preserve">Fontes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Outfit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títulos </w:t>
      </w:r>
      <w:r w:rsidDel="00000000" w:rsidR="00000000" w:rsidRPr="00000000">
        <w:rPr>
          <w:color w:val="ff0000"/>
          <w:rtl w:val="0"/>
        </w:rPr>
        <w:t xml:space="preserve">(está com problemas nas letras com acento e ç em bold)</w:t>
      </w:r>
      <w:r w:rsidDel="00000000" w:rsidR="00000000" w:rsidRPr="00000000">
        <w:rPr>
          <w:rtl w:val="0"/>
        </w:rPr>
        <w:t xml:space="preserve">, chamadas, métricas e números de destaque.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corpo, tabelas, legendas, notas e metadados.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b w:val="1"/>
          <w:bCs w:val="1"/>
        </w:rPr>
      </w:pPr>
      <w:commentRangeStart w:id="1"/>
      <w:commentRangeStart w:id="2"/>
      <w:r w:rsidDel="00000000" w:rsidR="00000000" w:rsidRPr="00000000">
        <w:rPr>
          <w:b w:val="1"/>
          <w:bCs w:val="1"/>
          <w:rtl w:val="0"/>
        </w:rPr>
        <w:t xml:space="preserve">Nasalization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associada à marca, à logomarca e às siglas associadas ao BINGO.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VERIFICAR REGRAS DE USO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40"/>
          <w:szCs w:val="40"/>
        </w:rPr>
      </w:pPr>
      <w:bookmarkStart w:colFirst="0" w:colLast="0" w:name="_xvb3arlk9gl1" w:id="5"/>
      <w:bookmarkEnd w:id="5"/>
      <w:r w:rsidDel="00000000" w:rsidR="00000000" w:rsidRPr="00000000">
        <w:rPr>
          <w:rtl w:val="0"/>
        </w:rPr>
        <w:t xml:space="preserve">Cores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Cenário A — </w:t>
      </w:r>
      <w:r w:rsidDel="00000000" w:rsidR="00000000" w:rsidRPr="00000000">
        <w:rPr>
          <w:b w:val="1"/>
          <w:bCs w:val="1"/>
          <w:color w:val="cccccc"/>
          <w:rtl w:val="0"/>
        </w:rPr>
        <w:t xml:space="preserve">SITE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Electric Cyan #22D3EE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Cosmic Blue #3B82F6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Cosmic Void #050A18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Slate Glow #0F172A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Starlight #FFFFFF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Cosmic Dust #94A3B8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Tokens auxiliares implementados: 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#6366F1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#F59E0B 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#FBBF24</w:t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ind w:left="288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#0A1628 </w:t>
      </w:r>
    </w:p>
    <w:p w:rsidR="00000000" w:rsidDel="00000000" w:rsidP="00000000" w:rsidRDefault="00000000" w:rsidRPr="00000000" w14:paraId="0000004A">
      <w:pPr>
        <w:numPr>
          <w:ilvl w:val="3"/>
          <w:numId w:val="1"/>
        </w:numPr>
        <w:ind w:left="288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#070D1F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#E2E8F0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Cenário B — </w:t>
      </w:r>
      <w:r w:rsidDel="00000000" w:rsidR="00000000" w:rsidRPr="00000000">
        <w:rPr>
          <w:b w:val="1"/>
          <w:bCs w:val="1"/>
          <w:color w:val="cccccc"/>
          <w:rtl w:val="0"/>
        </w:rPr>
        <w:t xml:space="preserve">base Azul e laranja Uirapuru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Azul BINGO #3E73D8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Azul profundo #111A3A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Azul claro #7FA8F2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Laranja Uirapuru #F28A34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Laranja sombra #B85A24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Branco quente #F7F1E8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Cinza grafite #2B3147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TESTE </w:t>
      </w:r>
      <w:r w:rsidDel="00000000" w:rsidR="00000000" w:rsidRPr="00000000">
        <w:rPr>
          <w:rtl w:val="0"/>
        </w:rPr>
        <w:t xml:space="preserve">(umas 6 cores principais + cores para destaques/extensões se necessário)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Paleta Híbrida 1</w:t>
      </w:r>
    </w:p>
    <w:p w:rsidR="00000000" w:rsidDel="00000000" w:rsidP="00000000" w:rsidRDefault="00000000" w:rsidRPr="00000000" w14:paraId="00000056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Grafite energia escura— #2b3147</w:t>
      </w:r>
    </w:p>
    <w:p w:rsidR="00000000" w:rsidDel="00000000" w:rsidP="00000000" w:rsidRDefault="00000000" w:rsidRPr="00000000" w14:paraId="00000057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Azul céu profundo — #08268f</w:t>
      </w:r>
    </w:p>
    <w:p w:rsidR="00000000" w:rsidDel="00000000" w:rsidP="00000000" w:rsidRDefault="00000000" w:rsidRPr="00000000" w14:paraId="00000058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Azul BINGO — #3E73D8</w:t>
      </w:r>
    </w:p>
    <w:p w:rsidR="00000000" w:rsidDel="00000000" w:rsidP="00000000" w:rsidRDefault="00000000" w:rsidRPr="00000000" w14:paraId="00000059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Azul claro — #7FA8F2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Electric cyan — #22D3EE</w:t>
      </w:r>
    </w:p>
    <w:p w:rsidR="00000000" w:rsidDel="00000000" w:rsidP="00000000" w:rsidRDefault="00000000" w:rsidRPr="00000000" w14:paraId="0000005B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Roxo crepúsculo — #5A3FB2</w:t>
      </w:r>
    </w:p>
    <w:p w:rsidR="00000000" w:rsidDel="00000000" w:rsidP="00000000" w:rsidRDefault="00000000" w:rsidRPr="00000000" w14:paraId="0000005C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Laranja sombra — #B85A24</w:t>
      </w:r>
    </w:p>
    <w:p w:rsidR="00000000" w:rsidDel="00000000" w:rsidP="00000000" w:rsidRDefault="00000000" w:rsidRPr="00000000" w14:paraId="0000005D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Laranja Uirapuru — #F28A34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Branco quente — #F7F1E8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Paleta Teste maior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BINGO ouro #C9A34A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Laranja terracota #C75A2E</w:t>
      </w:r>
    </w:p>
    <w:p w:rsidR="00000000" w:rsidDel="00000000" w:rsidP="00000000" w:rsidRDefault="00000000" w:rsidRPr="00000000" w14:paraId="00000062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Vermelho sertão #A63B32</w:t>
      </w:r>
    </w:p>
    <w:p w:rsidR="00000000" w:rsidDel="00000000" w:rsidP="00000000" w:rsidRDefault="00000000" w:rsidRPr="00000000" w14:paraId="00000063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Roxo crepúsculo #5A3FB2</w:t>
      </w:r>
    </w:p>
    <w:p w:rsidR="00000000" w:rsidDel="00000000" w:rsidP="00000000" w:rsidRDefault="00000000" w:rsidRPr="00000000" w14:paraId="00000064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Azul médio #3F6CCF</w:t>
      </w:r>
    </w:p>
    <w:p w:rsidR="00000000" w:rsidDel="00000000" w:rsidP="00000000" w:rsidRDefault="00000000" w:rsidRPr="00000000" w14:paraId="00000065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Azul céu profundo #08268f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Grafite energia escura #2B3147</w:t>
      </w:r>
    </w:p>
    <w:p w:rsidR="00000000" w:rsidDel="00000000" w:rsidP="00000000" w:rsidRDefault="00000000" w:rsidRPr="00000000" w14:paraId="00000067">
      <w:pPr>
        <w:numPr>
          <w:ilvl w:val="3"/>
          <w:numId w:val="1"/>
        </w:numPr>
        <w:spacing w:after="0" w:afterAutospacing="0"/>
        <w:ind w:left="288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Off-white #F7F5EE</w:t>
      </w:r>
    </w:p>
    <w:p w:rsidR="00000000" w:rsidDel="00000000" w:rsidP="00000000" w:rsidRDefault="00000000" w:rsidRPr="00000000" w14:paraId="00000068">
      <w:pPr>
        <w:pStyle w:val="Heading2"/>
        <w:numPr>
          <w:ilvl w:val="2"/>
          <w:numId w:val="1"/>
        </w:numPr>
        <w:spacing w:after="0" w:afterAutospacing="0" w:before="0" w:beforeAutospacing="0"/>
        <w:ind w:left="2160" w:hanging="360"/>
        <w:rPr/>
      </w:pPr>
      <w:bookmarkStart w:colFirst="0" w:colLast="0" w:name="_p2y86xjfad1s" w:id="6"/>
      <w:bookmarkEnd w:id="6"/>
      <w:r w:rsidDel="00000000" w:rsidR="00000000" w:rsidRPr="00000000">
        <w:rPr>
          <w:rtl w:val="0"/>
        </w:rPr>
        <w:t xml:space="preserve">Paleta UIRAPURU HÍBRIDA 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Paleta Uirapuru Híbrida foi construída como uma hipótese de continuidade e expansão da identidade visual do BINGO. Os estudos anteriores trabalharam com duas necessidades complementares. O Cenário A enfatizava a continuidade científico-digital do BINGO, apoiada na linguagem visual do portal, em fundos profundos, azuis, ciano, dados, sinal e instrumentação. O Cenário B buscava ampliar essa identidade para usos editoriais, educacionais, territoriais, institucionais e impressos, incorporando fundos claros, azuis, laranjas e tons mais adequados à comunicação com diferentes públicos. A paleta atual procura reduzir a ruptura entre essas duas direções. Em vez de substituir de forma brusca a identidade que se desenvolveu historicamente, preserva referências reconhecíveis do universo visual do BINGO e amplia o repertório necessário para uma comunicação mais consistente, profissional, multicanal e escalável. Ela deve ser entendida como paleta de teste, não como paleta institucional aprovada. As combinações, predominâncias e funções das cores serão avaliadas em aplicações reais antes de sua consolidação no Brand Kit e no Manual de Identidade Visual.</w:t>
      </w:r>
    </w:p>
    <w:p w:rsidR="00000000" w:rsidDel="00000000" w:rsidP="00000000" w:rsidRDefault="00000000" w:rsidRPr="00000000" w14:paraId="0000006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Grafite energia escura— #2b3147</w:t>
      </w:r>
    </w:p>
    <w:p w:rsidR="00000000" w:rsidDel="00000000" w:rsidP="00000000" w:rsidRDefault="00000000" w:rsidRPr="00000000" w14:paraId="0000006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Azul céu profundo — #08268f</w:t>
      </w:r>
    </w:p>
    <w:p w:rsidR="00000000" w:rsidDel="00000000" w:rsidP="00000000" w:rsidRDefault="00000000" w:rsidRPr="00000000" w14:paraId="0000006C">
      <w:pPr>
        <w:numPr>
          <w:ilvl w:val="4"/>
          <w:numId w:val="1"/>
        </w:numPr>
        <w:ind w:left="3600" w:hanging="360"/>
        <w:rPr/>
      </w:pPr>
      <w:r w:rsidDel="00000000" w:rsidR="00000000" w:rsidRPr="00000000">
        <w:rPr>
          <w:rtl w:val="0"/>
        </w:rPr>
        <w:t xml:space="preserve">Azul BINGO — Azul médio #3F6CCF</w:t>
      </w:r>
    </w:p>
    <w:p w:rsidR="00000000" w:rsidDel="00000000" w:rsidP="00000000" w:rsidRDefault="00000000" w:rsidRPr="00000000" w14:paraId="0000006D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Electric cyan — #22D3EE</w:t>
      </w:r>
    </w:p>
    <w:p w:rsidR="00000000" w:rsidDel="00000000" w:rsidP="00000000" w:rsidRDefault="00000000" w:rsidRPr="00000000" w14:paraId="0000006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Roxo crepúsculo — #5A3FB2</w:t>
      </w:r>
    </w:p>
    <w:p w:rsidR="00000000" w:rsidDel="00000000" w:rsidP="00000000" w:rsidRDefault="00000000" w:rsidRPr="00000000" w14:paraId="0000006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Laranja sertão /terracota —  #C75A2E</w:t>
      </w:r>
    </w:p>
    <w:p w:rsidR="00000000" w:rsidDel="00000000" w:rsidP="00000000" w:rsidRDefault="00000000" w:rsidRPr="00000000" w14:paraId="00000070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Laranja Uirapuru — #F28A34</w:t>
      </w:r>
    </w:p>
    <w:p w:rsidR="00000000" w:rsidDel="00000000" w:rsidP="00000000" w:rsidRDefault="00000000" w:rsidRPr="00000000" w14:paraId="00000071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Branco quente — #F7F1E8</w:t>
      </w:r>
    </w:p>
    <w:p w:rsidR="00000000" w:rsidDel="00000000" w:rsidP="00000000" w:rsidRDefault="00000000" w:rsidRPr="00000000" w14:paraId="0000007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BINGO ouro #C9A34A</w:t>
      </w:r>
    </w:p>
    <w:p w:rsidR="00000000" w:rsidDel="00000000" w:rsidP="00000000" w:rsidRDefault="00000000" w:rsidRPr="00000000" w14:paraId="00000073">
      <w:pPr>
        <w:numPr>
          <w:ilvl w:val="3"/>
          <w:numId w:val="1"/>
        </w:numPr>
        <w:spacing w:after="0" w:after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</w:pPr>
      <w:bookmarkStart w:colFirst="0" w:colLast="0" w:name="_2kbp1tscn8x9" w:id="7"/>
      <w:bookmarkEnd w:id="7"/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Decidir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Redesenho técnico conservador</w:t>
      </w:r>
      <w:r w:rsidDel="00000000" w:rsidR="00000000" w:rsidRPr="00000000">
        <w:rPr>
          <w:rtl w:val="0"/>
        </w:rPr>
        <w:t xml:space="preserve"> - corrigir curvas, espaçamentos, alinhamentos e proporções sem mudar a identidade percebida; ou</w:t>
      </w:r>
    </w:p>
    <w:p w:rsidR="00000000" w:rsidDel="00000000" w:rsidP="00000000" w:rsidRDefault="00000000" w:rsidRPr="00000000" w14:paraId="0000007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criei uma vetorização dos elementos gráficos e letras (Versão atual vetorizada)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Evolução controlada</w:t>
      </w:r>
      <w:r w:rsidDel="00000000" w:rsidR="00000000" w:rsidRPr="00000000">
        <w:rPr>
          <w:rtl w:val="0"/>
        </w:rPr>
        <w:t xml:space="preserve"> - admitir ajustes formais mais perceptíveis, condicionados a comparação e aprovação institucional. 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Versões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ind w:left="216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Originais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ind w:left="216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Versão atual vetorizada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para fundo claro</w:t>
      </w:r>
    </w:p>
    <w:p w:rsidR="00000000" w:rsidDel="00000000" w:rsidP="00000000" w:rsidRDefault="00000000" w:rsidRPr="00000000" w14:paraId="0000007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negativa para fundo escuro</w:t>
      </w:r>
    </w:p>
    <w:p w:rsidR="00000000" w:rsidDel="00000000" w:rsidP="00000000" w:rsidRDefault="00000000" w:rsidRPr="00000000" w14:paraId="0000007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monocromática escura</w:t>
      </w:r>
    </w:p>
    <w:p w:rsidR="00000000" w:rsidDel="00000000" w:rsidP="00000000" w:rsidRDefault="00000000" w:rsidRPr="00000000" w14:paraId="0000007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monocromática clara</w:t>
      </w:r>
    </w:p>
    <w:p w:rsidR="00000000" w:rsidDel="00000000" w:rsidP="00000000" w:rsidRDefault="00000000" w:rsidRPr="00000000" w14:paraId="0000008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horizontal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vertical</w:t>
      </w:r>
    </w:p>
    <w:p w:rsidR="00000000" w:rsidDel="00000000" w:rsidP="00000000" w:rsidRDefault="00000000" w:rsidRPr="00000000" w14:paraId="0000008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reduzida para avatar ou ícone</w:t>
      </w:r>
    </w:p>
    <w:p w:rsidR="00000000" w:rsidDel="00000000" w:rsidP="00000000" w:rsidRDefault="00000000" w:rsidRPr="00000000" w14:paraId="0000008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8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Versão para impressão simples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mesmo para as logos ABDUS e Uirapuru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Coassinaturas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Organizar pacote de logos dos parceiros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 proporção relativa entre marcas.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 alinhamento e espaçamento.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 quando BINGO aparece sozinho e quando aparece acompanhado.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 tratamento de UFCG, demais universidades, parceiros e financiadores.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Definir ordem de apresentação das instituições parceiras.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Colaboração internacional liderada por Brasil e China. Incluindo: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Universidade de São Paulo (USP)</w:t>
      </w:r>
    </w:p>
    <w:p w:rsidR="00000000" w:rsidDel="00000000" w:rsidP="00000000" w:rsidRDefault="00000000" w:rsidRPr="00000000" w14:paraId="0000008F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Universidade Federal de Campina Grande (UFCG)</w:t>
      </w:r>
    </w:p>
    <w:p w:rsidR="00000000" w:rsidDel="00000000" w:rsidP="00000000" w:rsidRDefault="00000000" w:rsidRPr="00000000" w14:paraId="00000090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Universidade Federal da Paraíba (UFPB)</w:t>
      </w:r>
    </w:p>
    <w:p w:rsidR="00000000" w:rsidDel="00000000" w:rsidP="00000000" w:rsidRDefault="00000000" w:rsidRPr="00000000" w14:paraId="00000091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Universidade Federal de Juiz de Fora (UFJF)</w:t>
      </w:r>
    </w:p>
    <w:p w:rsidR="00000000" w:rsidDel="00000000" w:rsidP="00000000" w:rsidRDefault="00000000" w:rsidRPr="00000000" w14:paraId="00000092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Universidade Federal de Itajubá (UNIFEI)</w:t>
      </w:r>
    </w:p>
    <w:p w:rsidR="00000000" w:rsidDel="00000000" w:rsidP="00000000" w:rsidRDefault="00000000" w:rsidRPr="00000000" w14:paraId="00000093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Universidade Federal do Cariri (UFCA)</w:t>
      </w:r>
    </w:p>
    <w:p w:rsidR="00000000" w:rsidDel="00000000" w:rsidP="00000000" w:rsidRDefault="00000000" w:rsidRPr="00000000" w14:paraId="00000094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University College London (UCL)</w:t>
      </w:r>
    </w:p>
    <w:p w:rsidR="00000000" w:rsidDel="00000000" w:rsidP="00000000" w:rsidRDefault="00000000" w:rsidRPr="00000000" w14:paraId="00000095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University of Science and Technology of China (USTC)</w:t>
      </w:r>
    </w:p>
    <w:p w:rsidR="00000000" w:rsidDel="00000000" w:rsidP="00000000" w:rsidRDefault="00000000" w:rsidRPr="00000000" w14:paraId="00000096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Shanghai Jiao Tong University</w:t>
      </w:r>
    </w:p>
    <w:p w:rsidR="00000000" w:rsidDel="00000000" w:rsidP="00000000" w:rsidRDefault="00000000" w:rsidRPr="00000000" w14:paraId="00000097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Yangzhou University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Instituto Nacional de Pesquisas Espaciais (INPE)</w:t>
      </w:r>
    </w:p>
    <w:p w:rsidR="00000000" w:rsidDel="00000000" w:rsidP="00000000" w:rsidRDefault="00000000" w:rsidRPr="00000000" w14:paraId="00000099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Technische Universität München (TUM)</w:t>
      </w:r>
    </w:p>
    <w:p w:rsidR="00000000" w:rsidDel="00000000" w:rsidP="00000000" w:rsidRDefault="00000000" w:rsidRPr="00000000" w14:paraId="0000009A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Shanghai Astronomical Observatory / Chinese Academy of Sciences</w:t>
      </w:r>
    </w:p>
    <w:p w:rsidR="00000000" w:rsidDel="00000000" w:rsidP="00000000" w:rsidRDefault="00000000" w:rsidRPr="00000000" w14:paraId="0000009B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ASTRON - Netherlands Institute for Radio Astronomy (no contexto ABDUS)</w:t>
      </w:r>
    </w:p>
    <w:p w:rsidR="00000000" w:rsidDel="00000000" w:rsidP="00000000" w:rsidRDefault="00000000" w:rsidRPr="00000000" w14:paraId="0000009C">
      <w:pPr>
        <w:numPr>
          <w:ilvl w:val="4"/>
          <w:numId w:val="1"/>
        </w:numPr>
        <w:ind w:left="3600" w:hanging="360"/>
      </w:pPr>
      <w:r w:rsidDel="00000000" w:rsidR="00000000" w:rsidRPr="00000000">
        <w:rPr>
          <w:rtl w:val="0"/>
        </w:rPr>
        <w:t xml:space="preserve">Nancy Observatory (no contexto ABDUS)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Testes de validação</w:t>
      </w:r>
    </w:p>
    <w:p w:rsidR="00000000" w:rsidDel="00000000" w:rsidP="00000000" w:rsidRDefault="00000000" w:rsidRPr="00000000" w14:paraId="0000009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Fundo claro</w:t>
      </w:r>
    </w:p>
    <w:p w:rsidR="00000000" w:rsidDel="00000000" w:rsidP="00000000" w:rsidRDefault="00000000" w:rsidRPr="00000000" w14:paraId="0000009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Fundo escuro</w:t>
      </w:r>
    </w:p>
    <w:p w:rsidR="00000000" w:rsidDel="00000000" w:rsidP="00000000" w:rsidRDefault="00000000" w:rsidRPr="00000000" w14:paraId="000000A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Monocromia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Favicon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Apresentação 16:9</w:t>
      </w:r>
    </w:p>
    <w:p w:rsidR="00000000" w:rsidDel="00000000" w:rsidP="00000000" w:rsidRDefault="00000000" w:rsidRPr="00000000" w14:paraId="000000A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Documento A4</w:t>
      </w:r>
    </w:p>
    <w:p w:rsidR="00000000" w:rsidDel="00000000" w:rsidP="00000000" w:rsidRDefault="00000000" w:rsidRPr="00000000" w14:paraId="000000A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Post de rede social</w:t>
      </w:r>
    </w:p>
    <w:p w:rsidR="00000000" w:rsidDel="00000000" w:rsidP="00000000" w:rsidRDefault="00000000" w:rsidRPr="00000000" w14:paraId="000000A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Material educacional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Coassinatura institucional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Laboratório de marca no Canva e Arquivos-mestres e pacote de distribuição. Manter um design específico para comparação das alternativas de marca.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Arquivo vetorial principal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PDF vetorial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PNG transparente em alta resolução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PNG reduzido para usos digitais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Versões monocromáticas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Avatar e favicon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Arquivo ou registro de licença das fontes pertinentes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Prancha de usos corretos e incorretos</w:t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6l9vvlqtslvj" w:id="8"/>
      <w:bookmarkEnd w:id="8"/>
      <w:r w:rsidDel="00000000" w:rsidR="00000000" w:rsidRPr="00000000">
        <w:rPr>
          <w:rtl w:val="0"/>
        </w:rPr>
        <w:t xml:space="preserve">Brand kit teste Canva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B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Estas diretrizes organizam a comunicação visual e editorial associada ao Radiotelescópio BINGO e ao Programa Hermathena. O objetivo é apoiar uma comunicação consistente, cientificamente precisa e acessível nos diferentes canais e materiais do projeto, preservando a relação entre pesquisa científica, educação, extensão, inovação e comunicação com a sociedade.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BINGO é um radiotelescópio instalado na Paraíba, concebido para investigar a estrutura e a expansão do Universo por meio do mapeamento da linha de 21 cm do hidrogênio neutro e da detecção de Oscilações Acústicas de Bárions. O Hermathena atua na construção de pontes entre essa pesquisa científica e a sociedade, com atenção especial às comunidades paraibanas e do sertão.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Sobre o BINGO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BINGO é a sigla de </w:t>
      </w:r>
      <w:r w:rsidDel="00000000" w:rsidR="00000000" w:rsidRPr="00000000">
        <w:rPr>
          <w:i w:val="1"/>
          <w:iCs w:val="1"/>
          <w:rtl w:val="0"/>
        </w:rPr>
        <w:t xml:space="preserve">Baryon Acoustic Oscillations from Integrated Neutral Gas Observations</w:t>
      </w:r>
      <w:r w:rsidDel="00000000" w:rsidR="00000000" w:rsidRPr="00000000">
        <w:rPr>
          <w:rtl w:val="0"/>
        </w:rPr>
        <w:t xml:space="preserve">. O projeto utiliza a técnica de </w:t>
      </w:r>
      <w:r w:rsidDel="00000000" w:rsidR="00000000" w:rsidRPr="00000000">
        <w:rPr>
          <w:i w:val="1"/>
          <w:iCs w:val="1"/>
          <w:rtl w:val="0"/>
        </w:rPr>
        <w:t xml:space="preserve">Intensity Mapping</w:t>
      </w:r>
      <w:r w:rsidDel="00000000" w:rsidR="00000000" w:rsidRPr="00000000">
        <w:rPr>
          <w:rtl w:val="0"/>
        </w:rPr>
        <w:t xml:space="preserve"> da emissão de 21 cm do hidrogênio neutro para estudar Oscilações Acústicas de Bárions e contribuir para a investigação da expansão do Universo e da natureza da Energia Escura. O radiotelescópio está localizado na Serra do Urubu, em Aguiar, Paraíba, e integra uma colaboração científica internacional liderada pelo Brasil.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BINGO Telescope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Sobre o Hermathena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 Hermathena nasce da aproximação entre ciência de fronteira e comunicação popular. O programa busca construir pontes entre a pesquisa científica desenvolvida no âmbito do Radiotelescópio BINGO e a sociedade paraibana, especialmente as comunidades do sertão. Sua atuação articula comunicação, educação, extensão, pesquisa e inovação, visando transformar o desenvolvimento científico e tecnológico em desenvolvimento humano e regional.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Missão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numPr>
          <w:ilvl w:val="0"/>
          <w:numId w:val="1"/>
        </w:numPr>
        <w:spacing w:after="0" w:afterAutospacing="0" w:before="0" w:beforeAutospacing="0"/>
        <w:ind w:left="720" w:hanging="360"/>
        <w:rPr>
          <w:sz w:val="40"/>
          <w:szCs w:val="40"/>
        </w:rPr>
      </w:pPr>
      <w:bookmarkStart w:colFirst="0" w:colLast="0" w:name="_e5nrh2sd7tx3" w:id="9"/>
      <w:bookmarkEnd w:id="9"/>
      <w:r w:rsidDel="00000000" w:rsidR="00000000" w:rsidRPr="00000000">
        <w:rPr>
          <w:rtl w:val="0"/>
        </w:rPr>
        <w:t xml:space="preserve">Canais</w:t>
      </w:r>
    </w:p>
    <w:p w:rsidR="00000000" w:rsidDel="00000000" w:rsidP="00000000" w:rsidRDefault="00000000" w:rsidRPr="00000000" w14:paraId="000000B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Portal Web</w:t>
      </w:r>
    </w:p>
    <w:p w:rsidR="00000000" w:rsidDel="00000000" w:rsidP="00000000" w:rsidRDefault="00000000" w:rsidRPr="00000000" w14:paraId="000000BF">
      <w:pPr>
        <w:numPr>
          <w:ilvl w:val="2"/>
          <w:numId w:val="1"/>
        </w:numPr>
        <w:ind w:left="216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Radiotelescópio BINGO | BINGO Telescope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Perfis sociais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ind w:left="216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https://www.instagram.com/bingotelescopio/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peça foto de perfil</w:t>
      </w:r>
    </w:p>
    <w:p w:rsidR="00000000" w:rsidDel="00000000" w:rsidP="00000000" w:rsidRDefault="00000000" w:rsidRPr="00000000" w14:paraId="000000C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reel</w:t>
      </w:r>
    </w:p>
    <w:p w:rsidR="00000000" w:rsidDel="00000000" w:rsidP="00000000" w:rsidRDefault="00000000" w:rsidRPr="00000000" w14:paraId="000000C4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C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carrossel</w:t>
      </w:r>
    </w:p>
    <w:p w:rsidR="00000000" w:rsidDel="00000000" w:rsidP="00000000" w:rsidRDefault="00000000" w:rsidRPr="00000000" w14:paraId="000000C6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destaques</w:t>
      </w:r>
    </w:p>
    <w:p w:rsidR="00000000" w:rsidDel="00000000" w:rsidP="00000000" w:rsidRDefault="00000000" w:rsidRPr="00000000" w14:paraId="000000C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C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C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CHECAR</w:t>
      </w:r>
    </w:p>
    <w:p w:rsidR="00000000" w:rsidDel="00000000" w:rsidP="00000000" w:rsidRDefault="00000000" w:rsidRPr="00000000" w14:paraId="000000C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Chatbot BINGO</w:t>
      </w:r>
    </w:p>
    <w:p w:rsidR="00000000" w:rsidDel="00000000" w:rsidP="00000000" w:rsidRDefault="00000000" w:rsidRPr="00000000" w14:paraId="000000C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RadioBingo — Podcast Principal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BINGO Minuto — Micro-podcast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Construindo o BINGO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Ciclo de Palestras BINGO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BINGO Responde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#BINGONoDetalhe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7.2693733239967"/>
        <w:gridCol w:w="5863.596768408288"/>
        <w:tblGridChange w:id="0">
          <w:tblGrid>
            <w:gridCol w:w="3207.2693733239967"/>
            <w:gridCol w:w="5863.5967684082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 que vale testar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Grafite energia escura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#2B3147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fundo escuro, texto forte, base técnica/editorial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Azul céu profundo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#08268F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estrutura institucional, fundos, contraste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Azul BINGO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#3F6CCF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reconhecimento, presença institucional, elementos estruturais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Electric cyan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#22D3EE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sinal, atividade, tecnologia, dado pontual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Roxo crepúsculo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#5A3FB2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expansão categorial/editorial, diferenciação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Terracota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#C75A2E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território, matéria, calor, destaque editorial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Laranja Uirapuru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#F28A34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energia, chamada, extensão, acento quente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Branco quente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#F7F1E8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leitura, respiro, fundo editorial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BINGO ouro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#C9A34A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distinção, solenidade, reconhecimento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u não" w:id="1" w:date="2026-09-04T20:53:32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Checar termos/licença de uso</w:t>
      </w:r>
    </w:p>
  </w:comment>
  <w:comment w:author="Ou não" w:id="2" w:date="2026-09-05T02:53:43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Nasalization pode continuar sendo utilizada na identidade do BINGO, especialmente no logotipo e em composições gráficas fixas, mas o arquivo atualmente utilizado está sujeito à Typodermic Desktop EULA e não deve ser tratado como uma fonte de uso irrestrito.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própria Typodermic informa que a licença Desktop cobre “logos, print, packaging, merchandise, images, presentations, and rendered video when the delivered result contains no working font” — isto é, logotipos, materiais impressos, imagens, apresentações e outras peças finalizadas são permitidos quando o arquivo entregue não contém a fonte funcional.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a documentação lista expressamente como não cobertos pela licença Desktop: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“Giving the font to a client, contractor, agency, colleague, printer, or another legal entity”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“Shared servers, network font folders, cloud font services...”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“Embedding in websites, software, apps [...] or commercial electronic publications”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“Reusable alphabets [...] editable templates...”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significa, na prática, que não devemos simplesmente compartilhar o arquivo da Nasalization com toda a equipe, colocá-lo em uma pasta de rede, incorporá-lo ao site como webfont ou usá-lo em modelos editáveis sem verificar a licença correspondente.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Typodermic também esclarece que texto vivo na web exige licença Webfont: “A browser receives a font for live, selectable text. A fixed logo or banner image remains desktop use.”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mesma forma, Canva e outros ambientes de criação em nuvem entram em uma categoria separada: a documentação classifica “cloud design platforms such as Canva” e “editable templates” como usos que exigem direitos específicos.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Há ainda uma limitação de usuários: salvo indicação diferente no registro de distribuição, a licença Desktop atual considera um usuário natural, e a contagem inclui todas as pessoas autorizadas a instalar ou usar a fonte.</w:t>
      </w:r>
    </w:p>
  </w:comment>
  <w:comment w:author="Ou não" w:id="0" w:date="2026-09-04T20:53:25Z"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Checar termos/licença de uso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nva.link/kto72tzwh1rb6ol" TargetMode="External"/><Relationship Id="rId10" Type="http://schemas.openxmlformats.org/officeDocument/2006/relationships/hyperlink" Target="https://drive.google.com/drive/folders/1moV9PxcjWXu09TL1KrbfswMvJXKq9_cX?usp=drive_link" TargetMode="External"/><Relationship Id="rId13" Type="http://schemas.openxmlformats.org/officeDocument/2006/relationships/hyperlink" Target="https://bingotelescope.org/about/" TargetMode="External"/><Relationship Id="rId12" Type="http://schemas.openxmlformats.org/officeDocument/2006/relationships/hyperlink" Target="https://bingotelescope.org/about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arxiv.org/pdf/2309.05099" TargetMode="External"/><Relationship Id="rId15" Type="http://schemas.openxmlformats.org/officeDocument/2006/relationships/hyperlink" Target="https://www.instagram.com/bingotelescopio/" TargetMode="External"/><Relationship Id="rId14" Type="http://schemas.openxmlformats.org/officeDocument/2006/relationships/hyperlink" Target="https://bingotelescope.org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www.aanda.org/articles/aa/full_html/2022/08/aa40883-21/aa40883-21.html" TargetMode="External"/><Relationship Id="rId8" Type="http://schemas.openxmlformats.org/officeDocument/2006/relationships/hyperlink" Target="https://arxiv.org/abs/2309.0509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