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00"/>
      </w:pPr>
    </w:p>
    <w:p>
      <w:pPr>
        <w:spacing w:after="10" w:before="0"/>
        <w:jc w:val="center"/>
      </w:pPr>
      <w:r>
        <w:rPr>
          <w:rFonts w:ascii="Arial" w:cs="Arial" w:eastAsia="Arial" w:hAnsi="Arial"/>
          <w:b/>
          <w:bCs/>
          <w:color w:val="1B4F72"/>
          <w:sz w:val="52"/>
          <w:szCs w:val="52"/>
        </w:rPr>
        <w:t xml:space="preserve">PROTOGENESIS: PRIMORDIA</w:t>
      </w:r>
    </w:p>
    <w:p>
      <w:pPr>
        <w:spacing w:after="80" w:before="0"/>
        <w:jc w:val="center"/>
      </w:pPr>
      <w:r>
        <w:rPr>
          <w:rFonts w:ascii="Arial" w:cs="Arial" w:eastAsia="Arial" w:hAnsi="Arial"/>
          <w:color w:val="2C3E50"/>
          <w:sz w:val="34"/>
          <w:szCs w:val="34"/>
        </w:rPr>
        <w:t xml:space="preserve">Art Bible — v3.0  DEFINITIVO</w:t>
      </w:r>
    </w:p>
    <w:p>
      <w:pPr>
        <w:pBdr>
          <w:bottom w:val="single" w:color="2471A3" w:sz="4" w:space="1"/>
        </w:pBdr>
        <w:spacing w:after="60" w:before="0"/>
        <w:jc w:val="center"/>
      </w:pPr>
      <w:r>
        <w:rPr>
          <w:sz w:val="22"/>
          <w:szCs w:val="22"/>
        </w:rPr>
        <w:t xml:space="preserve"/>
      </w:r>
    </w:p>
    <w:p>
      <w:pPr>
        <w:spacing w:after="30" w:before="100"/>
        <w:jc w:val="center"/>
      </w:pPr>
      <w:r>
        <w:rPr>
          <w:rFonts w:ascii="Arial" w:cs="Arial" w:eastAsia="Arial" w:hAnsi="Arial"/>
          <w:i/>
          <w:iCs/>
          <w:color w:val="2C3E50"/>
          <w:sz w:val="21"/>
          <w:szCs w:val="21"/>
        </w:rPr>
        <w:t xml:space="preserve">EXTERIOR  ·  Microscopía óptica — jam_and_germs</w:t>
      </w:r>
    </w:p>
    <w:p>
      <w:pPr>
        <w:spacing w:after="30" w:before="20"/>
        <w:jc w:val="center"/>
      </w:pPr>
      <w:r>
        <w:rPr>
          <w:rFonts w:ascii="Arial" w:cs="Arial" w:eastAsia="Arial" w:hAnsi="Arial"/>
          <w:i/>
          <w:iCs/>
          <w:color w:val="2C3E50"/>
          <w:sz w:val="21"/>
          <w:szCs w:val="21"/>
        </w:rPr>
        <w:t xml:space="preserve">INTERIOR PROCARIOTA  ·  Citoplasma denso sin compartimentos — David S. Goodsell</w:t>
      </w:r>
    </w:p>
    <w:p>
      <w:pPr>
        <w:spacing w:after="30" w:before="20"/>
        <w:jc w:val="center"/>
      </w:pPr>
      <w:r>
        <w:rPr>
          <w:rFonts w:ascii="Arial" w:cs="Arial" w:eastAsia="Arial" w:hAnsi="Arial"/>
          <w:i/>
          <w:iCs/>
          <w:color w:val="2C3E50"/>
          <w:sz w:val="21"/>
          <w:szCs w:val="21"/>
        </w:rPr>
        <w:t xml:space="preserve">INTERIOR EUCARIOTA  ·  Ilustración científica 3D — Julien Tromeur / Dreamstime</w:t>
      </w:r>
    </w:p>
    <w:p>
      <w:pPr>
        <w:spacing w:after="800" w:before="20"/>
        <w:jc w:val="center"/>
      </w:pPr>
      <w:r>
        <w:rPr>
          <w:rFonts w:ascii="Arial" w:cs="Arial" w:eastAsia="Arial" w:hAnsi="Arial"/>
          <w:i/>
          <w:iCs/>
          <w:color w:val="2471A3"/>
          <w:sz w:val="18"/>
          <w:szCs w:val="18"/>
        </w:rPr>
        <w:t xml:space="preserve">Referentes: jam_and_germs · Julien Tromeur · David S. Goodsell · Henning Dalhoff · Science Source · Drew Berry · Frank Fox · Wim van Egmond</w:t>
      </w:r>
    </w:p>
    <w:p>
      <w:r>
        <w:br w:type="page"/>
      </w:r>
    </w:p>
    <w:p>
      <w:pPr>
        <w:pStyle w:val="Heading1"/>
        <w:pBdr>
          <w:bottom w:val="single" w:color="1B4F72" w:sz="10" w:space="2"/>
        </w:pBdr>
        <w:spacing w:after="180" w:before="460"/>
      </w:pPr>
      <w:r>
        <w:rPr>
          <w:rFonts w:ascii="Arial" w:cs="Arial" w:eastAsia="Arial" w:hAnsi="Arial"/>
          <w:b/>
          <w:bCs/>
          <w:color w:val="1B4F72"/>
          <w:sz w:val="40"/>
          <w:szCs w:val="40"/>
        </w:rPr>
        <w:t xml:space="preserve">0. CHANGELOG v3.0 — ACTUALIZACIÓN POR BIFURCACIÓN BIOLÓGICA</w:t>
      </w:r>
    </w:p>
    <w:p>
      <w:pPr>
        <w:spacing w:after="90" w:before="60"/>
      </w:pPr>
      <w:r>
        <w:rPr>
          <w:rFonts w:ascii="Arial" w:cs="Arial" w:eastAsia="Arial" w:hAnsi="Arial"/>
          <w:color w:val="2C3E50"/>
          <w:sz w:val="22"/>
          <w:szCs w:val="22"/>
        </w:rPr>
        <w:t xml:space="preserve">El Art Bible v3.0 actualiza el v2.0 para reflejar el GDD v4.3 que introduce la bifurcación procariota/eucariota. Los apartados 1, 2 y el exterior (sección 3) no cambian. Lo que cambia: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gridSpan w:val="1"/>
            <w:tcBorders>
              <w:top w:val="single" w:color="BDC3C7" w:sz="1"/>
              <w:left w:val="single" w:color="BDC3C7" w:sz="1"/>
              <w:bottom w:val="single" w:color="BDC3C7" w:sz="1"/>
              <w:right w:val="single" w:color="BDC3C7" w:sz="1"/>
            </w:tcBorders>
            <w:shd w:fill="A04000" w:val="clear"/>
            <w:tcMar>
              <w:top w:type="dxa" w:w="70"/>
              <w:left w:type="dxa" w:w="130"/>
              <w:bottom w:type="dxa" w:w="70"/>
              <w:right w:type="dxa" w:w="130"/>
            </w:tcMar>
            <w:vAlign w:val="center"/>
          </w:tcPr>
          <w:p>
            <w:r>
              <w:rPr>
                <w:rFonts w:ascii="Arial" w:cs="Arial" w:eastAsia="Arial" w:hAnsi="Arial"/>
                <w:b/>
                <w:bCs/>
                <w:color w:val="FFFFFF"/>
                <w:sz w:val="20"/>
                <w:szCs w:val="20"/>
              </w:rPr>
              <w:t xml:space="preserve">QUÉ CAMBIÓ</w:t>
            </w:r>
          </w:p>
        </w:tc>
        <w:tc>
          <w:tcPr>
            <w:tcW w:type="dxa" w:w="6960"/>
            <w:gridSpan w:val="1"/>
            <w:tcBorders>
              <w:top w:val="single" w:color="BDC3C7" w:sz="1"/>
              <w:left w:val="single" w:color="BDC3C7" w:sz="1"/>
              <w:bottom w:val="single" w:color="BDC3C7" w:sz="1"/>
              <w:right w:val="single" w:color="BDC3C7" w:sz="1"/>
            </w:tcBorders>
            <w:shd w:fill="A04000" w:val="clear"/>
            <w:tcMar>
              <w:top w:type="dxa" w:w="70"/>
              <w:left w:type="dxa" w:w="130"/>
              <w:bottom w:type="dxa" w:w="70"/>
              <w:right w:type="dxa" w:w="130"/>
            </w:tcMar>
            <w:vAlign w:val="center"/>
          </w:tcPr>
          <w:p>
            <w:r>
              <w:rPr>
                <w:rFonts w:ascii="Arial" w:cs="Arial" w:eastAsia="Arial" w:hAnsi="Arial"/>
                <w:b/>
                <w:bCs/>
                <w:color w:val="FFFFFF"/>
                <w:sz w:val="20"/>
                <w:szCs w:val="20"/>
              </w:rPr>
              <w:t xml:space="preserve">DESCRIPCIÓN</w:t>
            </w:r>
          </w:p>
        </w:tc>
      </w:tr>
      <w:tr>
        <w:tc>
          <w:tcPr>
            <w:tcW w:type="dxa" w:w="24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Interior: dos versiones distintas</w:t>
            </w:r>
          </w:p>
        </w:tc>
        <w:tc>
          <w:tcPr>
            <w:tcW w:type="dxa" w:w="69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El panel interior ya no es uno solo. Los procariotas tienen un interior denso y sin compartimentos (Goodsell). Los eucariotas tienen el interior con orgánulos organizados (Julien Tromeur).</w:t>
            </w:r>
          </w:p>
        </w:tc>
      </w:tr>
      <w:tr>
        <w:tc>
          <w:tcPr>
            <w:tcW w:type="dxa" w:w="24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División: dos animaciones distintas</w:t>
            </w:r>
          </w:p>
        </w:tc>
        <w:tc>
          <w:tcPr>
            <w:tcW w:type="dxa" w:w="69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Procariotas: fisión binaria (rápida, sin huso mitótico). Eucariotas: mitosis (más lenta, con reorganización interna visible).</w:t>
            </w:r>
          </w:p>
        </w:tc>
      </w:tr>
      <w:tr>
        <w:tc>
          <w:tcPr>
            <w:tcW w:type="dxa" w:w="24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Exterior: nuevos apéndices procariotas</w:t>
            </w:r>
          </w:p>
        </w:tc>
        <w:tc>
          <w:tcPr>
            <w:tcW w:type="dxa" w:w="69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Cápsula, fimbrias y plásmido tienen representaciones visuales nuevas en el mapa exterior.</w:t>
            </w:r>
          </w:p>
        </w:tc>
      </w:tr>
      <w:tr>
        <w:tc>
          <w:tcPr>
            <w:tcW w:type="dxa" w:w="24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Paleta de color: dos grupos</w:t>
            </w:r>
          </w:p>
        </w:tc>
        <w:tc>
          <w:tcPr>
            <w:tcW w:type="dxa" w:w="69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Las swatches ahora están separadas por dominio. Los colores base no cambian.</w:t>
            </w:r>
          </w:p>
        </w:tc>
      </w:tr>
      <w:tr>
        <w:tc>
          <w:tcPr>
            <w:tcW w:type="dxa" w:w="24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LUCA: visual de la protocélula</w:t>
            </w:r>
          </w:p>
        </w:tc>
        <w:tc>
          <w:tcPr>
            <w:tcW w:type="dxa" w:w="69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La protocélula de inicio tiene un visual neutro antes de la bifurcación.</w:t>
            </w:r>
          </w:p>
        </w:tc>
      </w:tr>
    </w:tbl>
    <w:p>
      <w:pPr>
        <w:spacing w:after="80" w:before="80"/>
      </w:pPr>
      <w:r>
        <w:t xml:space="preserve"/>
      </w:r>
    </w:p>
    <w:p>
      <w:r>
        <w:br w:type="page"/>
      </w:r>
    </w:p>
    <w:p>
      <w:pPr>
        <w:pStyle w:val="Heading1"/>
        <w:pBdr>
          <w:bottom w:val="single" w:color="1B4F72" w:sz="10" w:space="2"/>
        </w:pBdr>
        <w:spacing w:after="180" w:before="460"/>
      </w:pPr>
      <w:r>
        <w:rPr>
          <w:rFonts w:ascii="Arial" w:cs="Arial" w:eastAsia="Arial" w:hAnsi="Arial"/>
          <w:b/>
          <w:bCs/>
          <w:color w:val="1B4F72"/>
          <w:sz w:val="40"/>
          <w:szCs w:val="40"/>
        </w:rPr>
        <w:t xml:space="preserve">1. FILOSOFÍA VISUAL — EL DUALISMO ESTÉTICO</w:t>
      </w:r>
    </w:p>
    <w:p>
      <w:pPr>
        <w:pBdr>
          <w:left w:val="single" w:color="2471A3" w:sz="12" w:space="12"/>
        </w:pBdr>
        <w:shd w:fill="F2F3F4" w:val="clear"/>
        <w:spacing w:after="160" w:before="160"/>
        <w:ind w:left="600" w:right="600"/>
      </w:pPr>
      <w:r>
        <w:rPr>
          <w:rFonts w:ascii="Arial" w:cs="Arial" w:eastAsia="Arial" w:hAnsi="Arial"/>
          <w:b/>
          <w:bCs/>
          <w:i/>
          <w:iCs/>
          <w:color w:val="2471A3"/>
          <w:sz w:val="24"/>
          <w:szCs w:val="24"/>
        </w:rPr>
        <w:t xml:space="preserve">"Afuera: la realidad cruda. Adentro: la comprensión de esa realidad."</w:t>
      </w:r>
    </w:p>
    <w:p>
      <w:pPr>
        <w:spacing w:after="80" w:before="80"/>
      </w:pPr>
      <w:r>
        <w:t xml:space="preserve"/>
      </w:r>
    </w:p>
    <w:p>
      <w:pPr>
        <w:spacing w:after="90" w:before="60"/>
      </w:pPr>
      <w:r>
        <w:rPr>
          <w:rFonts w:ascii="Arial" w:cs="Arial" w:eastAsia="Arial" w:hAnsi="Arial"/>
          <w:color w:val="2C3E50"/>
          <w:sz w:val="22"/>
          <w:szCs w:val="22"/>
        </w:rPr>
        <w:t xml:space="preserve">Protogenesis: Primordia tiene una identidad visual que no existe en ningún juego: la tensión entre lo que la biología realmente parece bajo un microscopio y lo que los científicos hacen para que podamos comprenderla. El exterior es la naturaleza sin filtros. El interior es el esfuerzo humano por entender esa naturaleza.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gridSpan w:val="1"/>
            <w:tcBorders>
              <w:top w:val="single" w:color="BDC3C7" w:sz="1"/>
              <w:left w:val="single" w:color="BDC3C7" w:sz="1"/>
              <w:bottom w:val="single" w:color="BDC3C7" w:sz="1"/>
              <w:right w:val="single" w:color="BDC3C7" w:sz="1"/>
            </w:tcBorders>
            <w:shd w:fill="1B4F72" w:val="clear"/>
            <w:tcMar>
              <w:top w:type="dxa" w:w="70"/>
              <w:left w:type="dxa" w:w="130"/>
              <w:bottom w:type="dxa" w:w="70"/>
              <w:right w:type="dxa" w:w="130"/>
            </w:tcMar>
            <w:vAlign w:val="center"/>
          </w:tcPr>
          <w:p>
            <w:r>
              <w:rPr>
                <w:rFonts w:ascii="Arial" w:cs="Arial" w:eastAsia="Arial" w:hAnsi="Arial"/>
                <w:b/>
                <w:bCs/>
                <w:color w:val="FFFFFF"/>
                <w:sz w:val="20"/>
                <w:szCs w:val="20"/>
              </w:rPr>
              <w:t xml:space="preserve">DIMENSIÓN</w:t>
            </w:r>
          </w:p>
        </w:tc>
        <w:tc>
          <w:tcPr>
            <w:tcW w:type="dxa" w:w="3800"/>
            <w:gridSpan w:val="1"/>
            <w:tcBorders>
              <w:top w:val="single" w:color="BDC3C7" w:sz="1"/>
              <w:left w:val="single" w:color="BDC3C7" w:sz="1"/>
              <w:bottom w:val="single" w:color="BDC3C7" w:sz="1"/>
              <w:right w:val="single" w:color="BDC3C7" w:sz="1"/>
            </w:tcBorders>
            <w:shd w:fill="1B4F72" w:val="clear"/>
            <w:tcMar>
              <w:top w:type="dxa" w:w="70"/>
              <w:left w:type="dxa" w:w="130"/>
              <w:bottom w:type="dxa" w:w="70"/>
              <w:right w:type="dxa" w:w="130"/>
            </w:tcMar>
            <w:vAlign w:val="center"/>
          </w:tcPr>
          <w:p>
            <w:r>
              <w:rPr>
                <w:rFonts w:ascii="Arial" w:cs="Arial" w:eastAsia="Arial" w:hAnsi="Arial"/>
                <w:b/>
                <w:bCs/>
                <w:color w:val="FFFFFF"/>
                <w:sz w:val="20"/>
                <w:szCs w:val="20"/>
              </w:rPr>
              <w:t xml:space="preserve">EXTERIOR — MICROSCOPÍA REAL</w:t>
            </w:r>
          </w:p>
        </w:tc>
        <w:tc>
          <w:tcPr>
            <w:tcW w:type="dxa" w:w="3960"/>
            <w:gridSpan w:val="1"/>
            <w:tcBorders>
              <w:top w:val="single" w:color="BDC3C7" w:sz="1"/>
              <w:left w:val="single" w:color="BDC3C7" w:sz="1"/>
              <w:bottom w:val="single" w:color="BDC3C7" w:sz="1"/>
              <w:right w:val="single" w:color="BDC3C7" w:sz="1"/>
            </w:tcBorders>
            <w:shd w:fill="1B4F72" w:val="clear"/>
            <w:tcMar>
              <w:top w:type="dxa" w:w="70"/>
              <w:left w:type="dxa" w:w="130"/>
              <w:bottom w:type="dxa" w:w="70"/>
              <w:right w:type="dxa" w:w="130"/>
            </w:tcMar>
            <w:vAlign w:val="center"/>
          </w:tcPr>
          <w:p>
            <w:r>
              <w:rPr>
                <w:rFonts w:ascii="Arial" w:cs="Arial" w:eastAsia="Arial" w:hAnsi="Arial"/>
                <w:b/>
                <w:bCs/>
                <w:color w:val="FFFFFF"/>
                <w:sz w:val="20"/>
                <w:szCs w:val="20"/>
              </w:rPr>
              <w:t xml:space="preserve">INTERIOR — ILUSTRACIÓN CIENTÍFICA</w:t>
            </w:r>
          </w:p>
        </w:tc>
      </w:tr>
      <w:tr>
        <w:tc>
          <w:tcPr>
            <w:tcW w:type="dxa" w:w="16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Referente principal</w:t>
            </w:r>
          </w:p>
        </w:tc>
        <w:tc>
          <w:tcPr>
            <w:tcW w:type="dxa" w:w="38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jam_and_germs (Instagram Reels)</w:t>
            </w:r>
          </w:p>
        </w:tc>
        <w:tc>
          <w:tcPr>
            <w:tcW w:type="dxa" w:w="39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Procariota: David S. Goodsell. Eucariota: Julien Tromeur (Dreamstime).</w:t>
            </w:r>
          </w:p>
        </w:tc>
      </w:tr>
      <w:tr>
        <w:tc>
          <w:tcPr>
            <w:tcW w:type="dxa" w:w="16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Paleta dominante</w:t>
            </w:r>
          </w:p>
        </w:tc>
        <w:tc>
          <w:tcPr>
            <w:tcW w:type="dxa" w:w="38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Azul-gris translúcido, verdes orgánicos, ocres</w:t>
            </w:r>
          </w:p>
        </w:tc>
        <w:tc>
          <w:tcPr>
            <w:tcW w:type="dxa" w:w="39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Procariota: tonos densos sin brillo. Eucariota: azul profundo, rosas, naranjas.</w:t>
            </w:r>
          </w:p>
        </w:tc>
      </w:tr>
      <w:tr>
        <w:tc>
          <w:tcPr>
            <w:tcW w:type="dxa" w:w="16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Fondo</w:t>
            </w:r>
          </w:p>
        </w:tc>
        <w:tc>
          <w:tcPr>
            <w:tcW w:type="dxa" w:w="38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Textura fotográfica de agua con partículas</w:t>
            </w:r>
          </w:p>
        </w:tc>
        <w:tc>
          <w:tcPr>
            <w:tcW w:type="dxa" w:w="39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Procariota: #050A14 muy denso. Eucariota: #050A14 con gradiente y espacio.</w:t>
            </w:r>
          </w:p>
        </w:tc>
      </w:tr>
      <w:tr>
        <w:tc>
          <w:tcPr>
            <w:tcW w:type="dxa" w:w="16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Sensación</w:t>
            </w:r>
          </w:p>
        </w:tc>
        <w:tc>
          <w:tcPr>
            <w:tcW w:type="dxa" w:w="38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'Estoy mirando a través de un microscopio real'</w:t>
            </w:r>
          </w:p>
        </w:tc>
        <w:tc>
          <w:tcPr>
            <w:tcW w:type="dxa" w:w="39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Procariota: 'Estoy en un espacio lleno y activo'. Eucariota: 'Estoy dentro del diagrama de biología hecho hermoso'.</w:t>
            </w:r>
          </w:p>
        </w:tc>
      </w:tr>
      <w:tr>
        <w:tc>
          <w:tcPr>
            <w:tcW w:type="dxa" w:w="16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UI integrada</w:t>
            </w:r>
          </w:p>
        </w:tc>
        <w:tc>
          <w:tcPr>
            <w:tcW w:type="dxa" w:w="38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Sin UI — el mundo es puro</w:t>
            </w:r>
          </w:p>
        </w:tc>
        <w:tc>
          <w:tcPr>
            <w:tcW w:type="dxa" w:w="39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Labels al hacer hover. Atlas anatómico interactivo.</w:t>
            </w:r>
          </w:p>
        </w:tc>
      </w:tr>
    </w:tbl>
    <w:p>
      <w:pPr>
        <w:spacing w:after="80" w:before="80"/>
      </w:pPr>
      <w:r>
        <w:t xml:space="preserve"/>
      </w:r>
    </w:p>
    <w:p>
      <w:pPr>
        <w:pBdr>
          <w:top w:val="single" w:color="2471A3" w:sz="4"/>
          <w:bottom w:val="single" w:color="2471A3" w:sz="4"/>
          <w:left w:val="single" w:color="2471A3" w:sz="4"/>
          <w:right w:val="single" w:color="2471A3" w:sz="4"/>
        </w:pBdr>
        <w:shd w:fill="D6EAF8" w:val="clear"/>
        <w:spacing w:after="130" w:before="130"/>
        <w:ind w:left="340" w:right="340"/>
      </w:pPr>
      <w:r>
        <w:rPr>
          <w:rFonts w:ascii="Arial" w:cs="Arial" w:eastAsia="Arial" w:hAnsi="Arial"/>
          <w:b/>
          <w:bCs/>
          <w:color w:val="2471A3"/>
          <w:sz w:val="21"/>
          <w:szCs w:val="21"/>
        </w:rPr>
        <w:t xml:space="preserve">  REGLA DE ORO: El exterior nunca puede parecer una ilustración. El interior nunca puede parecer una fotografía. Esta regla aplica igual para procariotas y eucariotas.</w:t>
      </w:r>
    </w:p>
    <w:p>
      <w:pPr>
        <w:spacing w:after="80" w:before="80"/>
      </w:pPr>
      <w:r>
        <w:t xml:space="preserve"/>
      </w:r>
    </w:p>
    <w:p>
      <w:r>
        <w:br w:type="page"/>
      </w:r>
    </w:p>
    <w:p>
      <w:pPr>
        <w:pStyle w:val="Heading1"/>
        <w:pBdr>
          <w:bottom w:val="single" w:color="1B4F72" w:sz="10" w:space="2"/>
        </w:pBdr>
        <w:spacing w:after="180" w:before="460"/>
      </w:pPr>
      <w:r>
        <w:rPr>
          <w:rFonts w:ascii="Arial" w:cs="Arial" w:eastAsia="Arial" w:hAnsi="Arial"/>
          <w:b/>
          <w:bCs/>
          <w:color w:val="1B4F72"/>
          <w:sz w:val="40"/>
          <w:szCs w:val="40"/>
        </w:rPr>
        <w:t xml:space="preserve">2. REFERENTES ARTÍSTICOS</w:t>
      </w:r>
    </w:p>
    <w:p>
      <w:pPr>
        <w:pStyle w:val="Heading2"/>
        <w:spacing w:after="110" w:before="300"/>
      </w:pPr>
      <w:r>
        <w:rPr>
          <w:rFonts w:ascii="Arial" w:cs="Arial" w:eastAsia="Arial" w:hAnsi="Arial"/>
          <w:b/>
          <w:bCs/>
          <w:color w:val="2471A3"/>
          <w:sz w:val="28"/>
          <w:szCs w:val="28"/>
        </w:rPr>
        <w:t xml:space="preserve">2.1 Exterior — Microscopía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rPr>
          <w:tblHeader/>
        </w:trPr>
        <w:tc>
          <w:tcPr>
            <w:tcW w:type="dxa" w:w="2200"/>
            <w:gridSpan w:val="1"/>
            <w:tcBorders>
              <w:top w:val="single" w:color="BDC3C7" w:sz="1"/>
              <w:left w:val="single" w:color="BDC3C7" w:sz="1"/>
              <w:bottom w:val="single" w:color="BDC3C7" w:sz="1"/>
              <w:right w:val="single" w:color="BDC3C7" w:sz="1"/>
            </w:tcBorders>
            <w:shd w:fill="2471A3" w:val="clear"/>
            <w:tcMar>
              <w:top w:type="dxa" w:w="70"/>
              <w:left w:type="dxa" w:w="130"/>
              <w:bottom w:type="dxa" w:w="70"/>
              <w:right w:type="dxa" w:w="130"/>
            </w:tcMar>
            <w:vAlign w:val="center"/>
          </w:tcPr>
          <w:p>
            <w:r>
              <w:rPr>
                <w:rFonts w:ascii="Arial" w:cs="Arial" w:eastAsia="Arial" w:hAnsi="Arial"/>
                <w:b/>
                <w:bCs/>
                <w:color w:val="FFFFFF"/>
                <w:sz w:val="20"/>
                <w:szCs w:val="20"/>
              </w:rPr>
              <w:t xml:space="preserve">ARTISTA / FUENTE</w:t>
            </w:r>
          </w:p>
        </w:tc>
        <w:tc>
          <w:tcPr>
            <w:tcW w:type="dxa" w:w="1600"/>
            <w:gridSpan w:val="1"/>
            <w:tcBorders>
              <w:top w:val="single" w:color="BDC3C7" w:sz="1"/>
              <w:left w:val="single" w:color="BDC3C7" w:sz="1"/>
              <w:bottom w:val="single" w:color="BDC3C7" w:sz="1"/>
              <w:right w:val="single" w:color="BDC3C7" w:sz="1"/>
            </w:tcBorders>
            <w:shd w:fill="2471A3" w:val="clear"/>
            <w:tcMar>
              <w:top w:type="dxa" w:w="70"/>
              <w:left w:type="dxa" w:w="130"/>
              <w:bottom w:type="dxa" w:w="70"/>
              <w:right w:type="dxa" w:w="130"/>
            </w:tcMar>
            <w:vAlign w:val="center"/>
          </w:tcPr>
          <w:p>
            <w:r>
              <w:rPr>
                <w:rFonts w:ascii="Arial" w:cs="Arial" w:eastAsia="Arial" w:hAnsi="Arial"/>
                <w:b/>
                <w:bCs/>
                <w:color w:val="FFFFFF"/>
                <w:sz w:val="20"/>
                <w:szCs w:val="20"/>
              </w:rPr>
              <w:t xml:space="preserve">MEDIO</w:t>
            </w:r>
          </w:p>
        </w:tc>
        <w:tc>
          <w:tcPr>
            <w:tcW w:type="dxa" w:w="2000"/>
            <w:gridSpan w:val="1"/>
            <w:tcBorders>
              <w:top w:val="single" w:color="BDC3C7" w:sz="1"/>
              <w:left w:val="single" w:color="BDC3C7" w:sz="1"/>
              <w:bottom w:val="single" w:color="BDC3C7" w:sz="1"/>
              <w:right w:val="single" w:color="BDC3C7" w:sz="1"/>
            </w:tcBorders>
            <w:shd w:fill="2471A3" w:val="clear"/>
            <w:tcMar>
              <w:top w:type="dxa" w:w="70"/>
              <w:left w:type="dxa" w:w="130"/>
              <w:bottom w:type="dxa" w:w="70"/>
              <w:right w:type="dxa" w:w="130"/>
            </w:tcMar>
            <w:vAlign w:val="center"/>
          </w:tcPr>
          <w:p>
            <w:r>
              <w:rPr>
                <w:rFonts w:ascii="Arial" w:cs="Arial" w:eastAsia="Arial" w:hAnsi="Arial"/>
                <w:b/>
                <w:bCs/>
                <w:color w:val="FFFFFF"/>
                <w:sz w:val="20"/>
                <w:szCs w:val="20"/>
              </w:rPr>
              <w:t xml:space="preserve">DÓNDE</w:t>
            </w:r>
          </w:p>
        </w:tc>
        <w:tc>
          <w:tcPr>
            <w:tcW w:type="dxa" w:w="3560"/>
            <w:gridSpan w:val="1"/>
            <w:tcBorders>
              <w:top w:val="single" w:color="BDC3C7" w:sz="1"/>
              <w:left w:val="single" w:color="BDC3C7" w:sz="1"/>
              <w:bottom w:val="single" w:color="BDC3C7" w:sz="1"/>
              <w:right w:val="single" w:color="BDC3C7" w:sz="1"/>
            </w:tcBorders>
            <w:shd w:fill="2471A3" w:val="clear"/>
            <w:tcMar>
              <w:top w:type="dxa" w:w="70"/>
              <w:left w:type="dxa" w:w="130"/>
              <w:bottom w:type="dxa" w:w="70"/>
              <w:right w:type="dxa" w:w="130"/>
            </w:tcMar>
            <w:vAlign w:val="center"/>
          </w:tcPr>
          <w:p>
            <w:r>
              <w:rPr>
                <w:rFonts w:ascii="Arial" w:cs="Arial" w:eastAsia="Arial" w:hAnsi="Arial"/>
                <w:b/>
                <w:bCs/>
                <w:color w:val="FFFFFF"/>
                <w:sz w:val="20"/>
                <w:szCs w:val="20"/>
              </w:rPr>
              <w:t xml:space="preserve">QUÉ APORTA</w:t>
            </w:r>
          </w:p>
        </w:tc>
      </w:tr>
      <w:tr>
        <w:tc>
          <w:tcPr>
            <w:tcW w:type="dxa" w:w="22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jam_and_germs</w:t>
            </w:r>
          </w:p>
        </w:tc>
        <w:tc>
          <w:tcPr>
            <w:tcW w:type="dxa" w:w="16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Instagram Reels</w:t>
            </w:r>
          </w:p>
        </w:tc>
        <w:tc>
          <w:tcPr>
            <w:tcW w:type="dxa" w:w="20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@jam_and_germs</w:t>
            </w:r>
          </w:p>
        </w:tc>
        <w:tc>
          <w:tcPr>
            <w:tcW w:type="dxa" w:w="35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LA referencia principal. Campo brillante de agua dulce. Amebas, rotíferos, tardígrados, ciliados. Paleta azul-gris, fondo real.</w:t>
            </w:r>
          </w:p>
        </w:tc>
      </w:tr>
      <w:tr>
        <w:tc>
          <w:tcPr>
            <w:tcW w:type="dxa" w:w="22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Wim van Egmond</w:t>
            </w:r>
          </w:p>
        </w:tc>
        <w:tc>
          <w:tcPr>
            <w:tcW w:type="dxa" w:w="16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Microscopía fotográfica</w:t>
            </w:r>
          </w:p>
        </w:tc>
        <w:tc>
          <w:tcPr>
            <w:tcW w:type="dxa" w:w="20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wimvanegmond.com</w:t>
            </w:r>
          </w:p>
        </w:tc>
        <w:tc>
          <w:tcPr>
            <w:tcW w:type="dxa" w:w="35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Campo oscuro — fondo negro, organismos como joyas. Referencia para zoom máximo.</w:t>
            </w:r>
          </w:p>
        </w:tc>
      </w:tr>
      <w:tr>
        <w:tc>
          <w:tcPr>
            <w:tcW w:type="dxa" w:w="22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Frank Fox</w:t>
            </w:r>
          </w:p>
        </w:tc>
        <w:tc>
          <w:tcPr>
            <w:tcW w:type="dxa" w:w="16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Microscopía DIC</w:t>
            </w:r>
          </w:p>
        </w:tc>
        <w:tc>
          <w:tcPr>
            <w:tcW w:type="dxa" w:w="20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frank-fox.eu</w:t>
            </w:r>
          </w:p>
        </w:tc>
        <w:tc>
          <w:tcPr>
            <w:tcW w:type="dxa" w:w="35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Contraste interferencia diferencial — relieve 3D sin tinción. Textura translúcida.</w:t>
            </w:r>
          </w:p>
        </w:tc>
      </w:tr>
      <w:tr>
        <w:tc>
          <w:tcPr>
            <w:tcW w:type="dxa" w:w="22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Nikon Small World</w:t>
            </w:r>
          </w:p>
        </w:tc>
        <w:tc>
          <w:tcPr>
            <w:tcW w:type="dxa" w:w="16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Concurso anual</w:t>
            </w:r>
          </w:p>
        </w:tc>
        <w:tc>
          <w:tcPr>
            <w:tcW w:type="dxa" w:w="20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nikonsmallworld.com</w:t>
            </w:r>
          </w:p>
        </w:tc>
        <w:tc>
          <w:tcPr>
            <w:tcW w:type="dxa" w:w="35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Mejor archivo de microscopía artística. Composición y paleta.</w:t>
            </w:r>
          </w:p>
        </w:tc>
      </w:tr>
      <w:tr>
        <w:tc>
          <w:tcPr>
            <w:tcW w:type="dxa" w:w="22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Olympus BioScapes</w:t>
            </w:r>
          </w:p>
        </w:tc>
        <w:tc>
          <w:tcPr>
            <w:tcW w:type="dxa" w:w="16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Archivo científico</w:t>
            </w:r>
          </w:p>
        </w:tc>
        <w:tc>
          <w:tcPr>
            <w:tcW w:type="dxa" w:w="20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olympusbioscapes.com</w:t>
            </w:r>
          </w:p>
        </w:tc>
        <w:tc>
          <w:tcPr>
            <w:tcW w:type="dxa" w:w="35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Videos en movimiento. Referencia para animaciones.</w:t>
            </w:r>
          </w:p>
        </w:tc>
      </w:tr>
      <w:tr>
        <w:tc>
          <w:tcPr>
            <w:tcW w:type="dxa" w:w="22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ZEISS Microscopy</w:t>
            </w:r>
          </w:p>
        </w:tc>
        <w:tc>
          <w:tcPr>
            <w:tcW w:type="dxa" w:w="16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YouTube</w:t>
            </w:r>
          </w:p>
        </w:tc>
        <w:tc>
          <w:tcPr>
            <w:tcW w:type="dxa" w:w="20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@ZEISSMicroscopy</w:t>
            </w:r>
          </w:p>
        </w:tc>
        <w:tc>
          <w:tcPr>
            <w:tcW w:type="dxa" w:w="35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Microscopía confocal y electrónica. Profundidad en el mapa.</w:t>
            </w:r>
          </w:p>
        </w:tc>
      </w:tr>
    </w:tbl>
    <w:p>
      <w:pPr>
        <w:spacing w:after="80" w:before="80"/>
      </w:pPr>
      <w:r>
        <w:t xml:space="preserve"/>
      </w:r>
    </w:p>
    <w:p>
      <w:pPr>
        <w:pStyle w:val="Heading2"/>
        <w:spacing w:after="110" w:before="300"/>
      </w:pPr>
      <w:r>
        <w:rPr>
          <w:rFonts w:ascii="Arial" w:cs="Arial" w:eastAsia="Arial" w:hAnsi="Arial"/>
          <w:b/>
          <w:bCs/>
          <w:color w:val="2471A3"/>
          <w:sz w:val="28"/>
          <w:szCs w:val="28"/>
        </w:rPr>
        <w:t xml:space="preserve">2.2 Interior Procariota — Citoplasma Denso</w:t>
      </w:r>
    </w:p>
    <w:p>
      <w:pPr>
        <w:shd w:fill="1B4F72" w:val="clear"/>
        <w:spacing w:after="70" w:before="220"/>
      </w:pPr>
      <w:r>
        <w:rPr>
          <w:rFonts w:ascii="Arial" w:cs="Arial" w:eastAsia="Arial" w:hAnsi="Arial"/>
          <w:b/>
          <w:bCs/>
          <w:color w:val="FFFFFF"/>
          <w:sz w:val="24"/>
          <w:szCs w:val="24"/>
        </w:rPr>
        <w:t xml:space="preserve">  REFERENTES EXCLUSIVOS DEL DOMINIO PROCARIOTA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rPr>
          <w:tblHeader/>
        </w:trPr>
        <w:tc>
          <w:tcPr>
            <w:tcW w:type="dxa" w:w="2200"/>
            <w:gridSpan w:val="1"/>
            <w:tcBorders>
              <w:top w:val="single" w:color="BDC3C7" w:sz="1"/>
              <w:left w:val="single" w:color="BDC3C7" w:sz="1"/>
              <w:bottom w:val="single" w:color="BDC3C7" w:sz="1"/>
              <w:right w:val="single" w:color="BDC3C7" w:sz="1"/>
            </w:tcBorders>
            <w:shd w:fill="2471A3" w:val="clear"/>
            <w:tcMar>
              <w:top w:type="dxa" w:w="70"/>
              <w:left w:type="dxa" w:w="130"/>
              <w:bottom w:type="dxa" w:w="70"/>
              <w:right w:type="dxa" w:w="130"/>
            </w:tcMar>
            <w:vAlign w:val="center"/>
          </w:tcPr>
          <w:p>
            <w:r>
              <w:rPr>
                <w:rFonts w:ascii="Arial" w:cs="Arial" w:eastAsia="Arial" w:hAnsi="Arial"/>
                <w:b/>
                <w:bCs/>
                <w:color w:val="FFFFFF"/>
                <w:sz w:val="20"/>
                <w:szCs w:val="20"/>
              </w:rPr>
              <w:t xml:space="preserve">ARTISTA / FUENTE</w:t>
            </w:r>
          </w:p>
        </w:tc>
        <w:tc>
          <w:tcPr>
            <w:tcW w:type="dxa" w:w="1600"/>
            <w:gridSpan w:val="1"/>
            <w:tcBorders>
              <w:top w:val="single" w:color="BDC3C7" w:sz="1"/>
              <w:left w:val="single" w:color="BDC3C7" w:sz="1"/>
              <w:bottom w:val="single" w:color="BDC3C7" w:sz="1"/>
              <w:right w:val="single" w:color="BDC3C7" w:sz="1"/>
            </w:tcBorders>
            <w:shd w:fill="2471A3" w:val="clear"/>
            <w:tcMar>
              <w:top w:type="dxa" w:w="70"/>
              <w:left w:type="dxa" w:w="130"/>
              <w:bottom w:type="dxa" w:w="70"/>
              <w:right w:type="dxa" w:w="130"/>
            </w:tcMar>
            <w:vAlign w:val="center"/>
          </w:tcPr>
          <w:p>
            <w:r>
              <w:rPr>
                <w:rFonts w:ascii="Arial" w:cs="Arial" w:eastAsia="Arial" w:hAnsi="Arial"/>
                <w:b/>
                <w:bCs/>
                <w:color w:val="FFFFFF"/>
                <w:sz w:val="20"/>
                <w:szCs w:val="20"/>
              </w:rPr>
              <w:t xml:space="preserve">MEDIO</w:t>
            </w:r>
          </w:p>
        </w:tc>
        <w:tc>
          <w:tcPr>
            <w:tcW w:type="dxa" w:w="2000"/>
            <w:gridSpan w:val="1"/>
            <w:tcBorders>
              <w:top w:val="single" w:color="BDC3C7" w:sz="1"/>
              <w:left w:val="single" w:color="BDC3C7" w:sz="1"/>
              <w:bottom w:val="single" w:color="BDC3C7" w:sz="1"/>
              <w:right w:val="single" w:color="BDC3C7" w:sz="1"/>
            </w:tcBorders>
            <w:shd w:fill="2471A3" w:val="clear"/>
            <w:tcMar>
              <w:top w:type="dxa" w:w="70"/>
              <w:left w:type="dxa" w:w="130"/>
              <w:bottom w:type="dxa" w:w="70"/>
              <w:right w:type="dxa" w:w="130"/>
            </w:tcMar>
            <w:vAlign w:val="center"/>
          </w:tcPr>
          <w:p>
            <w:r>
              <w:rPr>
                <w:rFonts w:ascii="Arial" w:cs="Arial" w:eastAsia="Arial" w:hAnsi="Arial"/>
                <w:b/>
                <w:bCs/>
                <w:color w:val="FFFFFF"/>
                <w:sz w:val="20"/>
                <w:szCs w:val="20"/>
              </w:rPr>
              <w:t xml:space="preserve">DÓNDE</w:t>
            </w:r>
          </w:p>
        </w:tc>
        <w:tc>
          <w:tcPr>
            <w:tcW w:type="dxa" w:w="3560"/>
            <w:gridSpan w:val="1"/>
            <w:tcBorders>
              <w:top w:val="single" w:color="BDC3C7" w:sz="1"/>
              <w:left w:val="single" w:color="BDC3C7" w:sz="1"/>
              <w:bottom w:val="single" w:color="BDC3C7" w:sz="1"/>
              <w:right w:val="single" w:color="BDC3C7" w:sz="1"/>
            </w:tcBorders>
            <w:shd w:fill="2471A3" w:val="clear"/>
            <w:tcMar>
              <w:top w:type="dxa" w:w="70"/>
              <w:left w:type="dxa" w:w="130"/>
              <w:bottom w:type="dxa" w:w="70"/>
              <w:right w:type="dxa" w:w="130"/>
            </w:tcMar>
            <w:vAlign w:val="center"/>
          </w:tcPr>
          <w:p>
            <w:r>
              <w:rPr>
                <w:rFonts w:ascii="Arial" w:cs="Arial" w:eastAsia="Arial" w:hAnsi="Arial"/>
                <w:b/>
                <w:bCs/>
                <w:color w:val="FFFFFF"/>
                <w:sz w:val="20"/>
                <w:szCs w:val="20"/>
              </w:rPr>
              <w:t xml:space="preserve">QUÉ APORTA</w:t>
            </w:r>
          </w:p>
        </w:tc>
      </w:tr>
      <w:tr>
        <w:tc>
          <w:tcPr>
            <w:tcW w:type="dxa" w:w="22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David S. Goodsell</w:t>
            </w:r>
          </w:p>
        </w:tc>
        <w:tc>
          <w:tcPr>
            <w:tcW w:type="dxa" w:w="16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Acuarela científica molecular</w:t>
            </w:r>
          </w:p>
        </w:tc>
        <w:tc>
          <w:tcPr>
            <w:tcW w:type="dxa" w:w="20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RCSB PDB / scripps.edu</w:t>
            </w:r>
          </w:p>
        </w:tc>
        <w:tc>
          <w:tcPr>
            <w:tcW w:type="dxa" w:w="35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EL referente del interior procariota. Sus pinturas de E. coli y otras bacterias muestran la densidad real — sin espacios vacíos. Todo empaquetado. Los ribosomas son incontables. No hay compartimentos.</w:t>
            </w:r>
          </w:p>
        </w:tc>
      </w:tr>
      <w:tr>
        <w:tc>
          <w:tcPr>
            <w:tcW w:type="dxa" w:w="22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Science Photo Library</w:t>
            </w:r>
          </w:p>
        </w:tc>
        <w:tc>
          <w:tcPr>
            <w:tcW w:type="dxa" w:w="16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Imágenes TEM</w:t>
            </w:r>
          </w:p>
        </w:tc>
        <w:tc>
          <w:tcPr>
            <w:tcW w:type="dxa" w:w="20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sciencephoto.com</w:t>
            </w:r>
          </w:p>
        </w:tc>
        <w:tc>
          <w:tcPr>
            <w:tcW w:type="dxa" w:w="35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Microscopía electrónica de transmisión de bacterias reales. Ver la densidad del citoplasma sin membrana nuclear.</w:t>
            </w:r>
          </w:p>
        </w:tc>
      </w:tr>
      <w:tr>
        <w:tc>
          <w:tcPr>
            <w:tcW w:type="dxa" w:w="22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NIST / NIH</w:t>
            </w:r>
          </w:p>
        </w:tc>
        <w:tc>
          <w:tcPr>
            <w:tcW w:type="dxa" w:w="16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Imágenes científicas</w:t>
            </w:r>
          </w:p>
        </w:tc>
        <w:tc>
          <w:tcPr>
            <w:tcW w:type="dxa" w:w="20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nih.gov</w:t>
            </w:r>
          </w:p>
        </w:tc>
        <w:tc>
          <w:tcPr>
            <w:tcW w:type="dxa" w:w="35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Imágenes de E. coli y Arqueas bajo distintas técnicas. Referencia para el nucleoide difuso.</w:t>
            </w:r>
          </w:p>
        </w:tc>
      </w:tr>
    </w:tbl>
    <w:p>
      <w:pPr>
        <w:spacing w:after="80" w:before="80"/>
      </w:pPr>
      <w:r>
        <w:t xml:space="preserve"/>
      </w:r>
    </w:p>
    <w:p>
      <w:pPr>
        <w:pStyle w:val="Heading2"/>
        <w:spacing w:after="110" w:before="300"/>
      </w:pPr>
      <w:r>
        <w:rPr>
          <w:rFonts w:ascii="Arial" w:cs="Arial" w:eastAsia="Arial" w:hAnsi="Arial"/>
          <w:b/>
          <w:bCs/>
          <w:color w:val="2471A3"/>
          <w:sz w:val="28"/>
          <w:szCs w:val="28"/>
        </w:rPr>
        <w:t xml:space="preserve">2.3 Interior Eucariota — Ilustración 3D Organizada</w:t>
      </w:r>
    </w:p>
    <w:p>
      <w:pPr>
        <w:shd w:fill="1A5632" w:val="clear"/>
        <w:spacing w:after="70" w:before="220"/>
      </w:pPr>
      <w:r>
        <w:rPr>
          <w:rFonts w:ascii="Arial" w:cs="Arial" w:eastAsia="Arial" w:hAnsi="Arial"/>
          <w:b/>
          <w:bCs/>
          <w:color w:val="FFFFFF"/>
          <w:sz w:val="24"/>
          <w:szCs w:val="24"/>
        </w:rPr>
        <w:t xml:space="preserve">  REFERENTES EXCLUSIVOS DEL DOMINIO EUCARIOTA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rPr>
          <w:tblHeader/>
        </w:trPr>
        <w:tc>
          <w:tcPr>
            <w:tcW w:type="dxa" w:w="2200"/>
            <w:gridSpan w:val="1"/>
            <w:tcBorders>
              <w:top w:val="single" w:color="BDC3C7" w:sz="1"/>
              <w:left w:val="single" w:color="BDC3C7" w:sz="1"/>
              <w:bottom w:val="single" w:color="BDC3C7" w:sz="1"/>
              <w:right w:val="single" w:color="BDC3C7" w:sz="1"/>
            </w:tcBorders>
            <w:shd w:fill="1E8449" w:val="clear"/>
            <w:tcMar>
              <w:top w:type="dxa" w:w="70"/>
              <w:left w:type="dxa" w:w="130"/>
              <w:bottom w:type="dxa" w:w="70"/>
              <w:right w:type="dxa" w:w="130"/>
            </w:tcMar>
            <w:vAlign w:val="center"/>
          </w:tcPr>
          <w:p>
            <w:r>
              <w:rPr>
                <w:rFonts w:ascii="Arial" w:cs="Arial" w:eastAsia="Arial" w:hAnsi="Arial"/>
                <w:b/>
                <w:bCs/>
                <w:color w:val="FFFFFF"/>
                <w:sz w:val="20"/>
                <w:szCs w:val="20"/>
              </w:rPr>
              <w:t xml:space="preserve">ARTISTA / FUENTE</w:t>
            </w:r>
          </w:p>
        </w:tc>
        <w:tc>
          <w:tcPr>
            <w:tcW w:type="dxa" w:w="1600"/>
            <w:gridSpan w:val="1"/>
            <w:tcBorders>
              <w:top w:val="single" w:color="BDC3C7" w:sz="1"/>
              <w:left w:val="single" w:color="BDC3C7" w:sz="1"/>
              <w:bottom w:val="single" w:color="BDC3C7" w:sz="1"/>
              <w:right w:val="single" w:color="BDC3C7" w:sz="1"/>
            </w:tcBorders>
            <w:shd w:fill="1E8449" w:val="clear"/>
            <w:tcMar>
              <w:top w:type="dxa" w:w="70"/>
              <w:left w:type="dxa" w:w="130"/>
              <w:bottom w:type="dxa" w:w="70"/>
              <w:right w:type="dxa" w:w="130"/>
            </w:tcMar>
            <w:vAlign w:val="center"/>
          </w:tcPr>
          <w:p>
            <w:r>
              <w:rPr>
                <w:rFonts w:ascii="Arial" w:cs="Arial" w:eastAsia="Arial" w:hAnsi="Arial"/>
                <w:b/>
                <w:bCs/>
                <w:color w:val="FFFFFF"/>
                <w:sz w:val="20"/>
                <w:szCs w:val="20"/>
              </w:rPr>
              <w:t xml:space="preserve">MEDIO</w:t>
            </w:r>
          </w:p>
        </w:tc>
        <w:tc>
          <w:tcPr>
            <w:tcW w:type="dxa" w:w="2000"/>
            <w:gridSpan w:val="1"/>
            <w:tcBorders>
              <w:top w:val="single" w:color="BDC3C7" w:sz="1"/>
              <w:left w:val="single" w:color="BDC3C7" w:sz="1"/>
              <w:bottom w:val="single" w:color="BDC3C7" w:sz="1"/>
              <w:right w:val="single" w:color="BDC3C7" w:sz="1"/>
            </w:tcBorders>
            <w:shd w:fill="1E8449" w:val="clear"/>
            <w:tcMar>
              <w:top w:type="dxa" w:w="70"/>
              <w:left w:type="dxa" w:w="130"/>
              <w:bottom w:type="dxa" w:w="70"/>
              <w:right w:type="dxa" w:w="130"/>
            </w:tcMar>
            <w:vAlign w:val="center"/>
          </w:tcPr>
          <w:p>
            <w:r>
              <w:rPr>
                <w:rFonts w:ascii="Arial" w:cs="Arial" w:eastAsia="Arial" w:hAnsi="Arial"/>
                <w:b/>
                <w:bCs/>
                <w:color w:val="FFFFFF"/>
                <w:sz w:val="20"/>
                <w:szCs w:val="20"/>
              </w:rPr>
              <w:t xml:space="preserve">DÓNDE</w:t>
            </w:r>
          </w:p>
        </w:tc>
        <w:tc>
          <w:tcPr>
            <w:tcW w:type="dxa" w:w="3560"/>
            <w:gridSpan w:val="1"/>
            <w:tcBorders>
              <w:top w:val="single" w:color="BDC3C7" w:sz="1"/>
              <w:left w:val="single" w:color="BDC3C7" w:sz="1"/>
              <w:bottom w:val="single" w:color="BDC3C7" w:sz="1"/>
              <w:right w:val="single" w:color="BDC3C7" w:sz="1"/>
            </w:tcBorders>
            <w:shd w:fill="1E8449" w:val="clear"/>
            <w:tcMar>
              <w:top w:type="dxa" w:w="70"/>
              <w:left w:type="dxa" w:w="130"/>
              <w:bottom w:type="dxa" w:w="70"/>
              <w:right w:type="dxa" w:w="130"/>
            </w:tcMar>
            <w:vAlign w:val="center"/>
          </w:tcPr>
          <w:p>
            <w:r>
              <w:rPr>
                <w:rFonts w:ascii="Arial" w:cs="Arial" w:eastAsia="Arial" w:hAnsi="Arial"/>
                <w:b/>
                <w:bCs/>
                <w:color w:val="FFFFFF"/>
                <w:sz w:val="20"/>
                <w:szCs w:val="20"/>
              </w:rPr>
              <w:t xml:space="preserve">QUÉ APORTA</w:t>
            </w:r>
          </w:p>
        </w:tc>
      </w:tr>
      <w:tr>
        <w:tc>
          <w:tcPr>
            <w:tcW w:type="dxa" w:w="22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Julien Tromeur</w:t>
            </w:r>
          </w:p>
        </w:tc>
        <w:tc>
          <w:tcPr>
            <w:tcW w:type="dxa" w:w="16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Ilustración 3D científica</w:t>
            </w:r>
          </w:p>
        </w:tc>
        <w:tc>
          <w:tcPr>
            <w:tcW w:type="dxa" w:w="20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dreamstime.com</w:t>
            </w:r>
          </w:p>
        </w:tc>
        <w:tc>
          <w:tcPr>
            <w:tcW w:type="dxa" w:w="35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EL referente del interior eucariota. Sus células eucariotas son exactamente el nivel de detalle y color que define el panel interior. Mitocondrias, núcleos y retículos son el canon visual.</w:t>
            </w:r>
          </w:p>
        </w:tc>
      </w:tr>
      <w:tr>
        <w:tc>
          <w:tcPr>
            <w:tcW w:type="dxa" w:w="22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Henning Dalhoff</w:t>
            </w:r>
          </w:p>
        </w:tc>
        <w:tc>
          <w:tcPr>
            <w:tcW w:type="dxa" w:w="16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Ilustración científica</w:t>
            </w:r>
          </w:p>
        </w:tc>
        <w:tc>
          <w:tcPr>
            <w:tcW w:type="dxa" w:w="20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Science Source</w:t>
            </w:r>
          </w:p>
        </w:tc>
        <w:tc>
          <w:tcPr>
            <w:tcW w:type="dxa" w:w="35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Protocélula artwork — la referencia de la bicapa lipídica como esfera de fosfolípidos individuales.</w:t>
            </w:r>
          </w:p>
        </w:tc>
      </w:tr>
      <w:tr>
        <w:tc>
          <w:tcPr>
            <w:tcW w:type="dxa" w:w="22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Drew Berry</w:t>
            </w:r>
          </w:p>
        </w:tc>
        <w:tc>
          <w:tcPr>
            <w:tcW w:type="dxa" w:w="16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Animación molecular</w:t>
            </w:r>
          </w:p>
        </w:tc>
        <w:tc>
          <w:tcPr>
            <w:tcW w:type="dxa" w:w="20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WEHI / YouTube</w:t>
            </w:r>
          </w:p>
        </w:tc>
        <w:tc>
          <w:tcPr>
            <w:tcW w:type="dxa" w:w="35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Sus animaciones de plegamiento de proteínas y síntesis son la referencia para las animaciones del interior eucariota.</w:t>
            </w:r>
          </w:p>
        </w:tc>
      </w:tr>
      <w:tr>
        <w:tc>
          <w:tcPr>
            <w:tcW w:type="dxa" w:w="22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Janet Iwasa</w:t>
            </w:r>
          </w:p>
        </w:tc>
        <w:tc>
          <w:tcPr>
            <w:tcW w:type="dxa" w:w="16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Animación científica</w:t>
            </w:r>
          </w:p>
        </w:tc>
        <w:tc>
          <w:tcPr>
            <w:tcW w:type="dxa" w:w="20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University of Utah</w:t>
            </w:r>
          </w:p>
        </w:tc>
        <w:tc>
          <w:tcPr>
            <w:tcW w:type="dxa" w:w="35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Animaciones de procesos celulares eucariotas. Movimientos de orgánulos y vesículas.</w:t>
            </w:r>
          </w:p>
        </w:tc>
      </w:tr>
      <w:tr>
        <w:tc>
          <w:tcPr>
            <w:tcW w:type="dxa" w:w="22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Evan Ingersoll / Gael McGill</w:t>
            </w:r>
          </w:p>
        </w:tc>
        <w:tc>
          <w:tcPr>
            <w:tcW w:type="dxa" w:w="16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Ilustración molecular 3D</w:t>
            </w:r>
          </w:p>
        </w:tc>
        <w:tc>
          <w:tcPr>
            <w:tcW w:type="dxa" w:w="20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digizyme.com</w:t>
            </w:r>
          </w:p>
        </w:tc>
        <w:tc>
          <w:tcPr>
            <w:tcW w:type="dxa" w:w="35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Representaciones híbridas (realismo y diagrama). Nivel de abstracción correcto para el interior.</w:t>
            </w:r>
          </w:p>
        </w:tc>
      </w:tr>
    </w:tbl>
    <w:p>
      <w:pPr>
        <w:spacing w:after="80" w:before="80"/>
      </w:pPr>
      <w:r>
        <w:t xml:space="preserve"/>
      </w:r>
    </w:p>
    <w:p>
      <w:pPr>
        <w:pStyle w:val="Heading2"/>
        <w:spacing w:after="110" w:before="300"/>
      </w:pPr>
      <w:r>
        <w:rPr>
          <w:rFonts w:ascii="Arial" w:cs="Arial" w:eastAsia="Arial" w:hAnsi="Arial"/>
          <w:b/>
          <w:bCs/>
          <w:color w:val="2471A3"/>
          <w:sz w:val="28"/>
          <w:szCs w:val="28"/>
        </w:rPr>
        <w:t xml:space="preserve">2.4 Referentes de Videojuegos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gridSpan w:val="1"/>
            <w:tcBorders>
              <w:top w:val="single" w:color="BDC3C7" w:sz="1"/>
              <w:left w:val="single" w:color="BDC3C7" w:sz="1"/>
              <w:bottom w:val="single" w:color="BDC3C7" w:sz="1"/>
              <w:right w:val="single" w:color="BDC3C7" w:sz="1"/>
            </w:tcBorders>
            <w:shd w:fill="2471A3" w:val="clear"/>
            <w:tcMar>
              <w:top w:type="dxa" w:w="70"/>
              <w:left w:type="dxa" w:w="130"/>
              <w:bottom w:type="dxa" w:w="70"/>
              <w:right w:type="dxa" w:w="130"/>
            </w:tcMar>
            <w:vAlign w:val="center"/>
          </w:tcPr>
          <w:p>
            <w:r>
              <w:rPr>
                <w:rFonts w:ascii="Arial" w:cs="Arial" w:eastAsia="Arial" w:hAnsi="Arial"/>
                <w:b/>
                <w:bCs/>
                <w:color w:val="FFFFFF"/>
                <w:sz w:val="20"/>
                <w:szCs w:val="20"/>
              </w:rPr>
              <w:t xml:space="preserve">JUEGO</w:t>
            </w:r>
          </w:p>
        </w:tc>
        <w:tc>
          <w:tcPr>
            <w:tcW w:type="dxa" w:w="3200"/>
            <w:gridSpan w:val="1"/>
            <w:tcBorders>
              <w:top w:val="single" w:color="BDC3C7" w:sz="1"/>
              <w:left w:val="single" w:color="BDC3C7" w:sz="1"/>
              <w:bottom w:val="single" w:color="BDC3C7" w:sz="1"/>
              <w:right w:val="single" w:color="BDC3C7" w:sz="1"/>
            </w:tcBorders>
            <w:shd w:fill="2471A3" w:val="clear"/>
            <w:tcMar>
              <w:top w:type="dxa" w:w="70"/>
              <w:left w:type="dxa" w:w="130"/>
              <w:bottom w:type="dxa" w:w="70"/>
              <w:right w:type="dxa" w:w="130"/>
            </w:tcMar>
            <w:vAlign w:val="center"/>
          </w:tcPr>
          <w:p>
            <w:r>
              <w:rPr>
                <w:rFonts w:ascii="Arial" w:cs="Arial" w:eastAsia="Arial" w:hAnsi="Arial"/>
                <w:b/>
                <w:bCs/>
                <w:color w:val="FFFFFF"/>
                <w:sz w:val="20"/>
                <w:szCs w:val="20"/>
              </w:rPr>
              <w:t xml:space="preserve">QUÉ TOMAR</w:t>
            </w:r>
          </w:p>
        </w:tc>
        <w:tc>
          <w:tcPr>
            <w:tcW w:type="dxa" w:w="3760"/>
            <w:gridSpan w:val="1"/>
            <w:tcBorders>
              <w:top w:val="single" w:color="BDC3C7" w:sz="1"/>
              <w:left w:val="single" w:color="BDC3C7" w:sz="1"/>
              <w:bottom w:val="single" w:color="BDC3C7" w:sz="1"/>
              <w:right w:val="single" w:color="BDC3C7" w:sz="1"/>
            </w:tcBorders>
            <w:shd w:fill="2471A3" w:val="clear"/>
            <w:tcMar>
              <w:top w:type="dxa" w:w="70"/>
              <w:left w:type="dxa" w:w="130"/>
              <w:bottom w:type="dxa" w:w="70"/>
              <w:right w:type="dxa" w:w="130"/>
            </w:tcMar>
            <w:vAlign w:val="center"/>
          </w:tcPr>
          <w:p>
            <w:r>
              <w:rPr>
                <w:rFonts w:ascii="Arial" w:cs="Arial" w:eastAsia="Arial" w:hAnsi="Arial"/>
                <w:b/>
                <w:bCs/>
                <w:color w:val="FFFFFF"/>
                <w:sz w:val="20"/>
                <w:szCs w:val="20"/>
              </w:rPr>
              <w:t xml:space="preserve">QUÉ NO TOMAR</w:t>
            </w:r>
          </w:p>
        </w:tc>
      </w:tr>
      <w:tr>
        <w:tc>
          <w:tcPr>
            <w:tcW w:type="dxa" w:w="24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Spore (Maxis)</w:t>
            </w:r>
          </w:p>
        </w:tc>
        <w:tc>
          <w:tcPr>
            <w:tcW w:type="dxa" w:w="32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El zoom entre escalas. La sensación de consistencia a distintas magnitudes.</w:t>
            </w:r>
          </w:p>
        </w:tc>
        <w:tc>
          <w:tcPr>
            <w:tcW w:type="dxa" w:w="37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La estética caricaturesca.</w:t>
            </w:r>
          </w:p>
        </w:tc>
      </w:tr>
      <w:tr>
        <w:tc>
          <w:tcPr>
            <w:tcW w:type="dxa" w:w="24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Everything (David OReilly)</w:t>
            </w:r>
          </w:p>
        </w:tc>
        <w:tc>
          <w:tcPr>
            <w:tcW w:type="dxa" w:w="32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La transición de escala como mecanismo central.</w:t>
            </w:r>
          </w:p>
        </w:tc>
        <w:tc>
          <w:tcPr>
            <w:tcW w:type="dxa" w:w="37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La abstracción filosófica.</w:t>
            </w:r>
          </w:p>
        </w:tc>
      </w:tr>
      <w:tr>
        <w:tc>
          <w:tcPr>
            <w:tcW w:type="dxa" w:w="24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Osmos (Hemisphere Games)</w:t>
            </w:r>
          </w:p>
        </w:tc>
        <w:tc>
          <w:tcPr>
            <w:tcW w:type="dxa" w:w="32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El fondo oscuro del espacio-fluido. La física propia de cada célula.</w:t>
            </w:r>
          </w:p>
        </w:tc>
        <w:tc>
          <w:tcPr>
            <w:tcW w:type="dxa" w:w="37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La simplificación geométrica extrema.</w:t>
            </w:r>
          </w:p>
        </w:tc>
      </w:tr>
      <w:tr>
        <w:tc>
          <w:tcPr>
            <w:tcW w:type="dxa" w:w="24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Thrive (Revolutionary Games)</w:t>
            </w:r>
          </w:p>
        </w:tc>
        <w:tc>
          <w:tcPr>
            <w:tcW w:type="dxa" w:w="32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La ambición científica.</w:t>
            </w:r>
          </w:p>
        </w:tc>
        <w:tc>
          <w:tcPr>
            <w:tcW w:type="dxa" w:w="37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Está inacabado — aprender de sus problemas.</w:t>
            </w:r>
          </w:p>
        </w:tc>
      </w:tr>
      <w:tr>
        <w:tc>
          <w:tcPr>
            <w:tcW w:type="dxa" w:w="24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Stellaris (Paradox)</w:t>
            </w:r>
          </w:p>
        </w:tc>
        <w:tc>
          <w:tcPr>
            <w:tcW w:type="dxa" w:w="32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El UI de gestión de entidades complejas.</w:t>
            </w:r>
          </w:p>
        </w:tc>
        <w:tc>
          <w:tcPr>
            <w:tcW w:type="dxa" w:w="37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La escala galáctica.</w:t>
            </w:r>
          </w:p>
        </w:tc>
      </w:tr>
    </w:tbl>
    <w:p>
      <w:pPr>
        <w:spacing w:after="80" w:before="80"/>
      </w:pPr>
      <w:r>
        <w:t xml:space="preserve"/>
      </w:r>
    </w:p>
    <w:p>
      <w:r>
        <w:br w:type="page"/>
      </w:r>
    </w:p>
    <w:p>
      <w:pPr>
        <w:pStyle w:val="Heading1"/>
        <w:pBdr>
          <w:bottom w:val="single" w:color="1B4F72" w:sz="10" w:space="2"/>
        </w:pBdr>
        <w:spacing w:after="180" w:before="460"/>
      </w:pPr>
      <w:r>
        <w:rPr>
          <w:rFonts w:ascii="Arial" w:cs="Arial" w:eastAsia="Arial" w:hAnsi="Arial"/>
          <w:b/>
          <w:bCs/>
          <w:color w:val="1B4F72"/>
          <w:sz w:val="40"/>
          <w:szCs w:val="40"/>
        </w:rPr>
        <w:t xml:space="preserve">3. VISTA EXTERIOR — ESPECIFICACIÓN COMPLETA</w:t>
      </w:r>
    </w:p>
    <w:p>
      <w:pPr>
        <w:pBdr>
          <w:left w:val="single" w:color="2471A3" w:sz="12" w:space="12"/>
        </w:pBdr>
        <w:shd w:fill="F2F3F4" w:val="clear"/>
        <w:spacing w:after="160" w:before="160"/>
        <w:ind w:left="600" w:right="600"/>
      </w:pPr>
      <w:r>
        <w:rPr>
          <w:rFonts w:ascii="Arial" w:cs="Arial" w:eastAsia="Arial" w:hAnsi="Arial"/>
          <w:b/>
          <w:bCs/>
          <w:i/>
          <w:iCs/>
          <w:color w:val="2471A3"/>
          <w:sz w:val="24"/>
          <w:szCs w:val="24"/>
        </w:rPr>
        <w:t xml:space="preserve">"El jugador mira a través del ocular de un microscopio. Lo que ve es real."</w:t>
      </w:r>
    </w:p>
    <w:p>
      <w:pPr>
        <w:spacing w:after="80" w:before="80"/>
      </w:pPr>
      <w:r>
        <w:t xml:space="preserve"/>
      </w:r>
    </w:p>
    <w:p>
      <w:pPr>
        <w:pStyle w:val="Heading2"/>
        <w:spacing w:after="110" w:before="300"/>
      </w:pPr>
      <w:r>
        <w:rPr>
          <w:rFonts w:ascii="Arial" w:cs="Arial" w:eastAsia="Arial" w:hAnsi="Arial"/>
          <w:b/>
          <w:bCs/>
          <w:color w:val="2471A3"/>
          <w:sz w:val="28"/>
          <w:szCs w:val="28"/>
        </w:rPr>
        <w:t xml:space="preserve">3.1 El Agua — Fondo del Mapa</w:t>
      </w:r>
    </w:p>
    <w:p>
      <w:pPr>
        <w:spacing w:after="90" w:before="60"/>
      </w:pPr>
      <w:r>
        <w:rPr>
          <w:rFonts w:ascii="Arial" w:cs="Arial" w:eastAsia="Arial" w:hAnsi="Arial"/>
          <w:color w:val="2C3E50"/>
          <w:sz w:val="22"/>
          <w:szCs w:val="22"/>
        </w:rPr>
        <w:t xml:space="preserve">Sin cambios respecto al v2.0. Fondo azul-gris procedural con 3 capas de Perlin noise. Color base #6B8FA3. Partículas en suspensión. Filamentos de algas. DOF en los bordes. Aberración cromática leve.</w:t>
      </w:r>
    </w:p>
    <w:p>
      <w:pPr>
        <w:spacing w:after="80" w:before="80"/>
      </w:pPr>
      <w:r>
        <w:t xml:space="preserve"/>
      </w:r>
    </w:p>
    <w:p>
      <w:pPr>
        <w:pStyle w:val="Heading2"/>
        <w:spacing w:after="110" w:before="300"/>
      </w:pPr>
      <w:r>
        <w:rPr>
          <w:rFonts w:ascii="Arial" w:cs="Arial" w:eastAsia="Arial" w:hAnsi="Arial"/>
          <w:b/>
          <w:bCs/>
          <w:color w:val="2471A3"/>
          <w:sz w:val="28"/>
          <w:szCs w:val="28"/>
        </w:rPr>
        <w:t xml:space="preserve">3.2 La Protocélula LUCA — Visual de Inicio</w:t>
      </w:r>
    </w:p>
    <w:p>
      <w:pPr>
        <w:spacing w:after="90" w:before="60"/>
      </w:pPr>
      <w:r>
        <w:rPr>
          <w:rFonts w:ascii="Arial" w:cs="Arial" w:eastAsia="Arial" w:hAnsi="Arial"/>
          <w:color w:val="2C3E50"/>
          <w:sz w:val="22"/>
          <w:szCs w:val="22"/>
        </w:rPr>
        <w:t xml:space="preserve">Antes de que el jugador elija el gen del Anillo 1, su célula es LUCA — el ancestro común universal. Tiene un visual neutro que no pertenece claramente a ningún dominio: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gridSpan w:val="1"/>
            <w:tcBorders>
              <w:top w:val="single" w:color="BDC3C7" w:sz="1"/>
              <w:left w:val="single" w:color="BDC3C7" w:sz="1"/>
              <w:bottom w:val="single" w:color="BDC3C7" w:sz="1"/>
              <w:right w:val="single" w:color="BDC3C7" w:sz="1"/>
            </w:tcBorders>
            <w:shd w:fill="2471A3" w:val="clear"/>
            <w:tcMar>
              <w:top w:type="dxa" w:w="70"/>
              <w:left w:type="dxa" w:w="130"/>
              <w:bottom w:type="dxa" w:w="70"/>
              <w:right w:type="dxa" w:w="130"/>
            </w:tcMar>
            <w:vAlign w:val="center"/>
          </w:tcPr>
          <w:p>
            <w:r>
              <w:rPr>
                <w:rFonts w:ascii="Arial" w:cs="Arial" w:eastAsia="Arial" w:hAnsi="Arial"/>
                <w:b/>
                <w:bCs/>
                <w:color w:val="FFFFFF"/>
                <w:sz w:val="20"/>
                <w:szCs w:val="20"/>
              </w:rPr>
              <w:t xml:space="preserve">ASPECTO</w:t>
            </w:r>
          </w:p>
        </w:tc>
        <w:tc>
          <w:tcPr>
            <w:tcW w:type="dxa" w:w="6960"/>
            <w:gridSpan w:val="1"/>
            <w:tcBorders>
              <w:top w:val="single" w:color="BDC3C7" w:sz="1"/>
              <w:left w:val="single" w:color="BDC3C7" w:sz="1"/>
              <w:bottom w:val="single" w:color="BDC3C7" w:sz="1"/>
              <w:right w:val="single" w:color="BDC3C7" w:sz="1"/>
            </w:tcBorders>
            <w:shd w:fill="2471A3" w:val="clear"/>
            <w:tcMar>
              <w:top w:type="dxa" w:w="70"/>
              <w:left w:type="dxa" w:w="130"/>
              <w:bottom w:type="dxa" w:w="70"/>
              <w:right w:type="dxa" w:w="130"/>
            </w:tcMar>
            <w:vAlign w:val="center"/>
          </w:tcPr>
          <w:p>
            <w:r>
              <w:rPr>
                <w:rFonts w:ascii="Arial" w:cs="Arial" w:eastAsia="Arial" w:hAnsi="Arial"/>
                <w:b/>
                <w:bCs/>
                <w:color w:val="FFFFFF"/>
                <w:sz w:val="20"/>
                <w:szCs w:val="20"/>
              </w:rPr>
              <w:t xml:space="preserve">ESPECIFICACIÓN VISUAL DE LUCA</w:t>
            </w:r>
          </w:p>
        </w:tc>
      </w:tr>
      <w:tr>
        <w:tc>
          <w:tcPr>
            <w:tcW w:type="dxa" w:w="24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Color base</w:t>
            </w:r>
          </w:p>
        </w:tc>
        <w:tc>
          <w:tcPr>
            <w:tcW w:type="dxa" w:w="69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#A8C5D4 — azul-gris muy desaturado. Sin el tinte fuerte de ningún dominio.</w:t>
            </w:r>
          </w:p>
        </w:tc>
      </w:tr>
      <w:tr>
        <w:tc>
          <w:tcPr>
            <w:tcW w:type="dxa" w:w="24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Membrana</w:t>
            </w:r>
          </w:p>
        </w:tc>
        <w:tc>
          <w:tcPr>
            <w:tcW w:type="dxa" w:w="69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Contorno irregular, 1.5px, alpha 0.75. Más translúcida que las especializadas — como algo aún sin definir.</w:t>
            </w:r>
          </w:p>
        </w:tc>
      </w:tr>
      <w:tr>
        <w:tc>
          <w:tcPr>
            <w:tcW w:type="dxa" w:w="24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Interior</w:t>
            </w:r>
          </w:p>
        </w:tc>
        <w:tc>
          <w:tcPr>
            <w:tcW w:type="dxa" w:w="69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Uniforme, sin manchas de color distinguibles todavía.</w:t>
            </w:r>
          </w:p>
        </w:tc>
      </w:tr>
      <w:tr>
        <w:tc>
          <w:tcPr>
            <w:tcW w:type="dxa" w:w="24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Sin apéndices</w:t>
            </w:r>
          </w:p>
        </w:tc>
        <w:tc>
          <w:tcPr>
            <w:tcW w:type="dxa" w:w="69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LUCA no tiene flagelo, cilios, ni ninguna estructura de identidad visible.</w:t>
            </w:r>
          </w:p>
        </w:tc>
      </w:tr>
      <w:tr>
        <w:tc>
          <w:tcPr>
            <w:tcW w:type="dxa" w:w="24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Pulso idle</w:t>
            </w:r>
          </w:p>
        </w:tc>
        <w:tc>
          <w:tcPr>
            <w:tcW w:type="dxa" w:w="69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El mismo micro-pulso de 2.5s que todas las células. La vida existe pero no tiene forma todavía.</w:t>
            </w:r>
          </w:p>
        </w:tc>
      </w:tr>
    </w:tbl>
    <w:p>
      <w:pPr>
        <w:spacing w:after="80" w:before="80"/>
      </w:pPr>
      <w:r>
        <w:t xml:space="preserve"/>
      </w:r>
    </w:p>
    <w:p>
      <w:pPr>
        <w:pStyle w:val="Heading2"/>
        <w:spacing w:after="110" w:before="300"/>
      </w:pPr>
      <w:r>
        <w:rPr>
          <w:rFonts w:ascii="Arial" w:cs="Arial" w:eastAsia="Arial" w:hAnsi="Arial"/>
          <w:b/>
          <w:bCs/>
          <w:color w:val="2471A3"/>
          <w:sz w:val="28"/>
          <w:szCs w:val="28"/>
        </w:rPr>
        <w:t xml:space="preserve">3.3 Células Procariotas en el Exterior</w:t>
      </w:r>
    </w:p>
    <w:p>
      <w:pPr>
        <w:shd w:fill="1B4F72" w:val="clear"/>
        <w:spacing w:after="70" w:before="220"/>
      </w:pPr>
      <w:r>
        <w:rPr>
          <w:rFonts w:ascii="Arial" w:cs="Arial" w:eastAsia="Arial" w:hAnsi="Arial"/>
          <w:b/>
          <w:bCs/>
          <w:color w:val="FFFFFF"/>
          <w:sz w:val="24"/>
          <w:szCs w:val="24"/>
        </w:rPr>
        <w:t xml:space="preserve">  DOMINIO PROCARIOTA — VISUAL EN EL MAPA  </w:t>
      </w:r>
    </w:p>
    <w:p>
      <w:pPr>
        <w:spacing w:after="80" w:before="80"/>
      </w:pPr>
      <w:r>
        <w:t xml:space="preserve"/>
      </w:r>
    </w:p>
    <w:p>
      <w:pPr>
        <w:spacing w:after="90" w:before="60"/>
      </w:pPr>
      <w:r>
        <w:rPr>
          <w:rFonts w:ascii="Arial" w:cs="Arial" w:eastAsia="Arial" w:hAnsi="Arial"/>
          <w:color w:val="2C3E50"/>
          <w:sz w:val="22"/>
          <w:szCs w:val="22"/>
        </w:rPr>
        <w:t xml:space="preserve">Los procariotas son más pequeños (WorldSize 0.005-0.010u para Bacteria y Arquea). Su membrana es más opaca y definida que los eucariotas — la pared celular les da rigidez visual. No tienen la suavidad orgánica de las eucariotas.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gridSpan w:val="1"/>
            <w:tcBorders>
              <w:top w:val="single" w:color="BDC3C7" w:sz="1"/>
              <w:left w:val="single" w:color="BDC3C7" w:sz="1"/>
              <w:bottom w:val="single" w:color="BDC3C7" w:sz="1"/>
              <w:right w:val="single" w:color="BDC3C7" w:sz="1"/>
            </w:tcBorders>
            <w:shd w:fill="2471A3" w:val="clear"/>
            <w:tcMar>
              <w:top w:type="dxa" w:w="70"/>
              <w:left w:type="dxa" w:w="130"/>
              <w:bottom w:type="dxa" w:w="70"/>
              <w:right w:type="dxa" w:w="130"/>
            </w:tcMar>
            <w:vAlign w:val="center"/>
          </w:tcPr>
          <w:p>
            <w:r>
              <w:rPr>
                <w:rFonts w:ascii="Arial" w:cs="Arial" w:eastAsia="Arial" w:hAnsi="Arial"/>
                <w:b/>
                <w:bCs/>
                <w:color w:val="FFFFFF"/>
                <w:sz w:val="20"/>
                <w:szCs w:val="20"/>
              </w:rPr>
              <w:t xml:space="preserve">ESTRUCTURA INSTALADA</w:t>
            </w:r>
          </w:p>
        </w:tc>
        <w:tc>
          <w:tcPr>
            <w:tcW w:type="dxa" w:w="6960"/>
            <w:gridSpan w:val="1"/>
            <w:tcBorders>
              <w:top w:val="single" w:color="BDC3C7" w:sz="1"/>
              <w:left w:val="single" w:color="BDC3C7" w:sz="1"/>
              <w:bottom w:val="single" w:color="BDC3C7" w:sz="1"/>
              <w:right w:val="single" w:color="BDC3C7" w:sz="1"/>
            </w:tcBorders>
            <w:shd w:fill="2471A3" w:val="clear"/>
            <w:tcMar>
              <w:top w:type="dxa" w:w="70"/>
              <w:left w:type="dxa" w:w="130"/>
              <w:bottom w:type="dxa" w:w="70"/>
              <w:right w:type="dxa" w:w="130"/>
            </w:tcMar>
            <w:vAlign w:val="center"/>
          </w:tcPr>
          <w:p>
            <w:r>
              <w:rPr>
                <w:rFonts w:ascii="Arial" w:cs="Arial" w:eastAsia="Arial" w:hAnsi="Arial"/>
                <w:b/>
                <w:bCs/>
                <w:color w:val="FFFFFF"/>
                <w:sz w:val="20"/>
                <w:szCs w:val="20"/>
              </w:rPr>
              <w:t xml:space="preserve">CAMBIO VISUAL EN EL MAPA EXTERIOR</w:t>
            </w:r>
          </w:p>
        </w:tc>
      </w:tr>
      <w:tr>
        <w:tc>
          <w:tcPr>
            <w:tcW w:type="dxa" w:w="24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Flagelo bacteriano</w:t>
            </w:r>
          </w:p>
        </w:tc>
        <w:tc>
          <w:tcPr>
            <w:tcW w:type="dxa" w:w="69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Filamento rígido que ROTA helicoidalmente (no ondula como el eucariota). Longitud 0.8u. Grosor 0.5px. Emerge de un polo de la célula. La rotación es visible como un movimiento de tornillo. Referencia: imágenes de E. coli bajo microscopía de fluorescencia.</w:t>
            </w:r>
          </w:p>
        </w:tc>
      </w:tr>
      <w:tr>
        <w:tc>
          <w:tcPr>
            <w:tcW w:type="dxa" w:w="24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Pared de peptidoglicano</w:t>
            </w:r>
          </w:p>
        </w:tc>
        <w:tc>
          <w:tcPr>
            <w:tcW w:type="dxa" w:w="69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La membrana se vuelve notoriamente más opaca (alpha de 0.60 a 0.85). El contorno es más rígido — menos variación de Perlin noise. La célula parece más 'sólida' y menos orgánica que una eucariota.</w:t>
            </w:r>
          </w:p>
        </w:tc>
      </w:tr>
      <w:tr>
        <w:tc>
          <w:tcPr>
            <w:tcW w:type="dxa" w:w="24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Plásmido conjugativo</w:t>
            </w:r>
          </w:p>
        </w:tc>
        <w:tc>
          <w:tcPr>
            <w:tcW w:type="dxa" w:w="69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Cuando está en contacto con otra bacteria aliada: una línea delgada (#A8D8EA, 0.5px, alpha 0.4) conecta las dos células brevemente (2-3 segundos). Como un puente de conjugación. Referencia: imágenes de conjugación bacteriana.</w:t>
            </w:r>
          </w:p>
        </w:tc>
      </w:tr>
      <w:tr>
        <w:tc>
          <w:tcPr>
            <w:tcW w:type="dxa" w:w="24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Cápsula</w:t>
            </w:r>
          </w:p>
        </w:tc>
        <w:tc>
          <w:tcPr>
            <w:tcW w:type="dxa" w:w="69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Un halo muy sutil (radio 1.2× el cuerpo de la célula) de color del dominio con alpha 0.15 rodea permanentemente la célula. No es un borde — es una nube difusa. Indica que hay material extracelular protector.</w:t>
            </w:r>
          </w:p>
        </w:tc>
      </w:tr>
      <w:tr>
        <w:tc>
          <w:tcPr>
            <w:tcW w:type="dxa" w:w="24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Fimbrias</w:t>
            </w:r>
          </w:p>
        </w:tc>
        <w:tc>
          <w:tcPr>
            <w:tcW w:type="dxa" w:w="69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10-15 filamentos muy cortos (0.15u, 0.3px) distribuidos en el perímetro. No se mueven — son estáticos, como cerdas. Distintos a los cilios (que se mueven) y al flagelo (que es más largo y propulsivo).</w:t>
            </w:r>
          </w:p>
        </w:tc>
      </w:tr>
      <w:tr>
        <w:tc>
          <w:tcPr>
            <w:tcW w:type="dxa" w:w="24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Tilacoide (cianobacteria)</w:t>
            </w:r>
          </w:p>
        </w:tc>
        <w:tc>
          <w:tcPr>
            <w:tcW w:type="dxa" w:w="69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El interior de la célula adquiere una textura verde más saturada visible a través de la membrana. A diferencia del cloroplasto eucariota, no hay un orgánulo oval — toda la membrana interna está impregnada del color de la clorofila.</w:t>
            </w:r>
          </w:p>
        </w:tc>
      </w:tr>
    </w:tbl>
    <w:p>
      <w:pPr>
        <w:spacing w:after="80" w:before="80"/>
      </w:pPr>
      <w:r>
        <w:t xml:space="preserve"/>
      </w:r>
    </w:p>
    <w:p>
      <w:pPr>
        <w:pStyle w:val="Heading2"/>
        <w:spacing w:after="110" w:before="300"/>
      </w:pPr>
      <w:r>
        <w:rPr>
          <w:rFonts w:ascii="Arial" w:cs="Arial" w:eastAsia="Arial" w:hAnsi="Arial"/>
          <w:b/>
          <w:bCs/>
          <w:color w:val="2471A3"/>
          <w:sz w:val="28"/>
          <w:szCs w:val="28"/>
        </w:rPr>
        <w:t xml:space="preserve">3.4 Células Eucariotas en el Exterior</w:t>
      </w:r>
    </w:p>
    <w:p>
      <w:pPr>
        <w:shd w:fill="1A5632" w:val="clear"/>
        <w:spacing w:after="70" w:before="220"/>
      </w:pPr>
      <w:r>
        <w:rPr>
          <w:rFonts w:ascii="Arial" w:cs="Arial" w:eastAsia="Arial" w:hAnsi="Arial"/>
          <w:b/>
          <w:bCs/>
          <w:color w:val="FFFFFF"/>
          <w:sz w:val="24"/>
          <w:szCs w:val="24"/>
        </w:rPr>
        <w:t xml:space="preserve">  DOMINIO EUCARIOTA — VISUAL EN EL MAPA  </w:t>
      </w:r>
    </w:p>
    <w:p>
      <w:pPr>
        <w:spacing w:after="80" w:before="80"/>
      </w:pPr>
      <w:r>
        <w:t xml:space="preserve"/>
      </w:r>
    </w:p>
    <w:p>
      <w:pPr>
        <w:spacing w:after="90" w:before="60"/>
      </w:pPr>
      <w:r>
        <w:rPr>
          <w:rFonts w:ascii="Arial" w:cs="Arial" w:eastAsia="Arial" w:hAnsi="Arial"/>
          <w:color w:val="2C3E50"/>
          <w:sz w:val="22"/>
          <w:szCs w:val="22"/>
        </w:rPr>
        <w:t xml:space="preserve">Los eucariotas son más grandes (WorldSize 0.050-0.300u según la especialización). Su membrana es más suave y orgánica. El interior tiene más variedad de manchas de color — los orgánulos membranosos son visibles como puntos de color más saturado a través de la translucencia.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gridSpan w:val="1"/>
            <w:tcBorders>
              <w:top w:val="single" w:color="BDC3C7" w:sz="1"/>
              <w:left w:val="single" w:color="BDC3C7" w:sz="1"/>
              <w:bottom w:val="single" w:color="BDC3C7" w:sz="1"/>
              <w:right w:val="single" w:color="BDC3C7" w:sz="1"/>
            </w:tcBorders>
            <w:shd w:fill="1E8449" w:val="clear"/>
            <w:tcMar>
              <w:top w:type="dxa" w:w="70"/>
              <w:left w:type="dxa" w:w="130"/>
              <w:bottom w:type="dxa" w:w="70"/>
              <w:right w:type="dxa" w:w="130"/>
            </w:tcMar>
            <w:vAlign w:val="center"/>
          </w:tcPr>
          <w:p>
            <w:r>
              <w:rPr>
                <w:rFonts w:ascii="Arial" w:cs="Arial" w:eastAsia="Arial" w:hAnsi="Arial"/>
                <w:b/>
                <w:bCs/>
                <w:color w:val="FFFFFF"/>
                <w:sz w:val="20"/>
                <w:szCs w:val="20"/>
              </w:rPr>
              <w:t xml:space="preserve">ESTRUCTURA INSTALADA</w:t>
            </w:r>
          </w:p>
        </w:tc>
        <w:tc>
          <w:tcPr>
            <w:tcW w:type="dxa" w:w="6960"/>
            <w:gridSpan w:val="1"/>
            <w:tcBorders>
              <w:top w:val="single" w:color="BDC3C7" w:sz="1"/>
              <w:left w:val="single" w:color="BDC3C7" w:sz="1"/>
              <w:bottom w:val="single" w:color="BDC3C7" w:sz="1"/>
              <w:right w:val="single" w:color="BDC3C7" w:sz="1"/>
            </w:tcBorders>
            <w:shd w:fill="1E8449" w:val="clear"/>
            <w:tcMar>
              <w:top w:type="dxa" w:w="70"/>
              <w:left w:type="dxa" w:w="130"/>
              <w:bottom w:type="dxa" w:w="70"/>
              <w:right w:type="dxa" w:w="130"/>
            </w:tcMar>
            <w:vAlign w:val="center"/>
          </w:tcPr>
          <w:p>
            <w:r>
              <w:rPr>
                <w:rFonts w:ascii="Arial" w:cs="Arial" w:eastAsia="Arial" w:hAnsi="Arial"/>
                <w:b/>
                <w:bCs/>
                <w:color w:val="FFFFFF"/>
                <w:sz w:val="20"/>
                <w:szCs w:val="20"/>
              </w:rPr>
              <w:t xml:space="preserve">CAMBIO VISUAL EN EL MAPA EXTERIOR</w:t>
            </w:r>
          </w:p>
        </w:tc>
      </w:tr>
      <w:tr>
        <w:tc>
          <w:tcPr>
            <w:tcW w:type="dxa" w:w="24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Flagelo eucariota</w:t>
            </w:r>
          </w:p>
        </w:tc>
        <w:tc>
          <w:tcPr>
            <w:tcW w:type="dxa" w:w="69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Filamento más largo (1.4u) con ONDULACIÓN sinusoidal (no rotación). Emerge de un polo. La onda viaja desde la base hacia la punta. Visualmente más fluido y orgánico que el flagelo bacteriano.</w:t>
            </w:r>
          </w:p>
        </w:tc>
      </w:tr>
      <w:tr>
        <w:tc>
          <w:tcPr>
            <w:tcW w:type="dxa" w:w="24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Lisosoma</w:t>
            </w:r>
          </w:p>
        </w:tc>
        <w:tc>
          <w:tcPr>
            <w:tcW w:type="dxa" w:w="69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3 manchas pequeñas de color violeta oscuro (#6A1B9A, alpha 0.35) en el interior, visibles a través de la membrana en zoom nivel 3.</w:t>
            </w:r>
          </w:p>
        </w:tc>
      </w:tr>
      <w:tr>
        <w:tc>
          <w:tcPr>
            <w:tcW w:type="dxa" w:w="24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Vacuola</w:t>
            </w:r>
          </w:p>
        </w:tc>
        <w:tc>
          <w:tcPr>
            <w:tcW w:type="dxa" w:w="69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Una mancha azul más grande (#1565C0, alpha 0.3) en el interior. Ocupa más espacio que los lisosomas. Visible como un espacio translúcido dentro de la célula.</w:t>
            </w:r>
          </w:p>
        </w:tc>
      </w:tr>
      <w:tr>
        <w:tc>
          <w:tcPr>
            <w:tcW w:type="dxa" w:w="24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Gránulo azurófilo</w:t>
            </w:r>
          </w:p>
        </w:tc>
        <w:tc>
          <w:tcPr>
            <w:tcW w:type="dxa" w:w="69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3-5 manchas rojo-coral (#EF5350, alpha 0.40) en el interior. Visibles claramente a través de la membrana en zoom nivel 3. Tácticamente informativas: el rival sabe que puede explotar.</w:t>
            </w:r>
          </w:p>
        </w:tc>
      </w:tr>
      <w:tr>
        <w:tc>
          <w:tcPr>
            <w:tcW w:type="dxa" w:w="24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Tilacoide (microalga)</w:t>
            </w:r>
          </w:p>
        </w:tc>
        <w:tc>
          <w:tcPr>
            <w:tcW w:type="dxa" w:w="69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El cloroplasto eucariota es un orgánulo oval visible dentro de la célula. Color: #2E7D32 verde bosque. Ocupa aproximadamente 25% del interior visible. Más compacto y definido que el tilacoide cianobacteriano.</w:t>
            </w:r>
          </w:p>
        </w:tc>
      </w:tr>
      <w:tr>
        <w:tc>
          <w:tcPr>
            <w:tcW w:type="dxa" w:w="24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Pared de celulosa</w:t>
            </w:r>
          </w:p>
        </w:tc>
        <w:tc>
          <w:tcPr>
            <w:tcW w:type="dxa" w:w="69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Similar a la pared de peptidoglicano pero con un tinte ligeramente amarillento (#D4A843 muy sutil sobre el color base). Más rígida visualmente que una eucariota sin pared.</w:t>
            </w:r>
          </w:p>
        </w:tc>
      </w:tr>
      <w:tr>
        <w:tc>
          <w:tcPr>
            <w:tcW w:type="dxa" w:w="24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Hifa invasiva</w:t>
            </w:r>
          </w:p>
        </w:tc>
        <w:tc>
          <w:tcPr>
            <w:tcW w:type="dxa" w:w="69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2 LineRenderers que emergen del cuerpo hacia el mapa. Longitud: 1.5u cada uno. Ramificados en la punta (forma de Y). Color del dominio con alpha 0.6. Se animan muy lentamente (0.1Hz) como buscando algo.</w:t>
            </w:r>
          </w:p>
        </w:tc>
      </w:tr>
      <w:tr>
        <w:tc>
          <w:tcPr>
            <w:tcW w:type="dxa" w:w="24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Cilios (Ciliado)</w:t>
            </w:r>
          </w:p>
        </w:tc>
        <w:tc>
          <w:tcPr>
            <w:tcW w:type="dxa" w:w="69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Corona de 24 filamentos cortos (0.25u) en el perímetro. Onda sinusoidal desfasada entre vecinos. Phase offset: i × 0.26 rad. Frecuencia: 2Hz. Referencia: imágenes 15-16 del set de microscopía de jam_and_germs.</w:t>
            </w:r>
          </w:p>
        </w:tc>
      </w:tr>
    </w:tbl>
    <w:p>
      <w:pPr>
        <w:spacing w:after="80" w:before="80"/>
      </w:pPr>
      <w:r>
        <w:t xml:space="preserve"/>
      </w:r>
    </w:p>
    <w:p>
      <w:pPr>
        <w:pStyle w:val="Heading2"/>
        <w:spacing w:after="110" w:before="300"/>
      </w:pPr>
      <w:r>
        <w:rPr>
          <w:rFonts w:ascii="Arial" w:cs="Arial" w:eastAsia="Arial" w:hAnsi="Arial"/>
          <w:b/>
          <w:bCs/>
          <w:color w:val="2471A3"/>
          <w:sz w:val="28"/>
          <w:szCs w:val="28"/>
        </w:rPr>
        <w:t xml:space="preserve">3.5 Paleta de Color por Dominio y Especialización</w:t>
      </w:r>
    </w:p>
    <w:p>
      <w:pPr>
        <w:pStyle w:val="Heading3"/>
        <w:spacing w:after="80" w:before="200"/>
      </w:pPr>
      <w:r>
        <w:rPr>
          <w:rFonts w:ascii="Arial" w:cs="Arial" w:eastAsia="Arial" w:hAnsi="Arial"/>
          <w:b/>
          <w:bCs/>
          <w:color w:val="1E8449"/>
          <w:sz w:val="24"/>
          <w:szCs w:val="24"/>
        </w:rPr>
        <w:t xml:space="preserve">Dominio Procariota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160"/>
        <w:gridCol w:w="1800"/>
        <w:gridCol w:w="1600"/>
        <w:gridCol w:w="4440"/>
      </w:tblGrid>
      <w:tr>
        <w:trPr>
          <w:tblHeader/>
        </w:trPr>
        <w:tc>
          <w:tcPr>
            <w:tcW w:type="dxa" w:w="360"/>
            <w:gridSpan w:val="1"/>
            <w:tcBorders>
              <w:top w:val="single" w:color="BDC3C7" w:sz="1"/>
              <w:left w:val="single" w:color="BDC3C7" w:sz="1"/>
              <w:bottom w:val="single" w:color="BDC3C7" w:sz="1"/>
              <w:right w:val="single" w:color="BDC3C7" w:sz="1"/>
            </w:tcBorders>
            <w:shd w:fill="1B4F72" w:val="clear"/>
            <w:tcMar>
              <w:top w:type="dxa" w:w="70"/>
              <w:left w:type="dxa" w:w="130"/>
              <w:bottom w:type="dxa" w:w="70"/>
              <w:right w:type="dxa" w:w="130"/>
            </w:tcMar>
            <w:vAlign w:val="center"/>
          </w:tcPr>
          <w:p>
            <w:r>
              <w:rPr>
                <w:rFonts w:ascii="Arial" w:cs="Arial" w:eastAsia="Arial" w:hAnsi="Arial"/>
                <w:b/>
                <w:bCs/>
                <w:color w:val="FFFFFF"/>
                <w:sz w:val="20"/>
                <w:szCs w:val="20"/>
              </w:rPr>
              <w:t xml:space="preserve"/>
            </w:r>
          </w:p>
        </w:tc>
        <w:tc>
          <w:tcPr>
            <w:tcW w:type="dxa" w:w="1160"/>
            <w:gridSpan w:val="1"/>
            <w:tcBorders>
              <w:top w:val="single" w:color="BDC3C7" w:sz="1"/>
              <w:left w:val="single" w:color="BDC3C7" w:sz="1"/>
              <w:bottom w:val="single" w:color="BDC3C7" w:sz="1"/>
              <w:right w:val="single" w:color="BDC3C7" w:sz="1"/>
            </w:tcBorders>
            <w:shd w:fill="1B4F72" w:val="clear"/>
            <w:tcMar>
              <w:top w:type="dxa" w:w="70"/>
              <w:left w:type="dxa" w:w="130"/>
              <w:bottom w:type="dxa" w:w="70"/>
              <w:right w:type="dxa" w:w="130"/>
            </w:tcMar>
            <w:vAlign w:val="center"/>
          </w:tcPr>
          <w:p>
            <w:r>
              <w:rPr>
                <w:rFonts w:ascii="Arial" w:cs="Arial" w:eastAsia="Arial" w:hAnsi="Arial"/>
                <w:b/>
                <w:bCs/>
                <w:color w:val="FFFFFF"/>
                <w:sz w:val="20"/>
                <w:szCs w:val="20"/>
              </w:rPr>
              <w:t xml:space="preserve">HEX</w:t>
            </w:r>
          </w:p>
        </w:tc>
        <w:tc>
          <w:tcPr>
            <w:tcW w:type="dxa" w:w="1800"/>
            <w:gridSpan w:val="1"/>
            <w:tcBorders>
              <w:top w:val="single" w:color="BDC3C7" w:sz="1"/>
              <w:left w:val="single" w:color="BDC3C7" w:sz="1"/>
              <w:bottom w:val="single" w:color="BDC3C7" w:sz="1"/>
              <w:right w:val="single" w:color="BDC3C7" w:sz="1"/>
            </w:tcBorders>
            <w:shd w:fill="1B4F72" w:val="clear"/>
            <w:tcMar>
              <w:top w:type="dxa" w:w="70"/>
              <w:left w:type="dxa" w:w="130"/>
              <w:bottom w:type="dxa" w:w="70"/>
              <w:right w:type="dxa" w:w="130"/>
            </w:tcMar>
            <w:vAlign w:val="center"/>
          </w:tcPr>
          <w:p>
            <w:r>
              <w:rPr>
                <w:rFonts w:ascii="Arial" w:cs="Arial" w:eastAsia="Arial" w:hAnsi="Arial"/>
                <w:b/>
                <w:bCs/>
                <w:color w:val="FFFFFF"/>
                <w:sz w:val="20"/>
                <w:szCs w:val="20"/>
              </w:rPr>
              <w:t xml:space="preserve">ESPECIALIZACIÓN</w:t>
            </w:r>
          </w:p>
        </w:tc>
        <w:tc>
          <w:tcPr>
            <w:tcW w:type="dxa" w:w="1600"/>
            <w:gridSpan w:val="1"/>
            <w:tcBorders>
              <w:top w:val="single" w:color="BDC3C7" w:sz="1"/>
              <w:left w:val="single" w:color="BDC3C7" w:sz="1"/>
              <w:bottom w:val="single" w:color="BDC3C7" w:sz="1"/>
              <w:right w:val="single" w:color="BDC3C7" w:sz="1"/>
            </w:tcBorders>
            <w:shd w:fill="1B4F72" w:val="clear"/>
            <w:tcMar>
              <w:top w:type="dxa" w:w="70"/>
              <w:left w:type="dxa" w:w="130"/>
              <w:bottom w:type="dxa" w:w="70"/>
              <w:right w:type="dxa" w:w="130"/>
            </w:tcMar>
            <w:vAlign w:val="center"/>
          </w:tcPr>
          <w:p>
            <w:r>
              <w:rPr>
                <w:rFonts w:ascii="Arial" w:cs="Arial" w:eastAsia="Arial" w:hAnsi="Arial"/>
                <w:b/>
                <w:bCs/>
                <w:color w:val="FFFFFF"/>
                <w:sz w:val="20"/>
                <w:szCs w:val="20"/>
              </w:rPr>
              <w:t xml:space="preserve">TONO</w:t>
            </w:r>
          </w:p>
        </w:tc>
        <w:tc>
          <w:tcPr>
            <w:tcW w:type="dxa" w:w="4440"/>
            <w:gridSpan w:val="1"/>
            <w:tcBorders>
              <w:top w:val="single" w:color="BDC3C7" w:sz="1"/>
              <w:left w:val="single" w:color="BDC3C7" w:sz="1"/>
              <w:bottom w:val="single" w:color="BDC3C7" w:sz="1"/>
              <w:right w:val="single" w:color="BDC3C7" w:sz="1"/>
            </w:tcBorders>
            <w:shd w:fill="1B4F72" w:val="clear"/>
            <w:tcMar>
              <w:top w:type="dxa" w:w="70"/>
              <w:left w:type="dxa" w:w="130"/>
              <w:bottom w:type="dxa" w:w="70"/>
              <w:right w:type="dxa" w:w="130"/>
            </w:tcMar>
            <w:vAlign w:val="center"/>
          </w:tcPr>
          <w:p>
            <w:r>
              <w:rPr>
                <w:rFonts w:ascii="Arial" w:cs="Arial" w:eastAsia="Arial" w:hAnsi="Arial"/>
                <w:b/>
                <w:bCs/>
                <w:color w:val="FFFFFF"/>
                <w:sz w:val="20"/>
                <w:szCs w:val="20"/>
              </w:rPr>
              <w:t xml:space="preserve">JUSTIFICACIÓN</w:t>
            </w:r>
          </w:p>
        </w:tc>
      </w:tr>
      <w:tr>
        <w:tc>
          <w:tcPr>
            <w:tcW w:type="dxa" w:w="360"/>
            <w:gridSpan w:val="1"/>
            <w:tcBorders>
              <w:top w:val="single" w:color="BDC3C7" w:sz="1"/>
              <w:left w:val="single" w:color="BDC3C7" w:sz="1"/>
              <w:bottom w:val="single" w:color="BDC3C7" w:sz="1"/>
              <w:right w:val="single" w:color="BDC3C7" w:sz="1"/>
            </w:tcBorders>
            <w:shd w:fill="6AB4D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   </w:t>
            </w:r>
          </w:p>
        </w:tc>
        <w:tc>
          <w:tcPr>
            <w:tcW w:type="dxa" w:w="11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bCs/>
                <w:color w:val="000000"/>
                <w:sz w:val="19"/>
                <w:szCs w:val="19"/>
              </w:rPr>
              <w:t xml:space="preserve">#6AB4D4</w:t>
            </w:r>
          </w:p>
        </w:tc>
        <w:tc>
          <w:tcPr>
            <w:tcW w:type="dxa" w:w="18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bCs/>
                <w:color w:val="2C3E50"/>
                <w:sz w:val="20"/>
                <w:szCs w:val="20"/>
              </w:rPr>
              <w:t xml:space="preserve">Bacteria</w:t>
            </w:r>
          </w:p>
        </w:tc>
        <w:tc>
          <w:tcPr>
            <w:tcW w:type="dxa" w:w="16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19"/>
                <w:szCs w:val="19"/>
              </w:rPr>
              <w:t xml:space="preserve">Azul-acero</w:t>
            </w:r>
          </w:p>
        </w:tc>
        <w:tc>
          <w:tcPr>
            <w:tcW w:type="dxa" w:w="444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19"/>
                <w:szCs w:val="19"/>
              </w:rPr>
              <w:t xml:space="preserve">Gram negativo bajo tinción de Wright. Contrasta con el fondo azul-gris.</w:t>
            </w:r>
          </w:p>
        </w:tc>
      </w:tr>
      <w:tr>
        <w:tc>
          <w:tcPr>
            <w:tcW w:type="dxa" w:w="360"/>
            <w:gridSpan w:val="1"/>
            <w:tcBorders>
              <w:top w:val="single" w:color="BDC3C7" w:sz="1"/>
              <w:left w:val="single" w:color="BDC3C7" w:sz="1"/>
              <w:bottom w:val="single" w:color="BDC3C7" w:sz="1"/>
              <w:right w:val="single" w:color="BDC3C7" w:sz="1"/>
            </w:tcBorders>
            <w:shd w:fill="8B6B4A"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   </w:t>
            </w:r>
          </w:p>
        </w:tc>
        <w:tc>
          <w:tcPr>
            <w:tcW w:type="dxa" w:w="11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bCs/>
                <w:color w:val="000000"/>
                <w:sz w:val="19"/>
                <w:szCs w:val="19"/>
              </w:rPr>
              <w:t xml:space="preserve">#8B6B4A</w:t>
            </w:r>
          </w:p>
        </w:tc>
        <w:tc>
          <w:tcPr>
            <w:tcW w:type="dxa" w:w="18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bCs/>
                <w:color w:val="2C3E50"/>
                <w:sz w:val="20"/>
                <w:szCs w:val="20"/>
              </w:rPr>
              <w:t xml:space="preserve">Arquea</w:t>
            </w:r>
          </w:p>
        </w:tc>
        <w:tc>
          <w:tcPr>
            <w:tcW w:type="dxa" w:w="16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19"/>
                <w:szCs w:val="19"/>
              </w:rPr>
              <w:t xml:space="preserve">Marrón-tierra</w:t>
            </w:r>
          </w:p>
        </w:tc>
        <w:tc>
          <w:tcPr>
            <w:tcW w:type="dxa" w:w="444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19"/>
                <w:szCs w:val="19"/>
              </w:rPr>
              <w:t xml:space="preserve">Ambientes termales. Tono antiguo y sólido.</w:t>
            </w:r>
          </w:p>
        </w:tc>
      </w:tr>
      <w:tr>
        <w:tc>
          <w:tcPr>
            <w:tcW w:type="dxa" w:w="360"/>
            <w:gridSpan w:val="1"/>
            <w:tcBorders>
              <w:top w:val="single" w:color="BDC3C7" w:sz="1"/>
              <w:left w:val="single" w:color="BDC3C7" w:sz="1"/>
              <w:bottom w:val="single" w:color="BDC3C7" w:sz="1"/>
              <w:right w:val="single" w:color="BDC3C7" w:sz="1"/>
            </w:tcBorders>
            <w:shd w:fill="4CAF50"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   </w:t>
            </w:r>
          </w:p>
        </w:tc>
        <w:tc>
          <w:tcPr>
            <w:tcW w:type="dxa" w:w="11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bCs/>
                <w:color w:val="000000"/>
                <w:sz w:val="19"/>
                <w:szCs w:val="19"/>
              </w:rPr>
              <w:t xml:space="preserve">#4CAF50</w:t>
            </w:r>
          </w:p>
        </w:tc>
        <w:tc>
          <w:tcPr>
            <w:tcW w:type="dxa" w:w="18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bCs/>
                <w:color w:val="2C3E50"/>
                <w:sz w:val="20"/>
                <w:szCs w:val="20"/>
              </w:rPr>
              <w:t xml:space="preserve">Cianobacteria</w:t>
            </w:r>
          </w:p>
        </w:tc>
        <w:tc>
          <w:tcPr>
            <w:tcW w:type="dxa" w:w="16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19"/>
                <w:szCs w:val="19"/>
              </w:rPr>
              <w:t xml:space="preserve">Verde brillante</w:t>
            </w:r>
          </w:p>
        </w:tc>
        <w:tc>
          <w:tcPr>
            <w:tcW w:type="dxa" w:w="444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19"/>
                <w:szCs w:val="19"/>
              </w:rPr>
              <w:t xml:space="preserve">Clorofila domina su color real. El más distintivo en el mapa azulado.</w:t>
            </w:r>
          </w:p>
        </w:tc>
      </w:tr>
    </w:tbl>
    <w:p>
      <w:pPr>
        <w:spacing w:after="80" w:before="80"/>
      </w:pPr>
      <w:r>
        <w:t xml:space="preserve"/>
      </w:r>
    </w:p>
    <w:p>
      <w:pPr>
        <w:pStyle w:val="Heading3"/>
        <w:spacing w:after="80" w:before="200"/>
      </w:pPr>
      <w:r>
        <w:rPr>
          <w:rFonts w:ascii="Arial" w:cs="Arial" w:eastAsia="Arial" w:hAnsi="Arial"/>
          <w:b/>
          <w:bCs/>
          <w:color w:val="1E8449"/>
          <w:sz w:val="24"/>
          <w:szCs w:val="24"/>
        </w:rPr>
        <w:t xml:space="preserve">Dominio Eucariota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160"/>
        <w:gridCol w:w="1800"/>
        <w:gridCol w:w="1600"/>
        <w:gridCol w:w="4440"/>
      </w:tblGrid>
      <w:tr>
        <w:trPr>
          <w:tblHeader/>
        </w:trPr>
        <w:tc>
          <w:tcPr>
            <w:tcW w:type="dxa" w:w="360"/>
            <w:gridSpan w:val="1"/>
            <w:tcBorders>
              <w:top w:val="single" w:color="BDC3C7" w:sz="1"/>
              <w:left w:val="single" w:color="BDC3C7" w:sz="1"/>
              <w:bottom w:val="single" w:color="BDC3C7" w:sz="1"/>
              <w:right w:val="single" w:color="BDC3C7" w:sz="1"/>
            </w:tcBorders>
            <w:shd w:fill="1E8449" w:val="clear"/>
            <w:tcMar>
              <w:top w:type="dxa" w:w="70"/>
              <w:left w:type="dxa" w:w="130"/>
              <w:bottom w:type="dxa" w:w="70"/>
              <w:right w:type="dxa" w:w="130"/>
            </w:tcMar>
            <w:vAlign w:val="center"/>
          </w:tcPr>
          <w:p>
            <w:r>
              <w:rPr>
                <w:rFonts w:ascii="Arial" w:cs="Arial" w:eastAsia="Arial" w:hAnsi="Arial"/>
                <w:b/>
                <w:bCs/>
                <w:color w:val="FFFFFF"/>
                <w:sz w:val="20"/>
                <w:szCs w:val="20"/>
              </w:rPr>
              <w:t xml:space="preserve"/>
            </w:r>
          </w:p>
        </w:tc>
        <w:tc>
          <w:tcPr>
            <w:tcW w:type="dxa" w:w="1160"/>
            <w:gridSpan w:val="1"/>
            <w:tcBorders>
              <w:top w:val="single" w:color="BDC3C7" w:sz="1"/>
              <w:left w:val="single" w:color="BDC3C7" w:sz="1"/>
              <w:bottom w:val="single" w:color="BDC3C7" w:sz="1"/>
              <w:right w:val="single" w:color="BDC3C7" w:sz="1"/>
            </w:tcBorders>
            <w:shd w:fill="1E8449" w:val="clear"/>
            <w:tcMar>
              <w:top w:type="dxa" w:w="70"/>
              <w:left w:type="dxa" w:w="130"/>
              <w:bottom w:type="dxa" w:w="70"/>
              <w:right w:type="dxa" w:w="130"/>
            </w:tcMar>
            <w:vAlign w:val="center"/>
          </w:tcPr>
          <w:p>
            <w:r>
              <w:rPr>
                <w:rFonts w:ascii="Arial" w:cs="Arial" w:eastAsia="Arial" w:hAnsi="Arial"/>
                <w:b/>
                <w:bCs/>
                <w:color w:val="FFFFFF"/>
                <w:sz w:val="20"/>
                <w:szCs w:val="20"/>
              </w:rPr>
              <w:t xml:space="preserve">HEX</w:t>
            </w:r>
          </w:p>
        </w:tc>
        <w:tc>
          <w:tcPr>
            <w:tcW w:type="dxa" w:w="1800"/>
            <w:gridSpan w:val="1"/>
            <w:tcBorders>
              <w:top w:val="single" w:color="BDC3C7" w:sz="1"/>
              <w:left w:val="single" w:color="BDC3C7" w:sz="1"/>
              <w:bottom w:val="single" w:color="BDC3C7" w:sz="1"/>
              <w:right w:val="single" w:color="BDC3C7" w:sz="1"/>
            </w:tcBorders>
            <w:shd w:fill="1E8449" w:val="clear"/>
            <w:tcMar>
              <w:top w:type="dxa" w:w="70"/>
              <w:left w:type="dxa" w:w="130"/>
              <w:bottom w:type="dxa" w:w="70"/>
              <w:right w:type="dxa" w:w="130"/>
            </w:tcMar>
            <w:vAlign w:val="center"/>
          </w:tcPr>
          <w:p>
            <w:r>
              <w:rPr>
                <w:rFonts w:ascii="Arial" w:cs="Arial" w:eastAsia="Arial" w:hAnsi="Arial"/>
                <w:b/>
                <w:bCs/>
                <w:color w:val="FFFFFF"/>
                <w:sz w:val="20"/>
                <w:szCs w:val="20"/>
              </w:rPr>
              <w:t xml:space="preserve">ESPECIALIZACIÓN</w:t>
            </w:r>
          </w:p>
        </w:tc>
        <w:tc>
          <w:tcPr>
            <w:tcW w:type="dxa" w:w="1600"/>
            <w:gridSpan w:val="1"/>
            <w:tcBorders>
              <w:top w:val="single" w:color="BDC3C7" w:sz="1"/>
              <w:left w:val="single" w:color="BDC3C7" w:sz="1"/>
              <w:bottom w:val="single" w:color="BDC3C7" w:sz="1"/>
              <w:right w:val="single" w:color="BDC3C7" w:sz="1"/>
            </w:tcBorders>
            <w:shd w:fill="1E8449" w:val="clear"/>
            <w:tcMar>
              <w:top w:type="dxa" w:w="70"/>
              <w:left w:type="dxa" w:w="130"/>
              <w:bottom w:type="dxa" w:w="70"/>
              <w:right w:type="dxa" w:w="130"/>
            </w:tcMar>
            <w:vAlign w:val="center"/>
          </w:tcPr>
          <w:p>
            <w:r>
              <w:rPr>
                <w:rFonts w:ascii="Arial" w:cs="Arial" w:eastAsia="Arial" w:hAnsi="Arial"/>
                <w:b/>
                <w:bCs/>
                <w:color w:val="FFFFFF"/>
                <w:sz w:val="20"/>
                <w:szCs w:val="20"/>
              </w:rPr>
              <w:t xml:space="preserve">TONO</w:t>
            </w:r>
          </w:p>
        </w:tc>
        <w:tc>
          <w:tcPr>
            <w:tcW w:type="dxa" w:w="4440"/>
            <w:gridSpan w:val="1"/>
            <w:tcBorders>
              <w:top w:val="single" w:color="BDC3C7" w:sz="1"/>
              <w:left w:val="single" w:color="BDC3C7" w:sz="1"/>
              <w:bottom w:val="single" w:color="BDC3C7" w:sz="1"/>
              <w:right w:val="single" w:color="BDC3C7" w:sz="1"/>
            </w:tcBorders>
            <w:shd w:fill="1E8449" w:val="clear"/>
            <w:tcMar>
              <w:top w:type="dxa" w:w="70"/>
              <w:left w:type="dxa" w:w="130"/>
              <w:bottom w:type="dxa" w:w="70"/>
              <w:right w:type="dxa" w:w="130"/>
            </w:tcMar>
            <w:vAlign w:val="center"/>
          </w:tcPr>
          <w:p>
            <w:r>
              <w:rPr>
                <w:rFonts w:ascii="Arial" w:cs="Arial" w:eastAsia="Arial" w:hAnsi="Arial"/>
                <w:b/>
                <w:bCs/>
                <w:color w:val="FFFFFF"/>
                <w:sz w:val="20"/>
                <w:szCs w:val="20"/>
              </w:rPr>
              <w:t xml:space="preserve">JUSTIFICACIÓN</w:t>
            </w:r>
          </w:p>
        </w:tc>
      </w:tr>
      <w:tr>
        <w:tc>
          <w:tcPr>
            <w:tcW w:type="dxa" w:w="360"/>
            <w:gridSpan w:val="1"/>
            <w:tcBorders>
              <w:top w:val="single" w:color="BDC3C7" w:sz="1"/>
              <w:left w:val="single" w:color="BDC3C7" w:sz="1"/>
              <w:bottom w:val="single" w:color="BDC3C7" w:sz="1"/>
              <w:right w:val="single" w:color="BDC3C7" w:sz="1"/>
            </w:tcBorders>
            <w:shd w:fill="D4A843"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   </w:t>
            </w:r>
          </w:p>
        </w:tc>
        <w:tc>
          <w:tcPr>
            <w:tcW w:type="dxa" w:w="11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bCs/>
                <w:color w:val="000000"/>
                <w:sz w:val="19"/>
                <w:szCs w:val="19"/>
              </w:rPr>
              <w:t xml:space="preserve">#D4A843</w:t>
            </w:r>
          </w:p>
        </w:tc>
        <w:tc>
          <w:tcPr>
            <w:tcW w:type="dxa" w:w="18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bCs/>
                <w:color w:val="2C3E50"/>
                <w:sz w:val="20"/>
                <w:szCs w:val="20"/>
              </w:rPr>
              <w:t xml:space="preserve">Hongo</w:t>
            </w:r>
          </w:p>
        </w:tc>
        <w:tc>
          <w:tcPr>
            <w:tcW w:type="dxa" w:w="16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19"/>
                <w:szCs w:val="19"/>
              </w:rPr>
              <w:t xml:space="preserve">Dorado-ámbar</w:t>
            </w:r>
          </w:p>
        </w:tc>
        <w:tc>
          <w:tcPr>
            <w:tcW w:type="dxa" w:w="444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19"/>
                <w:szCs w:val="19"/>
              </w:rPr>
              <w:t xml:space="preserve">Quitina real. Hifas doradas en campo brillante.</w:t>
            </w:r>
          </w:p>
        </w:tc>
      </w:tr>
      <w:tr>
        <w:tc>
          <w:tcPr>
            <w:tcW w:type="dxa" w:w="360"/>
            <w:gridSpan w:val="1"/>
            <w:tcBorders>
              <w:top w:val="single" w:color="BDC3C7" w:sz="1"/>
              <w:left w:val="single" w:color="BDC3C7" w:sz="1"/>
              <w:bottom w:val="single" w:color="BDC3C7" w:sz="1"/>
              <w:right w:val="single" w:color="BDC3C7" w:sz="1"/>
            </w:tcBorders>
            <w:shd w:fill="D4A8C8"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   </w:t>
            </w:r>
          </w:p>
        </w:tc>
        <w:tc>
          <w:tcPr>
            <w:tcW w:type="dxa" w:w="11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bCs/>
                <w:color w:val="000000"/>
                <w:sz w:val="19"/>
                <w:szCs w:val="19"/>
              </w:rPr>
              <w:t xml:space="preserve">#D4A8C8</w:t>
            </w:r>
          </w:p>
        </w:tc>
        <w:tc>
          <w:tcPr>
            <w:tcW w:type="dxa" w:w="18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bCs/>
                <w:color w:val="2C3E50"/>
                <w:sz w:val="20"/>
                <w:szCs w:val="20"/>
              </w:rPr>
              <w:t xml:space="preserve">Ameba</w:t>
            </w:r>
          </w:p>
        </w:tc>
        <w:tc>
          <w:tcPr>
            <w:tcW w:type="dxa" w:w="16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19"/>
                <w:szCs w:val="19"/>
              </w:rPr>
              <w:t xml:space="preserve">Lila-gris rosáceo</w:t>
            </w:r>
          </w:p>
        </w:tc>
        <w:tc>
          <w:tcPr>
            <w:tcW w:type="dxa" w:w="444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19"/>
                <w:szCs w:val="19"/>
              </w:rPr>
              <w:t xml:space="preserve">Amebas bajo contraste de fase. Referencia: imágenes 3-4 del set.</w:t>
            </w:r>
          </w:p>
        </w:tc>
      </w:tr>
      <w:tr>
        <w:tc>
          <w:tcPr>
            <w:tcW w:type="dxa" w:w="360"/>
            <w:gridSpan w:val="1"/>
            <w:tcBorders>
              <w:top w:val="single" w:color="BDC3C7" w:sz="1"/>
              <w:left w:val="single" w:color="BDC3C7" w:sz="1"/>
              <w:bottom w:val="single" w:color="BDC3C7" w:sz="1"/>
              <w:right w:val="single" w:color="BDC3C7" w:sz="1"/>
            </w:tcBorders>
            <w:shd w:fill="4DB6AC"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   </w:t>
            </w:r>
          </w:p>
        </w:tc>
        <w:tc>
          <w:tcPr>
            <w:tcW w:type="dxa" w:w="11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bCs/>
                <w:color w:val="000000"/>
                <w:sz w:val="19"/>
                <w:szCs w:val="19"/>
              </w:rPr>
              <w:t xml:space="preserve">#4DB6AC</w:t>
            </w:r>
          </w:p>
        </w:tc>
        <w:tc>
          <w:tcPr>
            <w:tcW w:type="dxa" w:w="18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bCs/>
                <w:color w:val="2C3E50"/>
                <w:sz w:val="20"/>
                <w:szCs w:val="20"/>
              </w:rPr>
              <w:t xml:space="preserve">Flagelado</w:t>
            </w:r>
          </w:p>
        </w:tc>
        <w:tc>
          <w:tcPr>
            <w:tcW w:type="dxa" w:w="16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19"/>
                <w:szCs w:val="19"/>
              </w:rPr>
              <w:t xml:space="preserve">Cyan-turquesa</w:t>
            </w:r>
          </w:p>
        </w:tc>
        <w:tc>
          <w:tcPr>
            <w:tcW w:type="dxa" w:w="444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19"/>
                <w:szCs w:val="19"/>
              </w:rPr>
              <w:t xml:space="preserve">Kinetoplasto oscuro contrasta con membrana cyan. Movimiento rápido = color frío.</w:t>
            </w:r>
          </w:p>
        </w:tc>
      </w:tr>
      <w:tr>
        <w:tc>
          <w:tcPr>
            <w:tcW w:type="dxa" w:w="360"/>
            <w:gridSpan w:val="1"/>
            <w:tcBorders>
              <w:top w:val="single" w:color="BDC3C7" w:sz="1"/>
              <w:left w:val="single" w:color="BDC3C7" w:sz="1"/>
              <w:bottom w:val="single" w:color="BDC3C7" w:sz="1"/>
              <w:right w:val="single" w:color="BDC3C7" w:sz="1"/>
            </w:tcBorders>
            <w:shd w:fill="90A4AE"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   </w:t>
            </w:r>
          </w:p>
        </w:tc>
        <w:tc>
          <w:tcPr>
            <w:tcW w:type="dxa" w:w="11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bCs/>
                <w:color w:val="000000"/>
                <w:sz w:val="19"/>
                <w:szCs w:val="19"/>
              </w:rPr>
              <w:t xml:space="preserve">#90A4AE</w:t>
            </w:r>
          </w:p>
        </w:tc>
        <w:tc>
          <w:tcPr>
            <w:tcW w:type="dxa" w:w="18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bCs/>
                <w:color w:val="2C3E50"/>
                <w:sz w:val="20"/>
                <w:szCs w:val="20"/>
              </w:rPr>
              <w:t xml:space="preserve">Ciliado</w:t>
            </w:r>
          </w:p>
        </w:tc>
        <w:tc>
          <w:tcPr>
            <w:tcW w:type="dxa" w:w="16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19"/>
                <w:szCs w:val="19"/>
              </w:rPr>
              <w:t xml:space="preserve">Gris-azul neutro</w:t>
            </w:r>
          </w:p>
        </w:tc>
        <w:tc>
          <w:tcPr>
            <w:tcW w:type="dxa" w:w="444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19"/>
                <w:szCs w:val="19"/>
              </w:rPr>
              <w:t xml:space="preserve">El generalista — color más neutro del set.</w:t>
            </w:r>
          </w:p>
        </w:tc>
      </w:tr>
      <w:tr>
        <w:tc>
          <w:tcPr>
            <w:tcW w:type="dxa" w:w="360"/>
            <w:gridSpan w:val="1"/>
            <w:tcBorders>
              <w:top w:val="single" w:color="BDC3C7" w:sz="1"/>
              <w:left w:val="single" w:color="BDC3C7" w:sz="1"/>
              <w:bottom w:val="single" w:color="BDC3C7" w:sz="1"/>
              <w:right w:val="single" w:color="BDC3C7" w:sz="1"/>
            </w:tcBorders>
            <w:shd w:fill="EF5350"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   </w:t>
            </w:r>
          </w:p>
        </w:tc>
        <w:tc>
          <w:tcPr>
            <w:tcW w:type="dxa" w:w="11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bCs/>
                <w:color w:val="000000"/>
                <w:sz w:val="19"/>
                <w:szCs w:val="19"/>
              </w:rPr>
              <w:t xml:space="preserve">#EF5350</w:t>
            </w:r>
          </w:p>
        </w:tc>
        <w:tc>
          <w:tcPr>
            <w:tcW w:type="dxa" w:w="18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bCs/>
                <w:color w:val="2C3E50"/>
                <w:sz w:val="20"/>
                <w:szCs w:val="20"/>
              </w:rPr>
              <w:t xml:space="preserve">Neutrófilo</w:t>
            </w:r>
          </w:p>
        </w:tc>
        <w:tc>
          <w:tcPr>
            <w:tcW w:type="dxa" w:w="16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19"/>
                <w:szCs w:val="19"/>
              </w:rPr>
              <w:t xml:space="preserve">Rojo-coral</w:t>
            </w:r>
          </w:p>
        </w:tc>
        <w:tc>
          <w:tcPr>
            <w:tcW w:type="dxa" w:w="444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19"/>
                <w:szCs w:val="19"/>
              </w:rPr>
              <w:t xml:space="preserve">Leucocitos bajo tinción de May-Grünwald.</w:t>
            </w:r>
          </w:p>
        </w:tc>
      </w:tr>
      <w:tr>
        <w:tc>
          <w:tcPr>
            <w:tcW w:type="dxa" w:w="360"/>
            <w:gridSpan w:val="1"/>
            <w:tcBorders>
              <w:top w:val="single" w:color="BDC3C7" w:sz="1"/>
              <w:left w:val="single" w:color="BDC3C7" w:sz="1"/>
              <w:bottom w:val="single" w:color="BDC3C7" w:sz="1"/>
              <w:right w:val="single" w:color="BDC3C7" w:sz="1"/>
            </w:tcBorders>
            <w:shd w:fill="FF7043"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   </w:t>
            </w:r>
          </w:p>
        </w:tc>
        <w:tc>
          <w:tcPr>
            <w:tcW w:type="dxa" w:w="11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bCs/>
                <w:color w:val="000000"/>
                <w:sz w:val="19"/>
                <w:szCs w:val="19"/>
              </w:rPr>
              <w:t xml:space="preserve">#FF7043</w:t>
            </w:r>
          </w:p>
        </w:tc>
        <w:tc>
          <w:tcPr>
            <w:tcW w:type="dxa" w:w="18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bCs/>
                <w:color w:val="2C3E50"/>
                <w:sz w:val="20"/>
                <w:szCs w:val="20"/>
              </w:rPr>
              <w:t xml:space="preserve">Macrófago</w:t>
            </w:r>
          </w:p>
        </w:tc>
        <w:tc>
          <w:tcPr>
            <w:tcW w:type="dxa" w:w="16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19"/>
                <w:szCs w:val="19"/>
              </w:rPr>
              <w:t xml:space="preserve">Naranja-rojizo</w:t>
            </w:r>
          </w:p>
        </w:tc>
        <w:tc>
          <w:tcPr>
            <w:tcW w:type="dxa" w:w="444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19"/>
                <w:szCs w:val="19"/>
              </w:rPr>
              <w:t xml:space="preserve">Más grande y naranja que el neutrófilo.</w:t>
            </w:r>
          </w:p>
        </w:tc>
      </w:tr>
      <w:tr>
        <w:tc>
          <w:tcPr>
            <w:tcW w:type="dxa" w:w="360"/>
            <w:gridSpan w:val="1"/>
            <w:tcBorders>
              <w:top w:val="single" w:color="BDC3C7" w:sz="1"/>
              <w:left w:val="single" w:color="BDC3C7" w:sz="1"/>
              <w:bottom w:val="single" w:color="BDC3C7" w:sz="1"/>
              <w:right w:val="single" w:color="BDC3C7" w:sz="1"/>
            </w:tcBorders>
            <w:shd w:fill="AB47BC"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   </w:t>
            </w:r>
          </w:p>
        </w:tc>
        <w:tc>
          <w:tcPr>
            <w:tcW w:type="dxa" w:w="11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bCs/>
                <w:color w:val="000000"/>
                <w:sz w:val="19"/>
                <w:szCs w:val="19"/>
              </w:rPr>
              <w:t xml:space="preserve">#AB47BC</w:t>
            </w:r>
          </w:p>
        </w:tc>
        <w:tc>
          <w:tcPr>
            <w:tcW w:type="dxa" w:w="18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bCs/>
                <w:color w:val="2C3E50"/>
                <w:sz w:val="20"/>
                <w:szCs w:val="20"/>
              </w:rPr>
              <w:t xml:space="preserve">Célula NK</w:t>
            </w:r>
          </w:p>
        </w:tc>
        <w:tc>
          <w:tcPr>
            <w:tcW w:type="dxa" w:w="16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19"/>
                <w:szCs w:val="19"/>
              </w:rPr>
              <w:t xml:space="preserve">Violeta-morado</w:t>
            </w:r>
          </w:p>
        </w:tc>
        <w:tc>
          <w:tcPr>
            <w:tcW w:type="dxa" w:w="444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19"/>
                <w:szCs w:val="19"/>
              </w:rPr>
              <w:t xml:space="preserve">El asesino silencioso tiene el tono más amenazante.</w:t>
            </w:r>
          </w:p>
        </w:tc>
      </w:tr>
      <w:tr>
        <w:tc>
          <w:tcPr>
            <w:tcW w:type="dxa" w:w="360"/>
            <w:gridSpan w:val="1"/>
            <w:tcBorders>
              <w:top w:val="single" w:color="BDC3C7" w:sz="1"/>
              <w:left w:val="single" w:color="BDC3C7" w:sz="1"/>
              <w:bottom w:val="single" w:color="BDC3C7" w:sz="1"/>
              <w:right w:val="single" w:color="BDC3C7" w:sz="1"/>
            </w:tcBorders>
            <w:shd w:fill="42A5F5"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   </w:t>
            </w:r>
          </w:p>
        </w:tc>
        <w:tc>
          <w:tcPr>
            <w:tcW w:type="dxa" w:w="11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bCs/>
                <w:color w:val="000000"/>
                <w:sz w:val="19"/>
                <w:szCs w:val="19"/>
              </w:rPr>
              <w:t xml:space="preserve">#42A5F5</w:t>
            </w:r>
          </w:p>
        </w:tc>
        <w:tc>
          <w:tcPr>
            <w:tcW w:type="dxa" w:w="18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bCs/>
                <w:color w:val="2C3E50"/>
                <w:sz w:val="20"/>
                <w:szCs w:val="20"/>
              </w:rPr>
              <w:t xml:space="preserve">Célula B</w:t>
            </w:r>
          </w:p>
        </w:tc>
        <w:tc>
          <w:tcPr>
            <w:tcW w:type="dxa" w:w="16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19"/>
                <w:szCs w:val="19"/>
              </w:rPr>
              <w:t xml:space="preserve">Azul-royal</w:t>
            </w:r>
          </w:p>
        </w:tc>
        <w:tc>
          <w:tcPr>
            <w:tcW w:type="dxa" w:w="444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19"/>
                <w:szCs w:val="19"/>
              </w:rPr>
              <w:t xml:space="preserve">Anticuerpos en inmunohistoquímica son azules.</w:t>
            </w:r>
          </w:p>
        </w:tc>
      </w:tr>
      <w:tr>
        <w:tc>
          <w:tcPr>
            <w:tcW w:type="dxa" w:w="360"/>
            <w:gridSpan w:val="1"/>
            <w:tcBorders>
              <w:top w:val="single" w:color="BDC3C7" w:sz="1"/>
              <w:left w:val="single" w:color="BDC3C7" w:sz="1"/>
              <w:bottom w:val="single" w:color="BDC3C7" w:sz="1"/>
              <w:right w:val="single" w:color="BDC3C7" w:sz="1"/>
            </w:tcBorders>
            <w:shd w:fill="81C78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   </w:t>
            </w:r>
          </w:p>
        </w:tc>
        <w:tc>
          <w:tcPr>
            <w:tcW w:type="dxa" w:w="11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bCs/>
                <w:color w:val="000000"/>
                <w:sz w:val="19"/>
                <w:szCs w:val="19"/>
              </w:rPr>
              <w:t xml:space="preserve">#81C784</w:t>
            </w:r>
          </w:p>
        </w:tc>
        <w:tc>
          <w:tcPr>
            <w:tcW w:type="dxa" w:w="18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bCs/>
                <w:color w:val="2C3E50"/>
                <w:sz w:val="20"/>
                <w:szCs w:val="20"/>
              </w:rPr>
              <w:t xml:space="preserve">Célula Madre</w:t>
            </w:r>
          </w:p>
        </w:tc>
        <w:tc>
          <w:tcPr>
            <w:tcW w:type="dxa" w:w="16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19"/>
                <w:szCs w:val="19"/>
              </w:rPr>
              <w:t xml:space="preserve">Verde-salvia</w:t>
            </w:r>
          </w:p>
        </w:tc>
        <w:tc>
          <w:tcPr>
            <w:tcW w:type="dxa" w:w="444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19"/>
                <w:szCs w:val="19"/>
              </w:rPr>
              <w:t xml:space="preserve">Potencial latente — no brillante, no neutro.</w:t>
            </w:r>
          </w:p>
        </w:tc>
      </w:tr>
    </w:tbl>
    <w:p>
      <w:pPr>
        <w:spacing w:after="80" w:before="80"/>
      </w:pPr>
      <w:r>
        <w:t xml:space="preserve"/>
      </w:r>
    </w:p>
    <w:p>
      <w:r>
        <w:br w:type="page"/>
      </w:r>
    </w:p>
    <w:p>
      <w:pPr>
        <w:pStyle w:val="Heading1"/>
        <w:pBdr>
          <w:bottom w:val="single" w:color="1B4F72" w:sz="10" w:space="2"/>
        </w:pBdr>
        <w:spacing w:after="180" w:before="460"/>
      </w:pPr>
      <w:r>
        <w:rPr>
          <w:rFonts w:ascii="Arial" w:cs="Arial" w:eastAsia="Arial" w:hAnsi="Arial"/>
          <w:b/>
          <w:bCs/>
          <w:color w:val="1B4F72"/>
          <w:sz w:val="40"/>
          <w:szCs w:val="40"/>
        </w:rPr>
        <w:t xml:space="preserve">4. VISTA INTERIOR — DOMINIO PROCARIOTA</w:t>
      </w:r>
    </w:p>
    <w:p>
      <w:pPr>
        <w:shd w:fill="1B4F72" w:val="clear"/>
        <w:spacing w:after="70" w:before="220"/>
      </w:pPr>
      <w:r>
        <w:rPr>
          <w:rFonts w:ascii="Arial" w:cs="Arial" w:eastAsia="Arial" w:hAnsi="Arial"/>
          <w:b/>
          <w:bCs/>
          <w:color w:val="FFFFFF"/>
          <w:sz w:val="24"/>
          <w:szCs w:val="24"/>
        </w:rPr>
        <w:t xml:space="preserve">  REFERENTE PRINCIPAL: DAVID S. GOODSELL  </w:t>
      </w:r>
    </w:p>
    <w:p>
      <w:pPr>
        <w:pBdr>
          <w:left w:val="single" w:color="2471A3" w:sz="12" w:space="12"/>
        </w:pBdr>
        <w:shd w:fill="F2F3F4" w:val="clear"/>
        <w:spacing w:after="160" w:before="160"/>
        <w:ind w:left="600" w:right="600"/>
      </w:pPr>
      <w:r>
        <w:rPr>
          <w:rFonts w:ascii="Arial" w:cs="Arial" w:eastAsia="Arial" w:hAnsi="Arial"/>
          <w:b/>
          <w:bCs/>
          <w:i/>
          <w:iCs/>
          <w:color w:val="2471A3"/>
          <w:sz w:val="24"/>
          <w:szCs w:val="24"/>
        </w:rPr>
        <w:t xml:space="preserve">"No hay compartimentos. Todo flota. La densidad es la característica."</w:t>
      </w:r>
    </w:p>
    <w:p>
      <w:pPr>
        <w:spacing w:after="80" w:before="80"/>
      </w:pPr>
      <w:r>
        <w:t xml:space="preserve"/>
      </w:r>
    </w:p>
    <w:p>
      <w:pPr>
        <w:spacing w:after="90" w:before="60"/>
      </w:pPr>
      <w:r>
        <w:rPr>
          <w:rFonts w:ascii="Arial" w:cs="Arial" w:eastAsia="Arial" w:hAnsi="Arial"/>
          <w:color w:val="2C3E50"/>
          <w:sz w:val="22"/>
          <w:szCs w:val="22"/>
        </w:rPr>
        <w:t xml:space="preserve">El interior de una célula procariota no se parece en nada al eucariota. No hay núcleo con membrana. No hay mitocondrias como orgánulos separados. No hay retículo endoplásmático. Es un citoplasma denso y caótico donde todo convive sin separación. La referencia es David S. Goodsell — sus pinturas de E. coli son la imagen más precisa de esta realidad.</w:t>
      </w:r>
    </w:p>
    <w:p>
      <w:pPr>
        <w:spacing w:after="80" w:before="80"/>
      </w:pPr>
      <w:r>
        <w:t xml:space="preserve"/>
      </w:r>
    </w:p>
    <w:p>
      <w:pPr>
        <w:pStyle w:val="Heading2"/>
        <w:spacing w:after="110" w:before="300"/>
      </w:pPr>
      <w:r>
        <w:rPr>
          <w:rFonts w:ascii="Arial" w:cs="Arial" w:eastAsia="Arial" w:hAnsi="Arial"/>
          <w:b/>
          <w:bCs/>
          <w:color w:val="2471A3"/>
          <w:sz w:val="28"/>
          <w:szCs w:val="28"/>
        </w:rPr>
        <w:t xml:space="preserve">4.1 El Espacio Interior Procariota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gridSpan w:val="1"/>
            <w:tcBorders>
              <w:top w:val="single" w:color="BDC3C7" w:sz="1"/>
              <w:left w:val="single" w:color="BDC3C7" w:sz="1"/>
              <w:bottom w:val="single" w:color="BDC3C7" w:sz="1"/>
              <w:right w:val="single" w:color="BDC3C7" w:sz="1"/>
            </w:tcBorders>
            <w:shd w:fill="2471A3" w:val="clear"/>
            <w:tcMar>
              <w:top w:type="dxa" w:w="70"/>
              <w:left w:type="dxa" w:w="130"/>
              <w:bottom w:type="dxa" w:w="70"/>
              <w:right w:type="dxa" w:w="130"/>
            </w:tcMar>
            <w:vAlign w:val="center"/>
          </w:tcPr>
          <w:p>
            <w:r>
              <w:rPr>
                <w:rFonts w:ascii="Arial" w:cs="Arial" w:eastAsia="Arial" w:hAnsi="Arial"/>
                <w:b/>
                <w:bCs/>
                <w:color w:val="FFFFFF"/>
                <w:sz w:val="20"/>
                <w:szCs w:val="20"/>
              </w:rPr>
              <w:t xml:space="preserve">ELEMENTO</w:t>
            </w:r>
          </w:p>
        </w:tc>
        <w:tc>
          <w:tcPr>
            <w:tcW w:type="dxa" w:w="6960"/>
            <w:gridSpan w:val="1"/>
            <w:tcBorders>
              <w:top w:val="single" w:color="BDC3C7" w:sz="1"/>
              <w:left w:val="single" w:color="BDC3C7" w:sz="1"/>
              <w:bottom w:val="single" w:color="BDC3C7" w:sz="1"/>
              <w:right w:val="single" w:color="BDC3C7" w:sz="1"/>
            </w:tcBorders>
            <w:shd w:fill="2471A3" w:val="clear"/>
            <w:tcMar>
              <w:top w:type="dxa" w:w="70"/>
              <w:left w:type="dxa" w:w="130"/>
              <w:bottom w:type="dxa" w:w="70"/>
              <w:right w:type="dxa" w:w="130"/>
            </w:tcMar>
            <w:vAlign w:val="center"/>
          </w:tcPr>
          <w:p>
            <w:r>
              <w:rPr>
                <w:rFonts w:ascii="Arial" w:cs="Arial" w:eastAsia="Arial" w:hAnsi="Arial"/>
                <w:b/>
                <w:bCs/>
                <w:color w:val="FFFFFF"/>
                <w:sz w:val="20"/>
                <w:szCs w:val="20"/>
              </w:rPr>
              <w:t xml:space="preserve">ESPECIFICACIÓN</w:t>
            </w:r>
          </w:p>
        </w:tc>
      </w:tr>
      <w:tr>
        <w:tc>
          <w:tcPr>
            <w:tcW w:type="dxa" w:w="24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Fondo del citoplasma</w:t>
            </w:r>
          </w:p>
        </w:tc>
        <w:tc>
          <w:tcPr>
            <w:tcW w:type="dxa" w:w="69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#050A14 — igual que el eucariota. Pero sin gradiente central — más uniforme. La densidad lo ilumina desde adentro igualitariamente.</w:t>
            </w:r>
          </w:p>
        </w:tc>
      </w:tr>
      <w:tr>
        <w:tc>
          <w:tcPr>
            <w:tcW w:type="dxa" w:w="24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Densidad de objetos</w:t>
            </w:r>
          </w:p>
        </w:tc>
        <w:tc>
          <w:tcPr>
            <w:tcW w:type="dxa" w:w="69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MÁXIMA desde el inicio. A diferencia del eucariota que empieza vacío y se llena con orgánulos, el procariota empieza lleno. 80-120 objetos visibles en todo momento. Referencia directa: las pinturas de Goodsell.</w:t>
            </w:r>
          </w:p>
        </w:tc>
      </w:tr>
      <w:tr>
        <w:tc>
          <w:tcPr>
            <w:tcW w:type="dxa" w:w="24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Nucleoide</w:t>
            </w:r>
          </w:p>
        </w:tc>
        <w:tc>
          <w:tcPr>
            <w:tcW w:type="dxa" w:w="69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No hay membrana nuclear. El ADN circular se muestra como una zona difusa de hebras de color #C2185B tenue (alpha 0.5). Sin borde. Sin poros. Solo una nube de material genético flotando libremente en el citoplasma.</w:t>
            </w:r>
          </w:p>
        </w:tc>
      </w:tr>
      <w:tr>
        <w:tc>
          <w:tcPr>
            <w:tcW w:type="dxa" w:w="24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Ribosomas 70S</w:t>
            </w:r>
          </w:p>
        </w:tc>
        <w:tc>
          <w:tcPr>
            <w:tcW w:type="dxa" w:w="69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Puntos muy pequeños (#E65100, radio 0.03u) distribuidos uniformemente por TODO el citoplasma. Son incontables — 200+ visibles. Algunos se agrupan en polisomas (cadenas de 5-8 ribosomas). Referencia: Goodsell.</w:t>
            </w:r>
          </w:p>
        </w:tc>
      </w:tr>
      <w:tr>
        <w:tc>
          <w:tcPr>
            <w:tcW w:type="dxa" w:w="24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Sin citoesqueleto</w:t>
            </w:r>
          </w:p>
        </w:tc>
        <w:tc>
          <w:tcPr>
            <w:tcW w:type="dxa" w:w="69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No hay filamentos de actina ni tubulina en procariotas. El interior no tiene la red de citoesqueleto del eucariota.</w:t>
            </w:r>
          </w:p>
        </w:tc>
      </w:tr>
      <w:tr>
        <w:tc>
          <w:tcPr>
            <w:tcW w:type="dxa" w:w="24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Proteínas de membrana</w:t>
            </w:r>
          </w:p>
        </w:tc>
        <w:tc>
          <w:tcPr>
            <w:tcW w:type="dxa" w:w="69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La membrana plasmática interna tiene engrosamientos regulares — las proteínas de transporte de electrones. Se muestran como pequeñas protuberancias #E65100 (la 'mitocondria' procariota) en el borde interior.</w:t>
            </w:r>
          </w:p>
        </w:tc>
      </w:tr>
      <w:tr>
        <w:tc>
          <w:tcPr>
            <w:tcW w:type="dxa" w:w="24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Movimiento general</w:t>
            </w:r>
          </w:p>
        </w:tc>
        <w:tc>
          <w:tcPr>
            <w:tcW w:type="dxa" w:w="69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Todo el contenido del citoplasma se mueve lentamente con movimiento browniano. No hay organización espacial — todo puede estar en cualquier parte.</w:t>
            </w:r>
          </w:p>
        </w:tc>
      </w:tr>
      <w:tr>
        <w:tc>
          <w:tcPr>
            <w:tcW w:type="dxa" w:w="24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Sin Golgi, sin RE</w:t>
            </w:r>
          </w:p>
        </w:tc>
        <w:tc>
          <w:tcPr>
            <w:tcW w:type="dxa" w:w="69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Estas estructuras no existen en procariotas. Si el jugador tiene 'estructura de síntesis' activa, se muestra como una acumulación de ribosomas en zona específica — no como un orgánulo separado.</w:t>
            </w:r>
          </w:p>
        </w:tc>
      </w:tr>
    </w:tbl>
    <w:p>
      <w:pPr>
        <w:spacing w:after="80" w:before="80"/>
      </w:pPr>
      <w:r>
        <w:t xml:space="preserve"/>
      </w:r>
    </w:p>
    <w:p>
      <w:pPr>
        <w:pStyle w:val="Heading2"/>
        <w:spacing w:after="110" w:before="300"/>
      </w:pPr>
      <w:r>
        <w:rPr>
          <w:rFonts w:ascii="Arial" w:cs="Arial" w:eastAsia="Arial" w:hAnsi="Arial"/>
          <w:b/>
          <w:bCs/>
          <w:color w:val="2471A3"/>
          <w:sz w:val="28"/>
          <w:szCs w:val="28"/>
        </w:rPr>
        <w:t xml:space="preserve">4.2 Las Moléculas Flotando — Procariota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600"/>
        <w:gridCol w:w="5760"/>
      </w:tblGrid>
      <w:tr>
        <w:trPr>
          <w:tblHeader/>
        </w:trPr>
        <w:tc>
          <w:tcPr>
            <w:tcW w:type="dxa" w:w="1500"/>
            <w:gridSpan w:val="1"/>
            <w:tcBorders>
              <w:top w:val="single" w:color="BDC3C7" w:sz="1"/>
              <w:left w:val="single" w:color="BDC3C7" w:sz="1"/>
              <w:bottom w:val="single" w:color="BDC3C7" w:sz="1"/>
              <w:right w:val="single" w:color="BDC3C7" w:sz="1"/>
            </w:tcBorders>
            <w:shd w:fill="2471A3" w:val="clear"/>
            <w:tcMar>
              <w:top w:type="dxa" w:w="70"/>
              <w:left w:type="dxa" w:w="130"/>
              <w:bottom w:type="dxa" w:w="70"/>
              <w:right w:type="dxa" w:w="130"/>
            </w:tcMar>
            <w:vAlign w:val="center"/>
          </w:tcPr>
          <w:p>
            <w:r>
              <w:rPr>
                <w:rFonts w:ascii="Arial" w:cs="Arial" w:eastAsia="Arial" w:hAnsi="Arial"/>
                <w:b/>
                <w:bCs/>
                <w:color w:val="FFFFFF"/>
                <w:sz w:val="20"/>
                <w:szCs w:val="20"/>
              </w:rPr>
              <w:t xml:space="preserve">MOLÉCULA</w:t>
            </w:r>
          </w:p>
        </w:tc>
        <w:tc>
          <w:tcPr>
            <w:tcW w:type="dxa" w:w="1500"/>
            <w:gridSpan w:val="1"/>
            <w:tcBorders>
              <w:top w:val="single" w:color="BDC3C7" w:sz="1"/>
              <w:left w:val="single" w:color="BDC3C7" w:sz="1"/>
              <w:bottom w:val="single" w:color="BDC3C7" w:sz="1"/>
              <w:right w:val="single" w:color="BDC3C7" w:sz="1"/>
            </w:tcBorders>
            <w:shd w:fill="2471A3" w:val="clear"/>
            <w:tcMar>
              <w:top w:type="dxa" w:w="70"/>
              <w:left w:type="dxa" w:w="130"/>
              <w:bottom w:type="dxa" w:w="70"/>
              <w:right w:type="dxa" w:w="130"/>
            </w:tcMar>
            <w:vAlign w:val="center"/>
          </w:tcPr>
          <w:p>
            <w:r>
              <w:rPr>
                <w:rFonts w:ascii="Arial" w:cs="Arial" w:eastAsia="Arial" w:hAnsi="Arial"/>
                <w:b/>
                <w:bCs/>
                <w:color w:val="FFFFFF"/>
                <w:sz w:val="20"/>
                <w:szCs w:val="20"/>
              </w:rPr>
              <w:t xml:space="preserve">COLOR</w:t>
            </w:r>
          </w:p>
        </w:tc>
        <w:tc>
          <w:tcPr>
            <w:tcW w:type="dxa" w:w="1600"/>
            <w:gridSpan w:val="1"/>
            <w:tcBorders>
              <w:top w:val="single" w:color="BDC3C7" w:sz="1"/>
              <w:left w:val="single" w:color="BDC3C7" w:sz="1"/>
              <w:bottom w:val="single" w:color="BDC3C7" w:sz="1"/>
              <w:right w:val="single" w:color="BDC3C7" w:sz="1"/>
            </w:tcBorders>
            <w:shd w:fill="2471A3" w:val="clear"/>
            <w:tcMar>
              <w:top w:type="dxa" w:w="70"/>
              <w:left w:type="dxa" w:w="130"/>
              <w:bottom w:type="dxa" w:w="70"/>
              <w:right w:type="dxa" w:w="130"/>
            </w:tcMar>
            <w:vAlign w:val="center"/>
          </w:tcPr>
          <w:p>
            <w:r>
              <w:rPr>
                <w:rFonts w:ascii="Arial" w:cs="Arial" w:eastAsia="Arial" w:hAnsi="Arial"/>
                <w:b/>
                <w:bCs/>
                <w:color w:val="FFFFFF"/>
                <w:sz w:val="20"/>
                <w:szCs w:val="20"/>
              </w:rPr>
              <w:t xml:space="preserve">FORMA</w:t>
            </w:r>
          </w:p>
        </w:tc>
        <w:tc>
          <w:tcPr>
            <w:tcW w:type="dxa" w:w="5760"/>
            <w:gridSpan w:val="1"/>
            <w:tcBorders>
              <w:top w:val="single" w:color="BDC3C7" w:sz="1"/>
              <w:left w:val="single" w:color="BDC3C7" w:sz="1"/>
              <w:bottom w:val="single" w:color="BDC3C7" w:sz="1"/>
              <w:right w:val="single" w:color="BDC3C7" w:sz="1"/>
            </w:tcBorders>
            <w:shd w:fill="2471A3" w:val="clear"/>
            <w:tcMar>
              <w:top w:type="dxa" w:w="70"/>
              <w:left w:type="dxa" w:w="130"/>
              <w:bottom w:type="dxa" w:w="70"/>
              <w:right w:type="dxa" w:w="130"/>
            </w:tcMar>
            <w:vAlign w:val="center"/>
          </w:tcPr>
          <w:p>
            <w:r>
              <w:rPr>
                <w:rFonts w:ascii="Arial" w:cs="Arial" w:eastAsia="Arial" w:hAnsi="Arial"/>
                <w:b/>
                <w:bCs/>
                <w:color w:val="FFFFFF"/>
                <w:sz w:val="20"/>
                <w:szCs w:val="20"/>
              </w:rPr>
              <w:t xml:space="preserve">COMPORTAMIENTO</w:t>
            </w:r>
          </w:p>
        </w:tc>
      </w:tr>
      <w:tr>
        <w:tc>
          <w:tcPr>
            <w:tcW w:type="dxa" w:w="15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ADN circular</w:t>
            </w:r>
          </w:p>
        </w:tc>
        <w:tc>
          <w:tcPr>
            <w:tcW w:type="dxa" w:w="15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#C2185B tenue</w:t>
            </w:r>
          </w:p>
        </w:tc>
        <w:tc>
          <w:tcPr>
            <w:tcW w:type="dxa" w:w="16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Hebras sinuosas, sin forma fija. Como una madeja suelta.</w:t>
            </w:r>
          </w:p>
        </w:tc>
        <w:tc>
          <w:tcPr>
            <w:tcW w:type="dxa" w:w="57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Se mueve muy lentamente. Ocupa aprox. 1/3 del citoplasma visible.</w:t>
            </w:r>
          </w:p>
        </w:tc>
      </w:tr>
      <w:tr>
        <w:tc>
          <w:tcPr>
            <w:tcW w:type="dxa" w:w="15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ARN mensajero</w:t>
            </w:r>
          </w:p>
        </w:tc>
        <w:tc>
          <w:tcPr>
            <w:tcW w:type="dxa" w:w="15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#E91E63 más brillante</w:t>
            </w:r>
          </w:p>
        </w:tc>
        <w:tc>
          <w:tcPr>
            <w:tcW w:type="dxa" w:w="16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Hebras cortas y rectas (0.1-0.15u).</w:t>
            </w:r>
          </w:p>
        </w:tc>
        <w:tc>
          <w:tcPr>
            <w:tcW w:type="dxa" w:w="57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Emerge del nucleoide y viaja hacia los ribosomas.</w:t>
            </w:r>
          </w:p>
        </w:tc>
      </w:tr>
      <w:tr>
        <w:tc>
          <w:tcPr>
            <w:tcW w:type="dxa" w:w="15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ATP bacteriano</w:t>
            </w:r>
          </w:p>
        </w:tc>
        <w:tc>
          <w:tcPr>
            <w:tcW w:type="dxa" w:w="15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#FFD700 amarillo</w:t>
            </w:r>
          </w:p>
        </w:tc>
        <w:tc>
          <w:tcPr>
            <w:tcW w:type="dxa" w:w="16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Punto muy pequeño (0.02u) con halo.</w:t>
            </w:r>
          </w:p>
        </w:tc>
        <w:tc>
          <w:tcPr>
            <w:tcW w:type="dxa" w:w="57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Movimiento browniano rápido. Abundante cerca de la membrana (donde se produce).</w:t>
            </w:r>
          </w:p>
        </w:tc>
      </w:tr>
      <w:tr>
        <w:tc>
          <w:tcPr>
            <w:tcW w:type="dxa" w:w="15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Proteína sintetizada</w:t>
            </w:r>
          </w:p>
        </w:tc>
        <w:tc>
          <w:tcPr>
            <w:tcW w:type="dxa" w:w="15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#E8DAEF violeta claro</w:t>
            </w:r>
          </w:p>
        </w:tc>
        <w:tc>
          <w:tcPr>
            <w:tcW w:type="dxa" w:w="16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Cadena corta que se pliega mientras viaja.</w:t>
            </w:r>
          </w:p>
        </w:tc>
        <w:tc>
          <w:tcPr>
            <w:tcW w:type="dxa" w:w="57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Emerge del ribosome y se pliega en 1.5s. Más simple que la eucariota.</w:t>
            </w:r>
          </w:p>
        </w:tc>
      </w:tr>
      <w:tr>
        <w:tc>
          <w:tcPr>
            <w:tcW w:type="dxa" w:w="15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ROS intracelular</w:t>
            </w:r>
          </w:p>
        </w:tc>
        <w:tc>
          <w:tcPr>
            <w:tcW w:type="dxa" w:w="15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#FF4444 rojo</w:t>
            </w:r>
          </w:p>
        </w:tc>
        <w:tc>
          <w:tcPr>
            <w:tcW w:type="dxa" w:w="16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Punto irregular parpadeante.</w:t>
            </w:r>
          </w:p>
        </w:tc>
        <w:tc>
          <w:tcPr>
            <w:tcW w:type="dxa" w:w="57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Movimiento errático. El peroxisoma/catalasa los elimina con flash verde.</w:t>
            </w:r>
          </w:p>
        </w:tc>
      </w:tr>
    </w:tbl>
    <w:p>
      <w:pPr>
        <w:spacing w:after="80" w:before="80"/>
      </w:pPr>
      <w:r>
        <w:t xml:space="preserve"/>
      </w:r>
    </w:p>
    <w:p>
      <w:pPr>
        <w:pStyle w:val="Heading2"/>
        <w:spacing w:after="110" w:before="300"/>
      </w:pPr>
      <w:r>
        <w:rPr>
          <w:rFonts w:ascii="Arial" w:cs="Arial" w:eastAsia="Arial" w:hAnsi="Arial"/>
          <w:b/>
          <w:bCs/>
          <w:color w:val="2471A3"/>
          <w:sz w:val="28"/>
          <w:szCs w:val="28"/>
        </w:rPr>
        <w:t xml:space="preserve">4.3 La Interacción con el Catálogo de Estructuras</w:t>
      </w:r>
    </w:p>
    <w:p>
      <w:pPr>
        <w:spacing w:after="90" w:before="60"/>
      </w:pPr>
      <w:r>
        <w:rPr>
          <w:rFonts w:ascii="Arial" w:cs="Arial" w:eastAsia="Arial" w:hAnsi="Arial"/>
          <w:color w:val="2C3E50"/>
          <w:sz w:val="22"/>
          <w:szCs w:val="22"/>
        </w:rPr>
        <w:t xml:space="preserve">En el panel interior procariota, el jugador no ve orgánulos flotando como objetos 3D (eso es solo el eucariota). En cambio 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gridSpan w:val="1"/>
            <w:tcBorders>
              <w:top w:val="single" w:color="BDC3C7" w:sz="1"/>
              <w:left w:val="single" w:color="BDC3C7" w:sz="1"/>
              <w:bottom w:val="single" w:color="BDC3C7" w:sz="1"/>
              <w:right w:val="single" w:color="BDC3C7" w:sz="1"/>
            </w:tcBorders>
            <w:shd w:fill="1E8449" w:val="clear"/>
            <w:tcMar>
              <w:top w:type="dxa" w:w="70"/>
              <w:left w:type="dxa" w:w="130"/>
              <w:bottom w:type="dxa" w:w="70"/>
              <w:right w:type="dxa" w:w="130"/>
            </w:tcMar>
            <w:vAlign w:val="center"/>
          </w:tcPr>
          <w:p>
            <w:r>
              <w:rPr>
                <w:rFonts w:ascii="Arial" w:cs="Arial" w:eastAsia="Arial" w:hAnsi="Arial"/>
                <w:b/>
                <w:bCs/>
                <w:color w:val="FFFFFF"/>
                <w:sz w:val="20"/>
                <w:szCs w:val="20"/>
              </w:rPr>
              <w:t xml:space="preserve">ELEMENTO</w:t>
            </w:r>
          </w:p>
        </w:tc>
        <w:tc>
          <w:tcPr>
            <w:tcW w:type="dxa" w:w="6960"/>
            <w:gridSpan w:val="1"/>
            <w:tcBorders>
              <w:top w:val="single" w:color="BDC3C7" w:sz="1"/>
              <w:left w:val="single" w:color="BDC3C7" w:sz="1"/>
              <w:bottom w:val="single" w:color="BDC3C7" w:sz="1"/>
              <w:right w:val="single" w:color="BDC3C7" w:sz="1"/>
            </w:tcBorders>
            <w:shd w:fill="1E8449" w:val="clear"/>
            <w:tcMar>
              <w:top w:type="dxa" w:w="70"/>
              <w:left w:type="dxa" w:w="130"/>
              <w:bottom w:type="dxa" w:w="70"/>
              <w:right w:type="dxa" w:w="130"/>
            </w:tcMar>
            <w:vAlign w:val="center"/>
          </w:tcPr>
          <w:p>
            <w:r>
              <w:rPr>
                <w:rFonts w:ascii="Arial" w:cs="Arial" w:eastAsia="Arial" w:hAnsi="Arial"/>
                <w:b/>
                <w:bCs/>
                <w:color w:val="FFFFFF"/>
                <w:sz w:val="20"/>
                <w:szCs w:val="20"/>
              </w:rPr>
              <w:t xml:space="preserve">DESCRIPCIÓN</w:t>
            </w:r>
          </w:p>
        </w:tc>
      </w:tr>
      <w:tr>
        <w:tc>
          <w:tcPr>
            <w:tcW w:type="dxa" w:w="24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El catálogo de estructuras</w:t>
            </w:r>
          </w:p>
        </w:tc>
        <w:tc>
          <w:tcPr>
            <w:tcW w:type="dxa" w:w="69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Se accede igual que el eucariota (click en zona del citoplasma). Pero los íconos son distintos — no son orgánulos esféricos sino estructuras esquematizadas (el flagelo como un tornillo, la cápsula como un halo).</w:t>
            </w:r>
          </w:p>
        </w:tc>
      </w:tr>
      <w:tr>
        <w:tc>
          <w:tcPr>
            <w:tcW w:type="dxa" w:w="24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El nucleoide clickeable</w:t>
            </w:r>
          </w:p>
        </w:tc>
        <w:tc>
          <w:tcPr>
            <w:tcW w:type="dxa" w:w="69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Hacer click en la zona del nucleoide (nube difusa de ADN) abre el árbol génico de 3 anillos. La misma interacción que el núcleo eucariota.</w:t>
            </w:r>
          </w:p>
        </w:tc>
      </w:tr>
      <w:tr>
        <w:tc>
          <w:tcPr>
            <w:tcW w:type="dxa" w:w="24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Instalación de Plásmido</w:t>
            </w:r>
          </w:p>
        </w:tc>
        <w:tc>
          <w:tcPr>
            <w:tcW w:type="dxa" w:w="69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Al instalar el Plásmido: aparece un círculo pequeño de ADN (#C2185B brillante) separado del nucleoide, orbitando en el citoplasma. Visualmente: un ADN circular pequeño y autónomo.</w:t>
            </w:r>
          </w:p>
        </w:tc>
      </w:tr>
      <w:tr>
        <w:tc>
          <w:tcPr>
            <w:tcW w:type="dxa" w:w="24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Instalación de Cápsula</w:t>
            </w:r>
          </w:p>
        </w:tc>
        <w:tc>
          <w:tcPr>
            <w:tcW w:type="dxa" w:w="69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No cambia el interior — la cápsula es una estructura extracelular. Solo el exterior cambia (el halo alrededor de la célula en el mapa).</w:t>
            </w:r>
          </w:p>
        </w:tc>
      </w:tr>
    </w:tbl>
    <w:p>
      <w:pPr>
        <w:spacing w:after="80" w:before="80"/>
      </w:pPr>
      <w:r>
        <w:t xml:space="preserve"/>
      </w:r>
    </w:p>
    <w:p>
      <w:r>
        <w:br w:type="page"/>
      </w:r>
    </w:p>
    <w:p>
      <w:pPr>
        <w:pStyle w:val="Heading1"/>
        <w:pBdr>
          <w:bottom w:val="single" w:color="1B4F72" w:sz="10" w:space="2"/>
        </w:pBdr>
        <w:spacing w:after="180" w:before="460"/>
      </w:pPr>
      <w:r>
        <w:rPr>
          <w:rFonts w:ascii="Arial" w:cs="Arial" w:eastAsia="Arial" w:hAnsi="Arial"/>
          <w:b/>
          <w:bCs/>
          <w:color w:val="1B4F72"/>
          <w:sz w:val="40"/>
          <w:szCs w:val="40"/>
        </w:rPr>
        <w:t xml:space="preserve">5. VISTA INTERIOR — DOMINIO EUCARIOTA</w:t>
      </w:r>
    </w:p>
    <w:p>
      <w:pPr>
        <w:shd w:fill="1A5632" w:val="clear"/>
        <w:spacing w:after="70" w:before="220"/>
      </w:pPr>
      <w:r>
        <w:rPr>
          <w:rFonts w:ascii="Arial" w:cs="Arial" w:eastAsia="Arial" w:hAnsi="Arial"/>
          <w:b/>
          <w:bCs/>
          <w:color w:val="FFFFFF"/>
          <w:sz w:val="24"/>
          <w:szCs w:val="24"/>
        </w:rPr>
        <w:t xml:space="preserve">  REFERENTE PRINCIPAL: JULIEN TROMEUR (DREAMSTIME)  </w:t>
      </w:r>
    </w:p>
    <w:p>
      <w:pPr>
        <w:pBdr>
          <w:left w:val="single" w:color="2471A3" w:sz="12" w:space="12"/>
        </w:pBdr>
        <w:shd w:fill="F2F3F4" w:val="clear"/>
        <w:spacing w:after="160" w:before="160"/>
        <w:ind w:left="600" w:right="600"/>
      </w:pPr>
      <w:r>
        <w:rPr>
          <w:rFonts w:ascii="Arial" w:cs="Arial" w:eastAsia="Arial" w:hAnsi="Arial"/>
          <w:b/>
          <w:bCs/>
          <w:i/>
          <w:iCs/>
          <w:color w:val="2471A3"/>
          <w:sz w:val="24"/>
          <w:szCs w:val="24"/>
        </w:rPr>
        <w:t xml:space="preserve">"Entraste al manual de instrucciones de tu propia célula. Y es hermoso."</w:t>
      </w:r>
    </w:p>
    <w:p>
      <w:pPr>
        <w:spacing w:after="80" w:before="80"/>
      </w:pPr>
      <w:r>
        <w:t xml:space="preserve"/>
      </w:r>
    </w:p>
    <w:p>
      <w:pPr>
        <w:spacing w:after="90" w:before="60"/>
      </w:pPr>
      <w:r>
        <w:rPr>
          <w:rFonts w:ascii="Arial" w:cs="Arial" w:eastAsia="Arial" w:hAnsi="Arial"/>
          <w:color w:val="2C3E50"/>
          <w:sz w:val="22"/>
          <w:szCs w:val="22"/>
        </w:rPr>
        <w:t xml:space="preserve">Sin cambios fundamentales respecto al Art Bible v2.0. El interior eucariota sigue siendo el espacio visual con orgánulos como objetos 3D iluminados desde dentro. Se mantiene toda la especificación del v2.0 para el eucariota. Solo se agregan aclaraciones sobre qué es específico del eucariota.</w:t>
      </w:r>
    </w:p>
    <w:p>
      <w:pPr>
        <w:spacing w:after="80" w:before="80"/>
      </w:pPr>
      <w:r>
        <w:t xml:space="preserve"/>
      </w:r>
    </w:p>
    <w:p>
      <w:pPr>
        <w:pStyle w:val="Heading2"/>
        <w:spacing w:after="110" w:before="300"/>
      </w:pPr>
      <w:r>
        <w:rPr>
          <w:rFonts w:ascii="Arial" w:cs="Arial" w:eastAsia="Arial" w:hAnsi="Arial"/>
          <w:b/>
          <w:bCs/>
          <w:color w:val="2471A3"/>
          <w:sz w:val="28"/>
          <w:szCs w:val="28"/>
        </w:rPr>
        <w:t xml:space="preserve">5.1 El Espacio Interior Eucariota —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gridSpan w:val="1"/>
            <w:tcBorders>
              <w:top w:val="single" w:color="BDC3C7" w:sz="1"/>
              <w:left w:val="single" w:color="BDC3C7" w:sz="1"/>
              <w:bottom w:val="single" w:color="BDC3C7" w:sz="1"/>
              <w:right w:val="single" w:color="BDC3C7" w:sz="1"/>
            </w:tcBorders>
            <w:shd w:fill="1E8449" w:val="clear"/>
            <w:tcMar>
              <w:top w:type="dxa" w:w="70"/>
              <w:left w:type="dxa" w:w="130"/>
              <w:bottom w:type="dxa" w:w="70"/>
              <w:right w:type="dxa" w:w="130"/>
            </w:tcMar>
            <w:vAlign w:val="center"/>
          </w:tcPr>
          <w:p>
            <w:r>
              <w:rPr>
                <w:rFonts w:ascii="Arial" w:cs="Arial" w:eastAsia="Arial" w:hAnsi="Arial"/>
                <w:b/>
                <w:bCs/>
                <w:color w:val="FFFFFF"/>
                <w:sz w:val="20"/>
                <w:szCs w:val="20"/>
              </w:rPr>
              <w:t xml:space="preserve">ELEMENTO</w:t>
            </w:r>
          </w:p>
        </w:tc>
        <w:tc>
          <w:tcPr>
            <w:tcW w:type="dxa" w:w="6960"/>
            <w:gridSpan w:val="1"/>
            <w:tcBorders>
              <w:top w:val="single" w:color="BDC3C7" w:sz="1"/>
              <w:left w:val="single" w:color="BDC3C7" w:sz="1"/>
              <w:bottom w:val="single" w:color="BDC3C7" w:sz="1"/>
              <w:right w:val="single" w:color="BDC3C7" w:sz="1"/>
            </w:tcBorders>
            <w:shd w:fill="1E8449" w:val="clear"/>
            <w:tcMar>
              <w:top w:type="dxa" w:w="70"/>
              <w:left w:type="dxa" w:w="130"/>
              <w:bottom w:type="dxa" w:w="70"/>
              <w:right w:type="dxa" w:w="130"/>
            </w:tcMar>
            <w:vAlign w:val="center"/>
          </w:tcPr>
          <w:p>
            <w:r>
              <w:rPr>
                <w:rFonts w:ascii="Arial" w:cs="Arial" w:eastAsia="Arial" w:hAnsi="Arial"/>
                <w:b/>
                <w:bCs/>
                <w:color w:val="FFFFFF"/>
                <w:sz w:val="20"/>
                <w:szCs w:val="20"/>
              </w:rPr>
              <w:t xml:space="preserve">ESPECIFICACIÓN (sin cambios del v2.0)</w:t>
            </w:r>
          </w:p>
        </w:tc>
      </w:tr>
      <w:tr>
        <w:tc>
          <w:tcPr>
            <w:tcW w:type="dxa" w:w="24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Fondo</w:t>
            </w:r>
          </w:p>
        </w:tc>
        <w:tc>
          <w:tcPr>
            <w:tcW w:type="dxa" w:w="69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#050A14 con gradiente sutil de profundidad. Más oscuro en los bordes.</w:t>
            </w:r>
          </w:p>
        </w:tc>
      </w:tr>
      <w:tr>
        <w:tc>
          <w:tcPr>
            <w:tcW w:type="dxa" w:w="24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Densidad</w:t>
            </w:r>
          </w:p>
        </w:tc>
        <w:tc>
          <w:tcPr>
            <w:tcW w:type="dxa" w:w="69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Empieza con 10-20 objetos (protocélula). Llega a 200+ en late game. La densidad crece con los orgánulos instalados.</w:t>
            </w:r>
          </w:p>
        </w:tc>
      </w:tr>
      <w:tr>
        <w:tc>
          <w:tcPr>
            <w:tcW w:type="dxa" w:w="24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Núcleo</w:t>
            </w:r>
          </w:p>
        </w:tc>
        <w:tc>
          <w:tcPr>
            <w:tcW w:type="dxa" w:w="69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Esfera grande (#C2185B) con doble membrana y poros nucleares visibles. CON membrana — la diferencia más visual con el procariota.</w:t>
            </w:r>
          </w:p>
        </w:tc>
      </w:tr>
      <w:tr>
        <w:tc>
          <w:tcPr>
            <w:tcW w:type="dxa" w:w="24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Mitocondria</w:t>
            </w:r>
          </w:p>
        </w:tc>
        <w:tc>
          <w:tcPr>
            <w:tcW w:type="dxa" w:w="69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Óvalo naranja (#E65100) con crestas internas. Pulso rítmico cada 2s.</w:t>
            </w:r>
          </w:p>
        </w:tc>
      </w:tr>
      <w:tr>
        <w:tc>
          <w:tcPr>
            <w:tcW w:type="dxa" w:w="24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Retículo Endoplásmático</w:t>
            </w:r>
          </w:p>
        </w:tc>
        <w:tc>
          <w:tcPr>
            <w:tcW w:type="dxa" w:w="69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Red de túneles rosados (#E91E63). Con ribosomas 80S adheridos en el RE rugoso.</w:t>
            </w:r>
          </w:p>
        </w:tc>
      </w:tr>
      <w:tr>
        <w:tc>
          <w:tcPr>
            <w:tcW w:type="dxa" w:w="24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Red de citoesqueleto</w:t>
            </w:r>
          </w:p>
        </w:tc>
        <w:tc>
          <w:tcPr>
            <w:tcW w:type="dxa" w:w="69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Filamentos muy finos (#A8D8EA, alpha 0.15-0.25) conectando los orgánulos. NO existe en el procariota.</w:t>
            </w:r>
          </w:p>
        </w:tc>
      </w:tr>
      <w:tr>
        <w:tc>
          <w:tcPr>
            <w:tcW w:type="dxa" w:w="24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Vesículas de transporte</w:t>
            </w:r>
          </w:p>
        </w:tc>
        <w:tc>
          <w:tcPr>
            <w:tcW w:type="dxa" w:w="69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Esferas pequeñas moviéndose por los filamentos. No existe en procariota.</w:t>
            </w:r>
          </w:p>
        </w:tc>
      </w:tr>
    </w:tbl>
    <w:p>
      <w:pPr>
        <w:spacing w:after="80" w:before="80"/>
      </w:pPr>
      <w:r>
        <w:t xml:space="preserve"/>
      </w:r>
    </w:p>
    <w:p>
      <w:pPr>
        <w:pBdr>
          <w:left w:val="single" w:color="2471A3" w:sz="10" w:space="10"/>
        </w:pBdr>
        <w:shd w:fill="D6EAF8" w:val="clear"/>
        <w:spacing w:after="110" w:before="110"/>
        <w:ind w:left="340" w:right="340"/>
      </w:pPr>
      <w:r>
        <w:rPr>
          <w:rFonts w:ascii="Arial" w:cs="Arial" w:eastAsia="Arial" w:hAnsi="Arial"/>
          <w:i/>
          <w:iCs/>
          <w:color w:val="2471A3"/>
          <w:sz w:val="21"/>
          <w:szCs w:val="21"/>
        </w:rPr>
        <w:t xml:space="preserve">  Para el catálogo completo de orgánulos eucariotas con sus colores, formas y animaciones ver el Art Bible v2.0 Sección 4. Esa especificación sigue vigente sin cambios en la v3.0.</w:t>
      </w:r>
    </w:p>
    <w:p>
      <w:pPr>
        <w:spacing w:after="80" w:before="80"/>
      </w:pPr>
      <w:r>
        <w:t xml:space="preserve"/>
      </w:r>
    </w:p>
    <w:p>
      <w:r>
        <w:br w:type="page"/>
      </w:r>
    </w:p>
    <w:p>
      <w:pPr>
        <w:pStyle w:val="Heading1"/>
        <w:pBdr>
          <w:bottom w:val="single" w:color="1B4F72" w:sz="10" w:space="2"/>
        </w:pBdr>
        <w:spacing w:after="180" w:before="460"/>
      </w:pPr>
      <w:r>
        <w:rPr>
          <w:rFonts w:ascii="Arial" w:cs="Arial" w:eastAsia="Arial" w:hAnsi="Arial"/>
          <w:b/>
          <w:bCs/>
          <w:color w:val="1B4F72"/>
          <w:sz w:val="40"/>
          <w:szCs w:val="40"/>
        </w:rPr>
        <w:t xml:space="preserve">6. ANIMACIÓN DE DIVISIÓN — DOS VERSIONES</w:t>
      </w:r>
    </w:p>
    <w:p>
      <w:pPr>
        <w:pBdr>
          <w:left w:val="single" w:color="2471A3" w:sz="12" w:space="12"/>
        </w:pBdr>
        <w:shd w:fill="F2F3F4" w:val="clear"/>
        <w:spacing w:after="160" w:before="160"/>
        <w:ind w:left="600" w:right="600"/>
      </w:pPr>
      <w:r>
        <w:rPr>
          <w:rFonts w:ascii="Arial" w:cs="Arial" w:eastAsia="Arial" w:hAnsi="Arial"/>
          <w:b/>
          <w:bCs/>
          <w:i/>
          <w:iCs/>
          <w:color w:val="2471A3"/>
          <w:sz w:val="24"/>
          <w:szCs w:val="24"/>
        </w:rPr>
        <w:t xml:space="preserve">"El momento más dramático del juego. Dos células donde había una."</w:t>
      </w:r>
    </w:p>
    <w:p>
      <w:pPr>
        <w:spacing w:after="80" w:before="80"/>
      </w:pPr>
      <w:r>
        <w:t xml:space="preserve"/>
      </w:r>
    </w:p>
    <w:p>
      <w:pPr>
        <w:spacing w:after="90" w:before="60"/>
      </w:pPr>
      <w:r>
        <w:rPr>
          <w:rFonts w:ascii="Arial" w:cs="Arial" w:eastAsia="Arial" w:hAnsi="Arial"/>
          <w:color w:val="2C3E50"/>
          <w:sz w:val="22"/>
          <w:szCs w:val="22"/>
        </w:rPr>
        <w:t xml:space="preserve">La división es la mecánica central del juego y tiene que verse distinta según el dominio. La diferencia biológica real entre fisión binaria procariota y mitosis eucariota es enorme — el juego la refleja.</w:t>
      </w:r>
    </w:p>
    <w:p>
      <w:pPr>
        <w:spacing w:after="80" w:before="80"/>
      </w:pPr>
      <w:r>
        <w:t xml:space="preserve"/>
      </w:r>
    </w:p>
    <w:p>
      <w:pPr>
        <w:pStyle w:val="Heading2"/>
        <w:spacing w:after="110" w:before="300"/>
      </w:pPr>
      <w:r>
        <w:rPr>
          <w:rFonts w:ascii="Arial" w:cs="Arial" w:eastAsia="Arial" w:hAnsi="Arial"/>
          <w:b/>
          <w:bCs/>
          <w:color w:val="2471A3"/>
          <w:sz w:val="28"/>
          <w:szCs w:val="28"/>
        </w:rPr>
        <w:t xml:space="preserve">6.1 Fisión Binaria — Dominio Procariota</w:t>
      </w:r>
    </w:p>
    <w:p>
      <w:pPr>
        <w:spacing w:after="90" w:before="60"/>
      </w:pPr>
      <w:r>
        <w:rPr>
          <w:rFonts w:ascii="Arial" w:cs="Arial" w:eastAsia="Arial" w:hAnsi="Arial"/>
          <w:color w:val="2C3E50"/>
          <w:sz w:val="22"/>
          <w:szCs w:val="22"/>
        </w:rPr>
        <w:t xml:space="preserve">Más rápida, más directa, más mecánica. La bacteria simplemente se parte en dos.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gridSpan w:val="1"/>
            <w:tcBorders>
              <w:top w:val="single" w:color="BDC3C7" w:sz="1"/>
              <w:left w:val="single" w:color="BDC3C7" w:sz="1"/>
              <w:bottom w:val="single" w:color="BDC3C7" w:sz="1"/>
              <w:right w:val="single" w:color="BDC3C7" w:sz="1"/>
            </w:tcBorders>
            <w:shd w:fill="2471A3" w:val="clear"/>
            <w:tcMar>
              <w:top w:type="dxa" w:w="70"/>
              <w:left w:type="dxa" w:w="130"/>
              <w:bottom w:type="dxa" w:w="70"/>
              <w:right w:type="dxa" w:w="130"/>
            </w:tcMar>
            <w:vAlign w:val="center"/>
          </w:tcPr>
          <w:p>
            <w:r>
              <w:rPr>
                <w:rFonts w:ascii="Arial" w:cs="Arial" w:eastAsia="Arial" w:hAnsi="Arial"/>
                <w:b/>
                <w:bCs/>
                <w:color w:val="FFFFFF"/>
                <w:sz w:val="20"/>
                <w:szCs w:val="20"/>
              </w:rPr>
              <w:t xml:space="preserve">TIEMPO</w:t>
            </w:r>
          </w:p>
        </w:tc>
        <w:tc>
          <w:tcPr>
            <w:tcW w:type="dxa" w:w="8160"/>
            <w:gridSpan w:val="1"/>
            <w:tcBorders>
              <w:top w:val="single" w:color="BDC3C7" w:sz="1"/>
              <w:left w:val="single" w:color="BDC3C7" w:sz="1"/>
              <w:bottom w:val="single" w:color="BDC3C7" w:sz="1"/>
              <w:right w:val="single" w:color="BDC3C7" w:sz="1"/>
            </w:tcBorders>
            <w:shd w:fill="2471A3" w:val="clear"/>
            <w:tcMar>
              <w:top w:type="dxa" w:w="70"/>
              <w:left w:type="dxa" w:w="130"/>
              <w:bottom w:type="dxa" w:w="70"/>
              <w:right w:type="dxa" w:w="130"/>
            </w:tcMar>
            <w:vAlign w:val="center"/>
          </w:tcPr>
          <w:p>
            <w:r>
              <w:rPr>
                <w:rFonts w:ascii="Arial" w:cs="Arial" w:eastAsia="Arial" w:hAnsi="Arial"/>
                <w:b/>
                <w:bCs/>
                <w:color w:val="FFFFFF"/>
                <w:sz w:val="20"/>
                <w:szCs w:val="20"/>
              </w:rPr>
              <w:t xml:space="preserve">QUÉ OCURRE</w:t>
            </w:r>
          </w:p>
        </w:tc>
      </w:tr>
      <w:tr>
        <w:tc>
          <w:tcPr>
            <w:tcW w:type="dxa" w:w="12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0.0s</w:t>
            </w:r>
          </w:p>
        </w:tc>
        <w:tc>
          <w:tcPr>
            <w:tcW w:type="dxa" w:w="81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La célula empieza a alargarse en su eje mayor. Más brusco que la mitosis eucariota — velocidad de elongación más rápida.</w:t>
            </w:r>
          </w:p>
        </w:tc>
      </w:tr>
      <w:tr>
        <w:tc>
          <w:tcPr>
            <w:tcW w:type="dxa" w:w="12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0.6s</w:t>
            </w:r>
          </w:p>
        </w:tc>
        <w:tc>
          <w:tcPr>
            <w:tcW w:type="dxa" w:w="81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El interior se reorganiza: el nucleoide (nube difusa) se divide en dos zonas iguales que se separan hacia cada polo.</w:t>
            </w:r>
          </w:p>
        </w:tc>
      </w:tr>
      <w:tr>
        <w:tc>
          <w:tcPr>
            <w:tcW w:type="dxa" w:w="12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1.0s</w:t>
            </w:r>
          </w:p>
        </w:tc>
        <w:tc>
          <w:tcPr>
            <w:tcW w:type="dxa" w:w="81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El estrangulamiento aparece en el centro. La bacteria tiene forma de peanut.</w:t>
            </w:r>
          </w:p>
        </w:tc>
      </w:tr>
      <w:tr>
        <w:tc>
          <w:tcPr>
            <w:tcW w:type="dxa" w:w="12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1.3s</w:t>
            </w:r>
          </w:p>
        </w:tc>
        <w:tc>
          <w:tcPr>
            <w:tcW w:type="dxa" w:w="81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La membrana se cierra en el centro. Dos células perfectamente iguales. Sonido: 'snap' seco y limpio.</w:t>
            </w:r>
          </w:p>
        </w:tc>
      </w:tr>
      <w:tr>
        <w:tc>
          <w:tcPr>
            <w:tcW w:type="dxa" w:w="12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1.3-3.0s</w:t>
            </w:r>
          </w:p>
        </w:tc>
        <w:tc>
          <w:tcPr>
            <w:tcW w:type="dxa" w:w="81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Las dos células recuperan su forma circular con spring damping. La hija tiene aura tenue 2s.</w:t>
            </w:r>
          </w:p>
        </w:tc>
      </w:tr>
      <w:tr>
        <w:tc>
          <w:tcPr>
            <w:tcW w:type="dxa" w:w="12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Total</w:t>
            </w:r>
          </w:p>
        </w:tc>
        <w:tc>
          <w:tcPr>
            <w:tcW w:type="dxa" w:w="81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1.3 segundos — más rápido que la mitosis eucariota (2.0s).</w:t>
            </w:r>
          </w:p>
        </w:tc>
      </w:tr>
    </w:tbl>
    <w:p>
      <w:pPr>
        <w:pBdr>
          <w:left w:val="single" w:color="2471A3" w:sz="10" w:space="10"/>
        </w:pBdr>
        <w:shd w:fill="D6EAF8" w:val="clear"/>
        <w:spacing w:after="110" w:before="110"/>
        <w:ind w:left="340" w:right="340"/>
      </w:pPr>
      <w:r>
        <w:rPr>
          <w:rFonts w:ascii="Arial" w:cs="Arial" w:eastAsia="Arial" w:hAnsi="Arial"/>
          <w:i/>
          <w:iCs/>
          <w:color w:val="2471A3"/>
          <w:sz w:val="21"/>
          <w:szCs w:val="21"/>
        </w:rPr>
        <w:t xml:space="preserve">  El flagelo bacteriano NO desaparece durante la fisión. Se duplica — la hija tiene su propio flagelo. Esto refleja la biología real donde el flagelo se sintetiza de novo en cada célula hija.</w:t>
      </w:r>
    </w:p>
    <w:p>
      <w:pPr>
        <w:spacing w:after="80" w:before="80"/>
      </w:pPr>
      <w:r>
        <w:t xml:space="preserve"/>
      </w:r>
    </w:p>
    <w:p>
      <w:pPr>
        <w:pStyle w:val="Heading2"/>
        <w:spacing w:after="110" w:before="300"/>
      </w:pPr>
      <w:r>
        <w:rPr>
          <w:rFonts w:ascii="Arial" w:cs="Arial" w:eastAsia="Arial" w:hAnsi="Arial"/>
          <w:b/>
          <w:bCs/>
          <w:color w:val="2471A3"/>
          <w:sz w:val="28"/>
          <w:szCs w:val="28"/>
        </w:rPr>
        <w:t xml:space="preserve">6.2 Mitosis Simplificada — Dominio Eucariota</w:t>
      </w:r>
    </w:p>
    <w:p>
      <w:pPr>
        <w:spacing w:after="90" w:before="60"/>
      </w:pPr>
      <w:r>
        <w:rPr>
          <w:rFonts w:ascii="Arial" w:cs="Arial" w:eastAsia="Arial" w:hAnsi="Arial"/>
          <w:color w:val="2C3E50"/>
          <w:sz w:val="22"/>
          <w:szCs w:val="22"/>
        </w:rPr>
        <w:t xml:space="preserve">Más lenta, más organizada, más dramática visualmente. La célula reorganiza su contenido antes de dividirse.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gridSpan w:val="1"/>
            <w:tcBorders>
              <w:top w:val="single" w:color="BDC3C7" w:sz="1"/>
              <w:left w:val="single" w:color="BDC3C7" w:sz="1"/>
              <w:bottom w:val="single" w:color="BDC3C7" w:sz="1"/>
              <w:right w:val="single" w:color="BDC3C7" w:sz="1"/>
            </w:tcBorders>
            <w:shd w:fill="1E8449" w:val="clear"/>
            <w:tcMar>
              <w:top w:type="dxa" w:w="70"/>
              <w:left w:type="dxa" w:w="130"/>
              <w:bottom w:type="dxa" w:w="70"/>
              <w:right w:type="dxa" w:w="130"/>
            </w:tcMar>
            <w:vAlign w:val="center"/>
          </w:tcPr>
          <w:p>
            <w:r>
              <w:rPr>
                <w:rFonts w:ascii="Arial" w:cs="Arial" w:eastAsia="Arial" w:hAnsi="Arial"/>
                <w:b/>
                <w:bCs/>
                <w:color w:val="FFFFFF"/>
                <w:sz w:val="20"/>
                <w:szCs w:val="20"/>
              </w:rPr>
              <w:t xml:space="preserve">TIEMPO</w:t>
            </w:r>
          </w:p>
        </w:tc>
        <w:tc>
          <w:tcPr>
            <w:tcW w:type="dxa" w:w="8160"/>
            <w:gridSpan w:val="1"/>
            <w:tcBorders>
              <w:top w:val="single" w:color="BDC3C7" w:sz="1"/>
              <w:left w:val="single" w:color="BDC3C7" w:sz="1"/>
              <w:bottom w:val="single" w:color="BDC3C7" w:sz="1"/>
              <w:right w:val="single" w:color="BDC3C7" w:sz="1"/>
            </w:tcBorders>
            <w:shd w:fill="1E8449" w:val="clear"/>
            <w:tcMar>
              <w:top w:type="dxa" w:w="70"/>
              <w:left w:type="dxa" w:w="130"/>
              <w:bottom w:type="dxa" w:w="70"/>
              <w:right w:type="dxa" w:w="130"/>
            </w:tcMar>
            <w:vAlign w:val="center"/>
          </w:tcPr>
          <w:p>
            <w:r>
              <w:rPr>
                <w:rFonts w:ascii="Arial" w:cs="Arial" w:eastAsia="Arial" w:hAnsi="Arial"/>
                <w:b/>
                <w:bCs/>
                <w:color w:val="FFFFFF"/>
                <w:sz w:val="20"/>
                <w:szCs w:val="20"/>
              </w:rPr>
              <w:t xml:space="preserve">QUÉ OCURRE</w:t>
            </w:r>
          </w:p>
        </w:tc>
      </w:tr>
      <w:tr>
        <w:tc>
          <w:tcPr>
            <w:tcW w:type="dxa" w:w="12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0.0s</w:t>
            </w:r>
          </w:p>
        </w:tc>
        <w:tc>
          <w:tcPr>
            <w:tcW w:type="dxa" w:w="81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La célula empieza a alargarse. Más gradual que la fisión bacteriana.</w:t>
            </w:r>
          </w:p>
        </w:tc>
      </w:tr>
      <w:tr>
        <w:tc>
          <w:tcPr>
            <w:tcW w:type="dxa" w:w="12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0.5s</w:t>
            </w:r>
          </w:p>
        </w:tc>
        <w:tc>
          <w:tcPr>
            <w:tcW w:type="dxa" w:w="81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El núcleo cambia visualmente: la cromatina se condensa (el interior del núcleo se vuelve más oscuro y estructurado).</w:t>
            </w:r>
          </w:p>
        </w:tc>
      </w:tr>
      <w:tr>
        <w:tc>
          <w:tcPr>
            <w:tcW w:type="dxa" w:w="12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1.0s</w:t>
            </w:r>
          </w:p>
        </w:tc>
        <w:tc>
          <w:tcPr>
            <w:tcW w:type="dxa" w:w="81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El núcleo se alarga. Se ve cómo el contenido genético se organiza hacia los polos.</w:t>
            </w:r>
          </w:p>
        </w:tc>
      </w:tr>
      <w:tr>
        <w:tc>
          <w:tcPr>
            <w:tcW w:type="dxa" w:w="12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1.5s</w:t>
            </w:r>
          </w:p>
        </w:tc>
        <w:tc>
          <w:tcPr>
            <w:tcW w:type="dxa" w:w="81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El estrangulamiento aparece. El interior muestra los orgánulos redistribuyéndose hacia cada mitad.</w:t>
            </w:r>
          </w:p>
        </w:tc>
      </w:tr>
      <w:tr>
        <w:tc>
          <w:tcPr>
            <w:tcW w:type="dxa" w:w="12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2.0s</w:t>
            </w:r>
          </w:p>
        </w:tc>
        <w:tc>
          <w:tcPr>
            <w:tcW w:type="dxa" w:w="81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Separación. Dos células. Sonido: 'pop' suave y orgánico.</w:t>
            </w:r>
          </w:p>
        </w:tc>
      </w:tr>
      <w:tr>
        <w:tc>
          <w:tcPr>
            <w:tcW w:type="dxa" w:w="12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2.0-5.0s</w:t>
            </w:r>
          </w:p>
        </w:tc>
        <w:tc>
          <w:tcPr>
            <w:tcW w:type="dxa" w:w="81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Las dos células recuperan su forma. Los orgánulos de la hija se reorganizan. La hija tiene aura tenue 3s.</w:t>
            </w:r>
          </w:p>
        </w:tc>
      </w:tr>
      <w:tr>
        <w:tc>
          <w:tcPr>
            <w:tcW w:type="dxa" w:w="12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Total</w:t>
            </w:r>
          </w:p>
        </w:tc>
        <w:tc>
          <w:tcPr>
            <w:tcW w:type="dxa" w:w="81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2.0 segundos — más lento que la fisión bacteriana.</w:t>
            </w:r>
          </w:p>
        </w:tc>
      </w:tr>
    </w:tbl>
    <w:p>
      <w:pPr>
        <w:spacing w:after="80" w:before="80"/>
      </w:pPr>
      <w:r>
        <w:t xml:space="preserve"/>
      </w:r>
    </w:p>
    <w:p>
      <w:r>
        <w:br w:type="page"/>
      </w:r>
    </w:p>
    <w:p>
      <w:pPr>
        <w:pStyle w:val="Heading1"/>
        <w:pBdr>
          <w:bottom w:val="single" w:color="1B4F72" w:sz="10" w:space="2"/>
        </w:pBdr>
        <w:spacing w:after="180" w:before="460"/>
      </w:pPr>
      <w:r>
        <w:rPr>
          <w:rFonts w:ascii="Arial" w:cs="Arial" w:eastAsia="Arial" w:hAnsi="Arial"/>
          <w:b/>
          <w:bCs/>
          <w:color w:val="1B4F72"/>
          <w:sz w:val="40"/>
          <w:szCs w:val="40"/>
        </w:rPr>
        <w:t xml:space="preserve">7. SISTEMA DE ZOOM — INFORMACIÓN SEGÚN DISTANCIA</w:t>
      </w:r>
    </w:p>
    <w:p>
      <w:pPr>
        <w:pBdr>
          <w:left w:val="single" w:color="2471A3" w:sz="12" w:space="12"/>
        </w:pBdr>
        <w:shd w:fill="F2F3F4" w:val="clear"/>
        <w:spacing w:after="160" w:before="160"/>
        <w:ind w:left="600" w:right="600"/>
      </w:pPr>
      <w:r>
        <w:rPr>
          <w:rFonts w:ascii="Arial" w:cs="Arial" w:eastAsia="Arial" w:hAnsi="Arial"/>
          <w:b/>
          <w:bCs/>
          <w:i/>
          <w:iCs/>
          <w:color w:val="2471A3"/>
          <w:sz w:val="24"/>
          <w:szCs w:val="24"/>
        </w:rPr>
        <w:t xml:space="preserve">"Acercarte al rival te da información. También te expone."</w:t>
      </w:r>
    </w:p>
    <w:p>
      <w:pPr>
        <w:spacing w:after="80" w:before="80"/>
      </w:pPr>
      <w:r>
        <w:t xml:space="preserve"/>
      </w:r>
    </w:p>
    <w:p>
      <w:pPr>
        <w:spacing w:after="90" w:before="60"/>
      </w:pPr>
      <w:r>
        <w:rPr>
          <w:rFonts w:ascii="Arial" w:cs="Arial" w:eastAsia="Arial" w:hAnsi="Arial"/>
          <w:color w:val="2C3E50"/>
          <w:sz w:val="22"/>
          <w:szCs w:val="22"/>
        </w:rPr>
        <w:t xml:space="preserve">El sistema de 4 niveles de zoom sigue vigente del v2.0. La única adición: en zoom nivel 2-3 es posible distinguir visualmente si una célula rival es procariota o eucariota ANTES de ver sus estructuras específicas.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3200"/>
        <w:gridCol w:w="3360"/>
      </w:tblGrid>
      <w:tr>
        <w:trPr>
          <w:tblHeader/>
        </w:trPr>
        <w:tc>
          <w:tcPr>
            <w:tcW w:type="dxa" w:w="1000"/>
            <w:gridSpan w:val="1"/>
            <w:tcBorders>
              <w:top w:val="single" w:color="BDC3C7" w:sz="1"/>
              <w:left w:val="single" w:color="BDC3C7" w:sz="1"/>
              <w:bottom w:val="single" w:color="BDC3C7" w:sz="1"/>
              <w:right w:val="single" w:color="BDC3C7" w:sz="1"/>
            </w:tcBorders>
            <w:shd w:fill="1B4F72" w:val="clear"/>
            <w:tcMar>
              <w:top w:type="dxa" w:w="70"/>
              <w:left w:type="dxa" w:w="130"/>
              <w:bottom w:type="dxa" w:w="70"/>
              <w:right w:type="dxa" w:w="130"/>
            </w:tcMar>
            <w:vAlign w:val="center"/>
          </w:tcPr>
          <w:p>
            <w:r>
              <w:rPr>
                <w:rFonts w:ascii="Arial" w:cs="Arial" w:eastAsia="Arial" w:hAnsi="Arial"/>
                <w:b/>
                <w:bCs/>
                <w:color w:val="FFFFFF"/>
                <w:sz w:val="20"/>
                <w:szCs w:val="20"/>
              </w:rPr>
              <w:t xml:space="preserve">NIVEL</w:t>
            </w:r>
          </w:p>
        </w:tc>
        <w:tc>
          <w:tcPr>
            <w:tcW w:type="dxa" w:w="1800"/>
            <w:gridSpan w:val="1"/>
            <w:tcBorders>
              <w:top w:val="single" w:color="BDC3C7" w:sz="1"/>
              <w:left w:val="single" w:color="BDC3C7" w:sz="1"/>
              <w:bottom w:val="single" w:color="BDC3C7" w:sz="1"/>
              <w:right w:val="single" w:color="BDC3C7" w:sz="1"/>
            </w:tcBorders>
            <w:shd w:fill="1B4F72" w:val="clear"/>
            <w:tcMar>
              <w:top w:type="dxa" w:w="70"/>
              <w:left w:type="dxa" w:w="130"/>
              <w:bottom w:type="dxa" w:w="70"/>
              <w:right w:type="dxa" w:w="130"/>
            </w:tcMar>
            <w:vAlign w:val="center"/>
          </w:tcPr>
          <w:p>
            <w:r>
              <w:rPr>
                <w:rFonts w:ascii="Arial" w:cs="Arial" w:eastAsia="Arial" w:hAnsi="Arial"/>
                <w:b/>
                <w:bCs/>
                <w:color w:val="FFFFFF"/>
                <w:sz w:val="20"/>
                <w:szCs w:val="20"/>
              </w:rPr>
              <w:t xml:space="preserve">NOMBRE</w:t>
            </w:r>
          </w:p>
        </w:tc>
        <w:tc>
          <w:tcPr>
            <w:tcW w:type="dxa" w:w="3200"/>
            <w:gridSpan w:val="1"/>
            <w:tcBorders>
              <w:top w:val="single" w:color="BDC3C7" w:sz="1"/>
              <w:left w:val="single" w:color="BDC3C7" w:sz="1"/>
              <w:bottom w:val="single" w:color="BDC3C7" w:sz="1"/>
              <w:right w:val="single" w:color="BDC3C7" w:sz="1"/>
            </w:tcBorders>
            <w:shd w:fill="1B4F72" w:val="clear"/>
            <w:tcMar>
              <w:top w:type="dxa" w:w="70"/>
              <w:left w:type="dxa" w:w="130"/>
              <w:bottom w:type="dxa" w:w="70"/>
              <w:right w:type="dxa" w:w="130"/>
            </w:tcMar>
            <w:vAlign w:val="center"/>
          </w:tcPr>
          <w:p>
            <w:r>
              <w:rPr>
                <w:rFonts w:ascii="Arial" w:cs="Arial" w:eastAsia="Arial" w:hAnsi="Arial"/>
                <w:b/>
                <w:bCs/>
                <w:color w:val="FFFFFF"/>
                <w:sz w:val="20"/>
                <w:szCs w:val="20"/>
              </w:rPr>
              <w:t xml:space="preserve">QUÉ VES DEL RIVAL</w:t>
            </w:r>
          </w:p>
        </w:tc>
        <w:tc>
          <w:tcPr>
            <w:tcW w:type="dxa" w:w="3360"/>
            <w:gridSpan w:val="1"/>
            <w:tcBorders>
              <w:top w:val="single" w:color="BDC3C7" w:sz="1"/>
              <w:left w:val="single" w:color="BDC3C7" w:sz="1"/>
              <w:bottom w:val="single" w:color="BDC3C7" w:sz="1"/>
              <w:right w:val="single" w:color="BDC3C7" w:sz="1"/>
            </w:tcBorders>
            <w:shd w:fill="1B4F72" w:val="clear"/>
            <w:tcMar>
              <w:top w:type="dxa" w:w="70"/>
              <w:left w:type="dxa" w:w="130"/>
              <w:bottom w:type="dxa" w:w="70"/>
              <w:right w:type="dxa" w:w="130"/>
            </w:tcMar>
            <w:vAlign w:val="center"/>
          </w:tcPr>
          <w:p>
            <w:r>
              <w:rPr>
                <w:rFonts w:ascii="Arial" w:cs="Arial" w:eastAsia="Arial" w:hAnsi="Arial"/>
                <w:b/>
                <w:bCs/>
                <w:color w:val="FFFFFF"/>
                <w:sz w:val="20"/>
                <w:szCs w:val="20"/>
              </w:rPr>
              <w:t xml:space="preserve">INFO DE DOMINIO</w:t>
            </w:r>
          </w:p>
        </w:tc>
      </w:tr>
      <w:tr>
        <w:tc>
          <w:tcPr>
            <w:tcW w:type="dxa" w:w="10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1</w:t>
            </w:r>
          </w:p>
        </w:tc>
        <w:tc>
          <w:tcPr>
            <w:tcW w:type="dxa" w:w="18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Vista de mapa</w:t>
            </w:r>
          </w:p>
        </w:tc>
        <w:tc>
          <w:tcPr>
            <w:tcW w:type="dxa" w:w="32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Color de especialización. Tamaño relativo.</w:t>
            </w:r>
          </w:p>
        </w:tc>
        <w:tc>
          <w:tcPr>
            <w:tcW w:type="dxa" w:w="33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El tamaño ya da una pista: si es muy pequeño (&lt;0.01u) probablemente es procariota.</w:t>
            </w:r>
          </w:p>
        </w:tc>
      </w:tr>
      <w:tr>
        <w:tc>
          <w:tcPr>
            <w:tcW w:type="dxa" w:w="10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2</w:t>
            </w:r>
          </w:p>
        </w:tc>
        <w:tc>
          <w:tcPr>
            <w:tcW w:type="dxa" w:w="18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Vista táctica</w:t>
            </w:r>
          </w:p>
        </w:tc>
        <w:tc>
          <w:tcPr>
            <w:tcW w:type="dxa" w:w="32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Forma de la membrana. Apéndices.</w:t>
            </w:r>
          </w:p>
        </w:tc>
        <w:tc>
          <w:tcPr>
            <w:tcW w:type="dxa" w:w="33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Flagelo rotatorio = procariota. Flagelo ondulante = eucariota. Fimbrias = procariota.</w:t>
            </w:r>
          </w:p>
        </w:tc>
      </w:tr>
      <w:tr>
        <w:tc>
          <w:tcPr>
            <w:tcW w:type="dxa" w:w="10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3</w:t>
            </w:r>
          </w:p>
        </w:tc>
        <w:tc>
          <w:tcPr>
            <w:tcW w:type="dxa" w:w="18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Vista de juego</w:t>
            </w:r>
          </w:p>
        </w:tc>
        <w:tc>
          <w:tcPr>
            <w:tcW w:type="dxa" w:w="32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Estructuras visibles a través de la membrana.</w:t>
            </w:r>
          </w:p>
        </w:tc>
        <w:tc>
          <w:tcPr>
            <w:tcW w:type="dxa" w:w="33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Procariota: muchos puntos pequeños uniformes (ribosomas). Eucariota: manchas de color distintas (orgánulos).</w:t>
            </w:r>
          </w:p>
        </w:tc>
      </w:tr>
      <w:tr>
        <w:tc>
          <w:tcPr>
            <w:tcW w:type="dxa" w:w="10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4</w:t>
            </w:r>
          </w:p>
        </w:tc>
        <w:tc>
          <w:tcPr>
            <w:tcW w:type="dxa" w:w="18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Vista de detalle</w:t>
            </w:r>
          </w:p>
        </w:tc>
        <w:tc>
          <w:tcPr>
            <w:tcW w:type="dxa" w:w="32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Proteínas de membrana. Genes activos.</w:t>
            </w:r>
          </w:p>
        </w:tc>
        <w:tc>
          <w:tcPr>
            <w:tcW w:type="dxa" w:w="33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Tooltip indica el dominio. 'Procariota — Pared peptidoglicano detectada'.</w:t>
            </w:r>
          </w:p>
        </w:tc>
      </w:tr>
    </w:tbl>
    <w:p>
      <w:pPr>
        <w:spacing w:after="80" w:before="80"/>
      </w:pPr>
      <w:r>
        <w:t xml:space="preserve"/>
      </w:r>
    </w:p>
    <w:p>
      <w:r>
        <w:br w:type="page"/>
      </w:r>
    </w:p>
    <w:p>
      <w:pPr>
        <w:pStyle w:val="Heading1"/>
        <w:pBdr>
          <w:bottom w:val="single" w:color="1B4F72" w:sz="10" w:space="2"/>
        </w:pBdr>
        <w:spacing w:after="180" w:before="460"/>
      </w:pPr>
      <w:r>
        <w:rPr>
          <w:rFonts w:ascii="Arial" w:cs="Arial" w:eastAsia="Arial" w:hAnsi="Arial"/>
          <w:b/>
          <w:bCs/>
          <w:color w:val="1B4F72"/>
          <w:sz w:val="40"/>
          <w:szCs w:val="40"/>
        </w:rPr>
        <w:t xml:space="preserve">8. PALETA DE COLOR — INTERIOR COMPLETA</w:t>
      </w:r>
    </w:p>
    <w:p>
      <w:pPr>
        <w:pStyle w:val="Heading2"/>
        <w:spacing w:after="110" w:before="300"/>
      </w:pPr>
      <w:r>
        <w:rPr>
          <w:rFonts w:ascii="Arial" w:cs="Arial" w:eastAsia="Arial" w:hAnsi="Arial"/>
          <w:b/>
          <w:bCs/>
          <w:color w:val="2471A3"/>
          <w:sz w:val="28"/>
          <w:szCs w:val="28"/>
        </w:rPr>
        <w:t xml:space="preserve">8.1 Procariota — Elementos del Citoplasma Denso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160"/>
        <w:gridCol w:w="1800"/>
        <w:gridCol w:w="1600"/>
        <w:gridCol w:w="4440"/>
      </w:tblGrid>
      <w:tr>
        <w:trPr>
          <w:tblHeader/>
        </w:trPr>
        <w:tc>
          <w:tcPr>
            <w:tcW w:type="dxa" w:w="360"/>
            <w:gridSpan w:val="1"/>
            <w:tcBorders>
              <w:top w:val="single" w:color="BDC3C7" w:sz="1"/>
              <w:left w:val="single" w:color="BDC3C7" w:sz="1"/>
              <w:bottom w:val="single" w:color="BDC3C7" w:sz="1"/>
              <w:right w:val="single" w:color="BDC3C7" w:sz="1"/>
            </w:tcBorders>
            <w:shd w:fill="2471A3" w:val="clear"/>
            <w:tcMar>
              <w:top w:type="dxa" w:w="70"/>
              <w:left w:type="dxa" w:w="130"/>
              <w:bottom w:type="dxa" w:w="70"/>
              <w:right w:type="dxa" w:w="130"/>
            </w:tcMar>
            <w:vAlign w:val="center"/>
          </w:tcPr>
          <w:p>
            <w:r>
              <w:rPr>
                <w:rFonts w:ascii="Arial" w:cs="Arial" w:eastAsia="Arial" w:hAnsi="Arial"/>
                <w:b/>
                <w:bCs/>
                <w:color w:val="FFFFFF"/>
                <w:sz w:val="20"/>
                <w:szCs w:val="20"/>
              </w:rPr>
              <w:t xml:space="preserve"/>
            </w:r>
          </w:p>
        </w:tc>
        <w:tc>
          <w:tcPr>
            <w:tcW w:type="dxa" w:w="1160"/>
            <w:gridSpan w:val="1"/>
            <w:tcBorders>
              <w:top w:val="single" w:color="BDC3C7" w:sz="1"/>
              <w:left w:val="single" w:color="BDC3C7" w:sz="1"/>
              <w:bottom w:val="single" w:color="BDC3C7" w:sz="1"/>
              <w:right w:val="single" w:color="BDC3C7" w:sz="1"/>
            </w:tcBorders>
            <w:shd w:fill="2471A3" w:val="clear"/>
            <w:tcMar>
              <w:top w:type="dxa" w:w="70"/>
              <w:left w:type="dxa" w:w="130"/>
              <w:bottom w:type="dxa" w:w="70"/>
              <w:right w:type="dxa" w:w="130"/>
            </w:tcMar>
            <w:vAlign w:val="center"/>
          </w:tcPr>
          <w:p>
            <w:r>
              <w:rPr>
                <w:rFonts w:ascii="Arial" w:cs="Arial" w:eastAsia="Arial" w:hAnsi="Arial"/>
                <w:b/>
                <w:bCs/>
                <w:color w:val="FFFFFF"/>
                <w:sz w:val="20"/>
                <w:szCs w:val="20"/>
              </w:rPr>
              <w:t xml:space="preserve">HEX</w:t>
            </w:r>
          </w:p>
        </w:tc>
        <w:tc>
          <w:tcPr>
            <w:tcW w:type="dxa" w:w="1800"/>
            <w:gridSpan w:val="1"/>
            <w:tcBorders>
              <w:top w:val="single" w:color="BDC3C7" w:sz="1"/>
              <w:left w:val="single" w:color="BDC3C7" w:sz="1"/>
              <w:bottom w:val="single" w:color="BDC3C7" w:sz="1"/>
              <w:right w:val="single" w:color="BDC3C7" w:sz="1"/>
            </w:tcBorders>
            <w:shd w:fill="2471A3" w:val="clear"/>
            <w:tcMar>
              <w:top w:type="dxa" w:w="70"/>
              <w:left w:type="dxa" w:w="130"/>
              <w:bottom w:type="dxa" w:w="70"/>
              <w:right w:type="dxa" w:w="130"/>
            </w:tcMar>
            <w:vAlign w:val="center"/>
          </w:tcPr>
          <w:p>
            <w:r>
              <w:rPr>
                <w:rFonts w:ascii="Arial" w:cs="Arial" w:eastAsia="Arial" w:hAnsi="Arial"/>
                <w:b/>
                <w:bCs/>
                <w:color w:val="FFFFFF"/>
                <w:sz w:val="20"/>
                <w:szCs w:val="20"/>
              </w:rPr>
              <w:t xml:space="preserve">ELEMENTO</w:t>
            </w:r>
          </w:p>
        </w:tc>
        <w:tc>
          <w:tcPr>
            <w:tcW w:type="dxa" w:w="1600"/>
            <w:gridSpan w:val="1"/>
            <w:tcBorders>
              <w:top w:val="single" w:color="BDC3C7" w:sz="1"/>
              <w:left w:val="single" w:color="BDC3C7" w:sz="1"/>
              <w:bottom w:val="single" w:color="BDC3C7" w:sz="1"/>
              <w:right w:val="single" w:color="BDC3C7" w:sz="1"/>
            </w:tcBorders>
            <w:shd w:fill="2471A3" w:val="clear"/>
            <w:tcMar>
              <w:top w:type="dxa" w:w="70"/>
              <w:left w:type="dxa" w:w="130"/>
              <w:bottom w:type="dxa" w:w="70"/>
              <w:right w:type="dxa" w:w="130"/>
            </w:tcMar>
            <w:vAlign w:val="center"/>
          </w:tcPr>
          <w:p>
            <w:r>
              <w:rPr>
                <w:rFonts w:ascii="Arial" w:cs="Arial" w:eastAsia="Arial" w:hAnsi="Arial"/>
                <w:b/>
                <w:bCs/>
                <w:color w:val="FFFFFF"/>
                <w:sz w:val="20"/>
                <w:szCs w:val="20"/>
              </w:rPr>
              <w:t xml:space="preserve">ROL</w:t>
            </w:r>
          </w:p>
        </w:tc>
        <w:tc>
          <w:tcPr>
            <w:tcW w:type="dxa" w:w="4440"/>
            <w:gridSpan w:val="1"/>
            <w:tcBorders>
              <w:top w:val="single" w:color="BDC3C7" w:sz="1"/>
              <w:left w:val="single" w:color="BDC3C7" w:sz="1"/>
              <w:bottom w:val="single" w:color="BDC3C7" w:sz="1"/>
              <w:right w:val="single" w:color="BDC3C7" w:sz="1"/>
            </w:tcBorders>
            <w:shd w:fill="2471A3" w:val="clear"/>
            <w:tcMar>
              <w:top w:type="dxa" w:w="70"/>
              <w:left w:type="dxa" w:w="130"/>
              <w:bottom w:type="dxa" w:w="70"/>
              <w:right w:type="dxa" w:w="130"/>
            </w:tcMar>
            <w:vAlign w:val="center"/>
          </w:tcPr>
          <w:p>
            <w:r>
              <w:rPr>
                <w:rFonts w:ascii="Arial" w:cs="Arial" w:eastAsia="Arial" w:hAnsi="Arial"/>
                <w:b/>
                <w:bCs/>
                <w:color w:val="FFFFFF"/>
                <w:sz w:val="20"/>
                <w:szCs w:val="20"/>
              </w:rPr>
              <w:t xml:space="preserve">JUSTIFICACIÓN</w:t>
            </w:r>
          </w:p>
        </w:tc>
      </w:tr>
      <w:tr>
        <w:tc>
          <w:tcPr>
            <w:tcW w:type="dxa" w:w="360"/>
            <w:gridSpan w:val="1"/>
            <w:tcBorders>
              <w:top w:val="single" w:color="BDC3C7" w:sz="1"/>
              <w:left w:val="single" w:color="BDC3C7" w:sz="1"/>
              <w:bottom w:val="single" w:color="BDC3C7" w:sz="1"/>
              <w:right w:val="single" w:color="BDC3C7" w:sz="1"/>
            </w:tcBorders>
            <w:shd w:fill="C2185B"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   </w:t>
            </w:r>
          </w:p>
        </w:tc>
        <w:tc>
          <w:tcPr>
            <w:tcW w:type="dxa" w:w="11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bCs/>
                <w:color w:val="000000"/>
                <w:sz w:val="19"/>
                <w:szCs w:val="19"/>
              </w:rPr>
              <w:t xml:space="preserve">#C2185B</w:t>
            </w:r>
          </w:p>
        </w:tc>
        <w:tc>
          <w:tcPr>
            <w:tcW w:type="dxa" w:w="18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bCs/>
                <w:color w:val="2C3E50"/>
                <w:sz w:val="20"/>
                <w:szCs w:val="20"/>
              </w:rPr>
              <w:t xml:space="preserve">Nucleoide (difuso)</w:t>
            </w:r>
          </w:p>
        </w:tc>
        <w:tc>
          <w:tcPr>
            <w:tcW w:type="dxa" w:w="16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19"/>
                <w:szCs w:val="19"/>
              </w:rPr>
              <w:t xml:space="preserve">Material genético libre</w:t>
            </w:r>
          </w:p>
        </w:tc>
        <w:tc>
          <w:tcPr>
            <w:tcW w:type="dxa" w:w="444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19"/>
                <w:szCs w:val="19"/>
              </w:rPr>
              <w:t xml:space="preserve">ADN circular sin membrana. Se muestra tenue (alpha 0.5) porque está distribuido, no concentrado.</w:t>
            </w:r>
          </w:p>
        </w:tc>
      </w:tr>
      <w:tr>
        <w:tc>
          <w:tcPr>
            <w:tcW w:type="dxa" w:w="360"/>
            <w:gridSpan w:val="1"/>
            <w:tcBorders>
              <w:top w:val="single" w:color="BDC3C7" w:sz="1"/>
              <w:left w:val="single" w:color="BDC3C7" w:sz="1"/>
              <w:bottom w:val="single" w:color="BDC3C7" w:sz="1"/>
              <w:right w:val="single" w:color="BDC3C7" w:sz="1"/>
            </w:tcBorders>
            <w:shd w:fill="E65100"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   </w:t>
            </w:r>
          </w:p>
        </w:tc>
        <w:tc>
          <w:tcPr>
            <w:tcW w:type="dxa" w:w="11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bCs/>
                <w:color w:val="000000"/>
                <w:sz w:val="19"/>
                <w:szCs w:val="19"/>
              </w:rPr>
              <w:t xml:space="preserve">#E65100</w:t>
            </w:r>
          </w:p>
        </w:tc>
        <w:tc>
          <w:tcPr>
            <w:tcW w:type="dxa" w:w="18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bCs/>
                <w:color w:val="2C3E50"/>
                <w:sz w:val="20"/>
                <w:szCs w:val="20"/>
              </w:rPr>
              <w:t xml:space="preserve">Ribosomas 70S + prot. membrana</w:t>
            </w:r>
          </w:p>
        </w:tc>
        <w:tc>
          <w:tcPr>
            <w:tcW w:type="dxa" w:w="16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19"/>
                <w:szCs w:val="19"/>
              </w:rPr>
              <w:t xml:space="preserve">Síntesis + energía</w:t>
            </w:r>
          </w:p>
        </w:tc>
        <w:tc>
          <w:tcPr>
            <w:tcW w:type="dxa" w:w="444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19"/>
                <w:szCs w:val="19"/>
              </w:rPr>
              <w:t xml:space="preserve">Mismo color que la mitocondria eucariota — ambos son el motor energético/sintético.</w:t>
            </w:r>
          </w:p>
        </w:tc>
      </w:tr>
      <w:tr>
        <w:tc>
          <w:tcPr>
            <w:tcW w:type="dxa" w:w="360"/>
            <w:gridSpan w:val="1"/>
            <w:tcBorders>
              <w:top w:val="single" w:color="BDC3C7" w:sz="1"/>
              <w:left w:val="single" w:color="BDC3C7" w:sz="1"/>
              <w:bottom w:val="single" w:color="BDC3C7" w:sz="1"/>
              <w:right w:val="single" w:color="BDC3C7" w:sz="1"/>
            </w:tcBorders>
            <w:shd w:fill="E91E63"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   </w:t>
            </w:r>
          </w:p>
        </w:tc>
        <w:tc>
          <w:tcPr>
            <w:tcW w:type="dxa" w:w="11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bCs/>
                <w:color w:val="000000"/>
                <w:sz w:val="19"/>
                <w:szCs w:val="19"/>
              </w:rPr>
              <w:t xml:space="preserve">#E91E63</w:t>
            </w:r>
          </w:p>
        </w:tc>
        <w:tc>
          <w:tcPr>
            <w:tcW w:type="dxa" w:w="18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bCs/>
                <w:color w:val="2C3E50"/>
                <w:sz w:val="20"/>
                <w:szCs w:val="20"/>
              </w:rPr>
              <w:t xml:space="preserve">ARN mensajero</w:t>
            </w:r>
          </w:p>
        </w:tc>
        <w:tc>
          <w:tcPr>
            <w:tcW w:type="dxa" w:w="16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19"/>
                <w:szCs w:val="19"/>
              </w:rPr>
              <w:t xml:space="preserve">Información genética</w:t>
            </w:r>
          </w:p>
        </w:tc>
        <w:tc>
          <w:tcPr>
            <w:tcW w:type="dxa" w:w="444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19"/>
                <w:szCs w:val="19"/>
              </w:rPr>
              <w:t xml:space="preserve">Hebras que viajan del nucleoide a los ribosomas.</w:t>
            </w:r>
          </w:p>
        </w:tc>
      </w:tr>
      <w:tr>
        <w:tc>
          <w:tcPr>
            <w:tcW w:type="dxa" w:w="360"/>
            <w:gridSpan w:val="1"/>
            <w:tcBorders>
              <w:top w:val="single" w:color="BDC3C7" w:sz="1"/>
              <w:left w:val="single" w:color="BDC3C7" w:sz="1"/>
              <w:bottom w:val="single" w:color="BDC3C7" w:sz="1"/>
              <w:right w:val="single" w:color="BDC3C7" w:sz="1"/>
            </w:tcBorders>
            <w:shd w:fill="FFD700"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   </w:t>
            </w:r>
          </w:p>
        </w:tc>
        <w:tc>
          <w:tcPr>
            <w:tcW w:type="dxa" w:w="11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bCs/>
                <w:color w:val="000000"/>
                <w:sz w:val="19"/>
                <w:szCs w:val="19"/>
              </w:rPr>
              <w:t xml:space="preserve">#FFD700</w:t>
            </w:r>
          </w:p>
        </w:tc>
        <w:tc>
          <w:tcPr>
            <w:tcW w:type="dxa" w:w="18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bCs/>
                <w:color w:val="2C3E50"/>
                <w:sz w:val="20"/>
                <w:szCs w:val="20"/>
              </w:rPr>
              <w:t xml:space="preserve">ATP bacteriano</w:t>
            </w:r>
          </w:p>
        </w:tc>
        <w:tc>
          <w:tcPr>
            <w:tcW w:type="dxa" w:w="16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19"/>
                <w:szCs w:val="19"/>
              </w:rPr>
              <w:t xml:space="preserve">Energía</w:t>
            </w:r>
          </w:p>
        </w:tc>
        <w:tc>
          <w:tcPr>
            <w:tcW w:type="dxa" w:w="444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19"/>
                <w:szCs w:val="19"/>
              </w:rPr>
              <w:t xml:space="preserve">Igual que el eucariota — la energía siempre es dorada.</w:t>
            </w:r>
          </w:p>
        </w:tc>
      </w:tr>
      <w:tr>
        <w:tc>
          <w:tcPr>
            <w:tcW w:type="dxa" w:w="360"/>
            <w:gridSpan w:val="1"/>
            <w:tcBorders>
              <w:top w:val="single" w:color="BDC3C7" w:sz="1"/>
              <w:left w:val="single" w:color="BDC3C7" w:sz="1"/>
              <w:bottom w:val="single" w:color="BDC3C7" w:sz="1"/>
              <w:right w:val="single" w:color="BDC3C7" w:sz="1"/>
            </w:tcBorders>
            <w:shd w:fill="050A1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   </w:t>
            </w:r>
          </w:p>
        </w:tc>
        <w:tc>
          <w:tcPr>
            <w:tcW w:type="dxa" w:w="11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bCs/>
                <w:color w:val="000000"/>
                <w:sz w:val="19"/>
                <w:szCs w:val="19"/>
              </w:rPr>
              <w:t xml:space="preserve">#050A14</w:t>
            </w:r>
          </w:p>
        </w:tc>
        <w:tc>
          <w:tcPr>
            <w:tcW w:type="dxa" w:w="18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bCs/>
                <w:color w:val="2C3E50"/>
                <w:sz w:val="20"/>
                <w:szCs w:val="20"/>
              </w:rPr>
              <w:t xml:space="preserve">Citoplasma</w:t>
            </w:r>
          </w:p>
        </w:tc>
        <w:tc>
          <w:tcPr>
            <w:tcW w:type="dxa" w:w="16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19"/>
                <w:szCs w:val="19"/>
              </w:rPr>
              <w:t xml:space="preserve">Fondo</w:t>
            </w:r>
          </w:p>
        </w:tc>
        <w:tc>
          <w:tcPr>
            <w:tcW w:type="dxa" w:w="444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19"/>
                <w:szCs w:val="19"/>
              </w:rPr>
              <w:t xml:space="preserve">Igual que el eucariota — el espacio interno es siempre oscuro.</w:t>
            </w:r>
          </w:p>
        </w:tc>
      </w:tr>
    </w:tbl>
    <w:p>
      <w:pPr>
        <w:spacing w:after="80" w:before="80"/>
      </w:pPr>
      <w:r>
        <w:t xml:space="preserve"/>
      </w:r>
    </w:p>
    <w:p>
      <w:pPr>
        <w:pStyle w:val="Heading2"/>
        <w:spacing w:after="110" w:before="300"/>
      </w:pPr>
      <w:r>
        <w:rPr>
          <w:rFonts w:ascii="Arial" w:cs="Arial" w:eastAsia="Arial" w:hAnsi="Arial"/>
          <w:b/>
          <w:bCs/>
          <w:color w:val="2471A3"/>
          <w:sz w:val="28"/>
          <w:szCs w:val="28"/>
        </w:rPr>
        <w:t xml:space="preserve">8.2 Eucariota — Orgánulos con Membrana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160"/>
        <w:gridCol w:w="1800"/>
        <w:gridCol w:w="1600"/>
        <w:gridCol w:w="4440"/>
      </w:tblGrid>
      <w:tr>
        <w:trPr>
          <w:tblHeader/>
        </w:trPr>
        <w:tc>
          <w:tcPr>
            <w:tcW w:type="dxa" w:w="360"/>
            <w:gridSpan w:val="1"/>
            <w:tcBorders>
              <w:top w:val="single" w:color="BDC3C7" w:sz="1"/>
              <w:left w:val="single" w:color="BDC3C7" w:sz="1"/>
              <w:bottom w:val="single" w:color="BDC3C7" w:sz="1"/>
              <w:right w:val="single" w:color="BDC3C7" w:sz="1"/>
            </w:tcBorders>
            <w:shd w:fill="1E8449" w:val="clear"/>
            <w:tcMar>
              <w:top w:type="dxa" w:w="70"/>
              <w:left w:type="dxa" w:w="130"/>
              <w:bottom w:type="dxa" w:w="70"/>
              <w:right w:type="dxa" w:w="130"/>
            </w:tcMar>
            <w:vAlign w:val="center"/>
          </w:tcPr>
          <w:p>
            <w:r>
              <w:rPr>
                <w:rFonts w:ascii="Arial" w:cs="Arial" w:eastAsia="Arial" w:hAnsi="Arial"/>
                <w:b/>
                <w:bCs/>
                <w:color w:val="FFFFFF"/>
                <w:sz w:val="20"/>
                <w:szCs w:val="20"/>
              </w:rPr>
              <w:t xml:space="preserve"/>
            </w:r>
          </w:p>
        </w:tc>
        <w:tc>
          <w:tcPr>
            <w:tcW w:type="dxa" w:w="1160"/>
            <w:gridSpan w:val="1"/>
            <w:tcBorders>
              <w:top w:val="single" w:color="BDC3C7" w:sz="1"/>
              <w:left w:val="single" w:color="BDC3C7" w:sz="1"/>
              <w:bottom w:val="single" w:color="BDC3C7" w:sz="1"/>
              <w:right w:val="single" w:color="BDC3C7" w:sz="1"/>
            </w:tcBorders>
            <w:shd w:fill="1E8449" w:val="clear"/>
            <w:tcMar>
              <w:top w:type="dxa" w:w="70"/>
              <w:left w:type="dxa" w:w="130"/>
              <w:bottom w:type="dxa" w:w="70"/>
              <w:right w:type="dxa" w:w="130"/>
            </w:tcMar>
            <w:vAlign w:val="center"/>
          </w:tcPr>
          <w:p>
            <w:r>
              <w:rPr>
                <w:rFonts w:ascii="Arial" w:cs="Arial" w:eastAsia="Arial" w:hAnsi="Arial"/>
                <w:b/>
                <w:bCs/>
                <w:color w:val="FFFFFF"/>
                <w:sz w:val="20"/>
                <w:szCs w:val="20"/>
              </w:rPr>
              <w:t xml:space="preserve">HEX</w:t>
            </w:r>
          </w:p>
        </w:tc>
        <w:tc>
          <w:tcPr>
            <w:tcW w:type="dxa" w:w="1800"/>
            <w:gridSpan w:val="1"/>
            <w:tcBorders>
              <w:top w:val="single" w:color="BDC3C7" w:sz="1"/>
              <w:left w:val="single" w:color="BDC3C7" w:sz="1"/>
              <w:bottom w:val="single" w:color="BDC3C7" w:sz="1"/>
              <w:right w:val="single" w:color="BDC3C7" w:sz="1"/>
            </w:tcBorders>
            <w:shd w:fill="1E8449" w:val="clear"/>
            <w:tcMar>
              <w:top w:type="dxa" w:w="70"/>
              <w:left w:type="dxa" w:w="130"/>
              <w:bottom w:type="dxa" w:w="70"/>
              <w:right w:type="dxa" w:w="130"/>
            </w:tcMar>
            <w:vAlign w:val="center"/>
          </w:tcPr>
          <w:p>
            <w:r>
              <w:rPr>
                <w:rFonts w:ascii="Arial" w:cs="Arial" w:eastAsia="Arial" w:hAnsi="Arial"/>
                <w:b/>
                <w:bCs/>
                <w:color w:val="FFFFFF"/>
                <w:sz w:val="20"/>
                <w:szCs w:val="20"/>
              </w:rPr>
              <w:t xml:space="preserve">ORGÁNULO</w:t>
            </w:r>
          </w:p>
        </w:tc>
        <w:tc>
          <w:tcPr>
            <w:tcW w:type="dxa" w:w="1600"/>
            <w:gridSpan w:val="1"/>
            <w:tcBorders>
              <w:top w:val="single" w:color="BDC3C7" w:sz="1"/>
              <w:left w:val="single" w:color="BDC3C7" w:sz="1"/>
              <w:bottom w:val="single" w:color="BDC3C7" w:sz="1"/>
              <w:right w:val="single" w:color="BDC3C7" w:sz="1"/>
            </w:tcBorders>
            <w:shd w:fill="1E8449" w:val="clear"/>
            <w:tcMar>
              <w:top w:type="dxa" w:w="70"/>
              <w:left w:type="dxa" w:w="130"/>
              <w:bottom w:type="dxa" w:w="70"/>
              <w:right w:type="dxa" w:w="130"/>
            </w:tcMar>
            <w:vAlign w:val="center"/>
          </w:tcPr>
          <w:p>
            <w:r>
              <w:rPr>
                <w:rFonts w:ascii="Arial" w:cs="Arial" w:eastAsia="Arial" w:hAnsi="Arial"/>
                <w:b/>
                <w:bCs/>
                <w:color w:val="FFFFFF"/>
                <w:sz w:val="20"/>
                <w:szCs w:val="20"/>
              </w:rPr>
              <w:t xml:space="preserve">ROL</w:t>
            </w:r>
          </w:p>
        </w:tc>
        <w:tc>
          <w:tcPr>
            <w:tcW w:type="dxa" w:w="4440"/>
            <w:gridSpan w:val="1"/>
            <w:tcBorders>
              <w:top w:val="single" w:color="BDC3C7" w:sz="1"/>
              <w:left w:val="single" w:color="BDC3C7" w:sz="1"/>
              <w:bottom w:val="single" w:color="BDC3C7" w:sz="1"/>
              <w:right w:val="single" w:color="BDC3C7" w:sz="1"/>
            </w:tcBorders>
            <w:shd w:fill="1E8449" w:val="clear"/>
            <w:tcMar>
              <w:top w:type="dxa" w:w="70"/>
              <w:left w:type="dxa" w:w="130"/>
              <w:bottom w:type="dxa" w:w="70"/>
              <w:right w:type="dxa" w:w="130"/>
            </w:tcMar>
            <w:vAlign w:val="center"/>
          </w:tcPr>
          <w:p>
            <w:r>
              <w:rPr>
                <w:rFonts w:ascii="Arial" w:cs="Arial" w:eastAsia="Arial" w:hAnsi="Arial"/>
                <w:b/>
                <w:bCs/>
                <w:color w:val="FFFFFF"/>
                <w:sz w:val="20"/>
                <w:szCs w:val="20"/>
              </w:rPr>
              <w:t xml:space="preserve">JUSTIFICACIÓN Y REFERENTE</w:t>
            </w:r>
          </w:p>
        </w:tc>
      </w:tr>
      <w:tr>
        <w:tc>
          <w:tcPr>
            <w:tcW w:type="dxa" w:w="360"/>
            <w:gridSpan w:val="1"/>
            <w:tcBorders>
              <w:top w:val="single" w:color="BDC3C7" w:sz="1"/>
              <w:left w:val="single" w:color="BDC3C7" w:sz="1"/>
              <w:bottom w:val="single" w:color="BDC3C7" w:sz="1"/>
              <w:right w:val="single" w:color="BDC3C7" w:sz="1"/>
            </w:tcBorders>
            <w:shd w:fill="C2185B"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   </w:t>
            </w:r>
          </w:p>
        </w:tc>
        <w:tc>
          <w:tcPr>
            <w:tcW w:type="dxa" w:w="11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bCs/>
                <w:color w:val="000000"/>
                <w:sz w:val="19"/>
                <w:szCs w:val="19"/>
              </w:rPr>
              <w:t xml:space="preserve">#C2185B</w:t>
            </w:r>
          </w:p>
        </w:tc>
        <w:tc>
          <w:tcPr>
            <w:tcW w:type="dxa" w:w="18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bCs/>
                <w:color w:val="2C3E50"/>
                <w:sz w:val="20"/>
                <w:szCs w:val="20"/>
              </w:rPr>
              <w:t xml:space="preserve">Núcleo</w:t>
            </w:r>
          </w:p>
        </w:tc>
        <w:tc>
          <w:tcPr>
            <w:tcW w:type="dxa" w:w="16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19"/>
                <w:szCs w:val="19"/>
              </w:rPr>
              <w:t xml:space="preserve">Centro de comando</w:t>
            </w:r>
          </w:p>
        </w:tc>
        <w:tc>
          <w:tcPr>
            <w:tcW w:type="dxa" w:w="444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19"/>
                <w:szCs w:val="19"/>
              </w:rPr>
              <w:t xml:space="preserve">Rojo-rosado. Con membrana doble y poros nucleares. Julien Tromeur imagen 10/11.</w:t>
            </w:r>
          </w:p>
        </w:tc>
      </w:tr>
      <w:tr>
        <w:tc>
          <w:tcPr>
            <w:tcW w:type="dxa" w:w="360"/>
            <w:gridSpan w:val="1"/>
            <w:tcBorders>
              <w:top w:val="single" w:color="BDC3C7" w:sz="1"/>
              <w:left w:val="single" w:color="BDC3C7" w:sz="1"/>
              <w:bottom w:val="single" w:color="BDC3C7" w:sz="1"/>
              <w:right w:val="single" w:color="BDC3C7" w:sz="1"/>
            </w:tcBorders>
            <w:shd w:fill="E65100"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   </w:t>
            </w:r>
          </w:p>
        </w:tc>
        <w:tc>
          <w:tcPr>
            <w:tcW w:type="dxa" w:w="11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bCs/>
                <w:color w:val="000000"/>
                <w:sz w:val="19"/>
                <w:szCs w:val="19"/>
              </w:rPr>
              <w:t xml:space="preserve">#E65100</w:t>
            </w:r>
          </w:p>
        </w:tc>
        <w:tc>
          <w:tcPr>
            <w:tcW w:type="dxa" w:w="18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bCs/>
                <w:color w:val="2C3E50"/>
                <w:sz w:val="20"/>
                <w:szCs w:val="20"/>
              </w:rPr>
              <w:t xml:space="preserve">Mitocondria</w:t>
            </w:r>
          </w:p>
        </w:tc>
        <w:tc>
          <w:tcPr>
            <w:tcW w:type="dxa" w:w="16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19"/>
                <w:szCs w:val="19"/>
              </w:rPr>
              <w:t xml:space="preserve">Energía</w:t>
            </w:r>
          </w:p>
        </w:tc>
        <w:tc>
          <w:tcPr>
            <w:tcW w:type="dxa" w:w="444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19"/>
                <w:szCs w:val="19"/>
              </w:rPr>
              <w:t xml:space="preserve">Naranja fuego. Con crestas internas. Julien Tromeur imagen 11.</w:t>
            </w:r>
          </w:p>
        </w:tc>
      </w:tr>
      <w:tr>
        <w:tc>
          <w:tcPr>
            <w:tcW w:type="dxa" w:w="360"/>
            <w:gridSpan w:val="1"/>
            <w:tcBorders>
              <w:top w:val="single" w:color="BDC3C7" w:sz="1"/>
              <w:left w:val="single" w:color="BDC3C7" w:sz="1"/>
              <w:bottom w:val="single" w:color="BDC3C7" w:sz="1"/>
              <w:right w:val="single" w:color="BDC3C7" w:sz="1"/>
            </w:tcBorders>
            <w:shd w:fill="E91E63"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   </w:t>
            </w:r>
          </w:p>
        </w:tc>
        <w:tc>
          <w:tcPr>
            <w:tcW w:type="dxa" w:w="11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bCs/>
                <w:color w:val="000000"/>
                <w:sz w:val="19"/>
                <w:szCs w:val="19"/>
              </w:rPr>
              <w:t xml:space="preserve">#E91E63</w:t>
            </w:r>
          </w:p>
        </w:tc>
        <w:tc>
          <w:tcPr>
            <w:tcW w:type="dxa" w:w="18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bCs/>
                <w:color w:val="2C3E50"/>
                <w:sz w:val="20"/>
                <w:szCs w:val="20"/>
              </w:rPr>
              <w:t xml:space="preserve">Retículo endoplásmático</w:t>
            </w:r>
          </w:p>
        </w:tc>
        <w:tc>
          <w:tcPr>
            <w:tcW w:type="dxa" w:w="16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19"/>
                <w:szCs w:val="19"/>
              </w:rPr>
              <w:t xml:space="preserve">Transporte/síntesis</w:t>
            </w:r>
          </w:p>
        </w:tc>
        <w:tc>
          <w:tcPr>
            <w:tcW w:type="dxa" w:w="444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19"/>
                <w:szCs w:val="19"/>
              </w:rPr>
              <w:t xml:space="preserve">Rosa-magenta. Red de túneles curvados. Julien Tromeur imagen 11.</w:t>
            </w:r>
          </w:p>
        </w:tc>
      </w:tr>
      <w:tr>
        <w:tc>
          <w:tcPr>
            <w:tcW w:type="dxa" w:w="360"/>
            <w:gridSpan w:val="1"/>
            <w:tcBorders>
              <w:top w:val="single" w:color="BDC3C7" w:sz="1"/>
              <w:left w:val="single" w:color="BDC3C7" w:sz="1"/>
              <w:bottom w:val="single" w:color="BDC3C7" w:sz="1"/>
              <w:right w:val="single" w:color="BDC3C7" w:sz="1"/>
            </w:tcBorders>
            <w:shd w:fill="1565C0"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   </w:t>
            </w:r>
          </w:p>
        </w:tc>
        <w:tc>
          <w:tcPr>
            <w:tcW w:type="dxa" w:w="11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bCs/>
                <w:color w:val="000000"/>
                <w:sz w:val="19"/>
                <w:szCs w:val="19"/>
              </w:rPr>
              <w:t xml:space="preserve">#1565C0</w:t>
            </w:r>
          </w:p>
        </w:tc>
        <w:tc>
          <w:tcPr>
            <w:tcW w:type="dxa" w:w="18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bCs/>
                <w:color w:val="2C3E50"/>
                <w:sz w:val="20"/>
                <w:szCs w:val="20"/>
              </w:rPr>
              <w:t xml:space="preserve">Vacuola</w:t>
            </w:r>
          </w:p>
        </w:tc>
        <w:tc>
          <w:tcPr>
            <w:tcW w:type="dxa" w:w="16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19"/>
                <w:szCs w:val="19"/>
              </w:rPr>
              <w:t xml:space="preserve">Almacenamiento</w:t>
            </w:r>
          </w:p>
        </w:tc>
        <w:tc>
          <w:tcPr>
            <w:tcW w:type="dxa" w:w="444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19"/>
                <w:szCs w:val="19"/>
              </w:rPr>
              <w:t xml:space="preserve">Azul profundo translúcido. Imagen 8 del set Technology Networks.</w:t>
            </w:r>
          </w:p>
        </w:tc>
      </w:tr>
      <w:tr>
        <w:tc>
          <w:tcPr>
            <w:tcW w:type="dxa" w:w="360"/>
            <w:gridSpan w:val="1"/>
            <w:tcBorders>
              <w:top w:val="single" w:color="BDC3C7" w:sz="1"/>
              <w:left w:val="single" w:color="BDC3C7" w:sz="1"/>
              <w:bottom w:val="single" w:color="BDC3C7" w:sz="1"/>
              <w:right w:val="single" w:color="BDC3C7" w:sz="1"/>
            </w:tcBorders>
            <w:shd w:fill="6A1B9A"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   </w:t>
            </w:r>
          </w:p>
        </w:tc>
        <w:tc>
          <w:tcPr>
            <w:tcW w:type="dxa" w:w="11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bCs/>
                <w:color w:val="000000"/>
                <w:sz w:val="19"/>
                <w:szCs w:val="19"/>
              </w:rPr>
              <w:t xml:space="preserve">#6A1B9A</w:t>
            </w:r>
          </w:p>
        </w:tc>
        <w:tc>
          <w:tcPr>
            <w:tcW w:type="dxa" w:w="18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bCs/>
                <w:color w:val="2C3E50"/>
                <w:sz w:val="20"/>
                <w:szCs w:val="20"/>
              </w:rPr>
              <w:t xml:space="preserve">Lisosoma</w:t>
            </w:r>
          </w:p>
        </w:tc>
        <w:tc>
          <w:tcPr>
            <w:tcW w:type="dxa" w:w="16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19"/>
                <w:szCs w:val="19"/>
              </w:rPr>
              <w:t xml:space="preserve">Digestión/defensa</w:t>
            </w:r>
          </w:p>
        </w:tc>
        <w:tc>
          <w:tcPr>
            <w:tcW w:type="dxa" w:w="444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19"/>
                <w:szCs w:val="19"/>
              </w:rPr>
              <w:t xml:space="preserve">Violeta-morado. Convención universal en atlas de biología.</w:t>
            </w:r>
          </w:p>
        </w:tc>
      </w:tr>
      <w:tr>
        <w:tc>
          <w:tcPr>
            <w:tcW w:type="dxa" w:w="360"/>
            <w:gridSpan w:val="1"/>
            <w:tcBorders>
              <w:top w:val="single" w:color="BDC3C7" w:sz="1"/>
              <w:left w:val="single" w:color="BDC3C7" w:sz="1"/>
              <w:bottom w:val="single" w:color="BDC3C7" w:sz="1"/>
              <w:right w:val="single" w:color="BDC3C7" w:sz="1"/>
            </w:tcBorders>
            <w:shd w:fill="F57F17"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   </w:t>
            </w:r>
          </w:p>
        </w:tc>
        <w:tc>
          <w:tcPr>
            <w:tcW w:type="dxa" w:w="11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bCs/>
                <w:color w:val="000000"/>
                <w:sz w:val="19"/>
                <w:szCs w:val="19"/>
              </w:rPr>
              <w:t xml:space="preserve">#F57F17</w:t>
            </w:r>
          </w:p>
        </w:tc>
        <w:tc>
          <w:tcPr>
            <w:tcW w:type="dxa" w:w="18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bCs/>
                <w:color w:val="2C3E50"/>
                <w:sz w:val="20"/>
                <w:szCs w:val="20"/>
              </w:rPr>
              <w:t xml:space="preserve">Aparato de Golgi</w:t>
            </w:r>
          </w:p>
        </w:tc>
        <w:tc>
          <w:tcPr>
            <w:tcW w:type="dxa" w:w="16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19"/>
                <w:szCs w:val="19"/>
              </w:rPr>
              <w:t xml:space="preserve">Procesamiento/secreción</w:t>
            </w:r>
          </w:p>
        </w:tc>
        <w:tc>
          <w:tcPr>
            <w:tcW w:type="dxa" w:w="444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19"/>
                <w:szCs w:val="19"/>
              </w:rPr>
              <w:t xml:space="preserve">Ámbar-dorado. El más reconocible visualmente.</w:t>
            </w:r>
          </w:p>
        </w:tc>
      </w:tr>
      <w:tr>
        <w:tc>
          <w:tcPr>
            <w:tcW w:type="dxa" w:w="360"/>
            <w:gridSpan w:val="1"/>
            <w:tcBorders>
              <w:top w:val="single" w:color="BDC3C7" w:sz="1"/>
              <w:left w:val="single" w:color="BDC3C7" w:sz="1"/>
              <w:bottom w:val="single" w:color="BDC3C7" w:sz="1"/>
              <w:right w:val="single" w:color="BDC3C7" w:sz="1"/>
            </w:tcBorders>
            <w:shd w:fill="2E7D32"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   </w:t>
            </w:r>
          </w:p>
        </w:tc>
        <w:tc>
          <w:tcPr>
            <w:tcW w:type="dxa" w:w="11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bCs/>
                <w:color w:val="000000"/>
                <w:sz w:val="19"/>
                <w:szCs w:val="19"/>
              </w:rPr>
              <w:t xml:space="preserve">#2E7D32</w:t>
            </w:r>
          </w:p>
        </w:tc>
        <w:tc>
          <w:tcPr>
            <w:tcW w:type="dxa" w:w="18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bCs/>
                <w:color w:val="2C3E50"/>
                <w:sz w:val="20"/>
                <w:szCs w:val="20"/>
              </w:rPr>
              <w:t xml:space="preserve">Cloroplasto</w:t>
            </w:r>
          </w:p>
        </w:tc>
        <w:tc>
          <w:tcPr>
            <w:tcW w:type="dxa" w:w="16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19"/>
                <w:szCs w:val="19"/>
              </w:rPr>
              <w:t xml:space="preserve">Fotosíntesis</w:t>
            </w:r>
          </w:p>
        </w:tc>
        <w:tc>
          <w:tcPr>
            <w:tcW w:type="dxa" w:w="444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19"/>
                <w:szCs w:val="19"/>
              </w:rPr>
              <w:t xml:space="preserve">Verde bosque. Solo para fotosintéticos eucariotas (Microalga).</w:t>
            </w:r>
          </w:p>
        </w:tc>
      </w:tr>
      <w:tr>
        <w:tc>
          <w:tcPr>
            <w:tcW w:type="dxa" w:w="360"/>
            <w:gridSpan w:val="1"/>
            <w:tcBorders>
              <w:top w:val="single" w:color="BDC3C7" w:sz="1"/>
              <w:left w:val="single" w:color="BDC3C7" w:sz="1"/>
              <w:bottom w:val="single" w:color="BDC3C7" w:sz="1"/>
              <w:right w:val="single" w:color="BDC3C7" w:sz="1"/>
            </w:tcBorders>
            <w:shd w:fill="8BC34A"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   </w:t>
            </w:r>
          </w:p>
        </w:tc>
        <w:tc>
          <w:tcPr>
            <w:tcW w:type="dxa" w:w="11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bCs/>
                <w:color w:val="000000"/>
                <w:sz w:val="19"/>
                <w:szCs w:val="19"/>
              </w:rPr>
              <w:t xml:space="preserve">#8BC34A</w:t>
            </w:r>
          </w:p>
        </w:tc>
        <w:tc>
          <w:tcPr>
            <w:tcW w:type="dxa" w:w="18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bCs/>
                <w:color w:val="2C3E50"/>
                <w:sz w:val="20"/>
                <w:szCs w:val="20"/>
              </w:rPr>
              <w:t xml:space="preserve">Peroxisoma</w:t>
            </w:r>
          </w:p>
        </w:tc>
        <w:tc>
          <w:tcPr>
            <w:tcW w:type="dxa" w:w="16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19"/>
                <w:szCs w:val="19"/>
              </w:rPr>
              <w:t xml:space="preserve">Antioxidante</w:t>
            </w:r>
          </w:p>
        </w:tc>
        <w:tc>
          <w:tcPr>
            <w:tcW w:type="dxa" w:w="444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19"/>
                <w:szCs w:val="19"/>
              </w:rPr>
              <w:t xml:space="preserve">Verde-lima. Más brillante que el cloroplasto.</w:t>
            </w:r>
          </w:p>
        </w:tc>
      </w:tr>
      <w:tr>
        <w:tc>
          <w:tcPr>
            <w:tcW w:type="dxa" w:w="360"/>
            <w:gridSpan w:val="1"/>
            <w:tcBorders>
              <w:top w:val="single" w:color="BDC3C7" w:sz="1"/>
              <w:left w:val="single" w:color="BDC3C7" w:sz="1"/>
              <w:bottom w:val="single" w:color="BDC3C7" w:sz="1"/>
              <w:right w:val="single" w:color="BDC3C7" w:sz="1"/>
            </w:tcBorders>
            <w:shd w:fill="FFD700"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   </w:t>
            </w:r>
          </w:p>
        </w:tc>
        <w:tc>
          <w:tcPr>
            <w:tcW w:type="dxa" w:w="11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bCs/>
                <w:color w:val="000000"/>
                <w:sz w:val="19"/>
                <w:szCs w:val="19"/>
              </w:rPr>
              <w:t xml:space="preserve">#FFD700</w:t>
            </w:r>
          </w:p>
        </w:tc>
        <w:tc>
          <w:tcPr>
            <w:tcW w:type="dxa" w:w="18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bCs/>
                <w:color w:val="2C3E50"/>
                <w:sz w:val="20"/>
                <w:szCs w:val="20"/>
              </w:rPr>
              <w:t xml:space="preserve">ATP eucariota</w:t>
            </w:r>
          </w:p>
        </w:tc>
        <w:tc>
          <w:tcPr>
            <w:tcW w:type="dxa" w:w="16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19"/>
                <w:szCs w:val="19"/>
              </w:rPr>
              <w:t xml:space="preserve">Energía molecular</w:t>
            </w:r>
          </w:p>
        </w:tc>
        <w:tc>
          <w:tcPr>
            <w:tcW w:type="dxa" w:w="444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19"/>
                <w:szCs w:val="19"/>
              </w:rPr>
              <w:t xml:space="preserve">Amarillo brillante. Igual que el bacteriano. Henning Dalhoff.</w:t>
            </w:r>
          </w:p>
        </w:tc>
      </w:tr>
      <w:tr>
        <w:tc>
          <w:tcPr>
            <w:tcW w:type="dxa" w:w="360"/>
            <w:gridSpan w:val="1"/>
            <w:tcBorders>
              <w:top w:val="single" w:color="BDC3C7" w:sz="1"/>
              <w:left w:val="single" w:color="BDC3C7" w:sz="1"/>
              <w:bottom w:val="single" w:color="BDC3C7" w:sz="1"/>
              <w:right w:val="single" w:color="BDC3C7" w:sz="1"/>
            </w:tcBorders>
            <w:shd w:fill="A8D8EA"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   </w:t>
            </w:r>
          </w:p>
        </w:tc>
        <w:tc>
          <w:tcPr>
            <w:tcW w:type="dxa" w:w="11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bCs/>
                <w:color w:val="000000"/>
                <w:sz w:val="19"/>
                <w:szCs w:val="19"/>
              </w:rPr>
              <w:t xml:space="preserve">#A8D8EA</w:t>
            </w:r>
          </w:p>
        </w:tc>
        <w:tc>
          <w:tcPr>
            <w:tcW w:type="dxa" w:w="18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bCs/>
                <w:color w:val="2C3E50"/>
                <w:sz w:val="20"/>
                <w:szCs w:val="20"/>
              </w:rPr>
              <w:t xml:space="preserve">Bicapa lipídica</w:t>
            </w:r>
          </w:p>
        </w:tc>
        <w:tc>
          <w:tcPr>
            <w:tcW w:type="dxa" w:w="16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19"/>
                <w:szCs w:val="19"/>
              </w:rPr>
              <w:t xml:space="preserve">Membrana</w:t>
            </w:r>
          </w:p>
        </w:tc>
        <w:tc>
          <w:tcPr>
            <w:tcW w:type="dxa" w:w="444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19"/>
                <w:szCs w:val="19"/>
              </w:rPr>
              <w:t xml:space="preserve">Azul claro. Fosfolípidos individuales. Henning Dalhoff.</w:t>
            </w:r>
          </w:p>
        </w:tc>
      </w:tr>
    </w:tbl>
    <w:p>
      <w:pPr>
        <w:spacing w:after="80" w:before="80"/>
      </w:pPr>
      <w:r>
        <w:t xml:space="preserve"/>
      </w:r>
    </w:p>
    <w:p>
      <w:r>
        <w:br w:type="page"/>
      </w:r>
    </w:p>
    <w:p>
      <w:pPr>
        <w:pStyle w:val="Heading1"/>
        <w:pBdr>
          <w:bottom w:val="single" w:color="1B4F72" w:sz="10" w:space="2"/>
        </w:pBdr>
        <w:spacing w:after="180" w:before="460"/>
      </w:pPr>
      <w:r>
        <w:rPr>
          <w:rFonts w:ascii="Arial" w:cs="Arial" w:eastAsia="Arial" w:hAnsi="Arial"/>
          <w:b/>
          <w:bCs/>
          <w:color w:val="1B4F72"/>
          <w:sz w:val="40"/>
          <w:szCs w:val="40"/>
        </w:rPr>
        <w:t xml:space="preserve">9. ANIMACIONES CRÍTICAS</w:t>
      </w:r>
    </w:p>
    <w:p>
      <w:pPr>
        <w:spacing w:after="90" w:before="60"/>
      </w:pPr>
      <w:r>
        <w:rPr>
          <w:rFonts w:ascii="Arial" w:cs="Arial" w:eastAsia="Arial" w:hAnsi="Arial"/>
          <w:color w:val="2C3E50"/>
          <w:sz w:val="22"/>
          <w:szCs w:val="22"/>
        </w:rPr>
        <w:t xml:space="preserve">Las animaciones que el jugador ve cientos de veces. Tienen que ser perfectas. Se agregan las específicas de procariotas sobre las del v2.0.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gridSpan w:val="1"/>
            <w:tcBorders>
              <w:top w:val="single" w:color="BDC3C7" w:sz="1"/>
              <w:left w:val="single" w:color="BDC3C7" w:sz="1"/>
              <w:bottom w:val="single" w:color="BDC3C7" w:sz="1"/>
              <w:right w:val="single" w:color="BDC3C7" w:sz="1"/>
            </w:tcBorders>
            <w:shd w:fill="1B4F72" w:val="clear"/>
            <w:tcMar>
              <w:top w:type="dxa" w:w="70"/>
              <w:left w:type="dxa" w:w="130"/>
              <w:bottom w:type="dxa" w:w="70"/>
              <w:right w:type="dxa" w:w="130"/>
            </w:tcMar>
            <w:vAlign w:val="center"/>
          </w:tcPr>
          <w:p>
            <w:r>
              <w:rPr>
                <w:rFonts w:ascii="Arial" w:cs="Arial" w:eastAsia="Arial" w:hAnsi="Arial"/>
                <w:b/>
                <w:bCs/>
                <w:color w:val="FFFFFF"/>
                <w:sz w:val="20"/>
                <w:szCs w:val="20"/>
              </w:rPr>
              <w:t xml:space="preserve">ANIMACIÓN</w:t>
            </w:r>
          </w:p>
        </w:tc>
        <w:tc>
          <w:tcPr>
            <w:tcW w:type="dxa" w:w="1200"/>
            <w:gridSpan w:val="1"/>
            <w:tcBorders>
              <w:top w:val="single" w:color="BDC3C7" w:sz="1"/>
              <w:left w:val="single" w:color="BDC3C7" w:sz="1"/>
              <w:bottom w:val="single" w:color="BDC3C7" w:sz="1"/>
              <w:right w:val="single" w:color="BDC3C7" w:sz="1"/>
            </w:tcBorders>
            <w:shd w:fill="1B4F72" w:val="clear"/>
            <w:tcMar>
              <w:top w:type="dxa" w:w="70"/>
              <w:left w:type="dxa" w:w="130"/>
              <w:bottom w:type="dxa" w:w="70"/>
              <w:right w:type="dxa" w:w="130"/>
            </w:tcMar>
            <w:vAlign w:val="center"/>
          </w:tcPr>
          <w:p>
            <w:r>
              <w:rPr>
                <w:rFonts w:ascii="Arial" w:cs="Arial" w:eastAsia="Arial" w:hAnsi="Arial"/>
                <w:b/>
                <w:bCs/>
                <w:color w:val="FFFFFF"/>
                <w:sz w:val="20"/>
                <w:szCs w:val="20"/>
              </w:rPr>
              <w:t xml:space="preserve">PRIORIDAD</w:t>
            </w:r>
          </w:p>
        </w:tc>
        <w:tc>
          <w:tcPr>
            <w:tcW w:type="dxa" w:w="5960"/>
            <w:gridSpan w:val="1"/>
            <w:tcBorders>
              <w:top w:val="single" w:color="BDC3C7" w:sz="1"/>
              <w:left w:val="single" w:color="BDC3C7" w:sz="1"/>
              <w:bottom w:val="single" w:color="BDC3C7" w:sz="1"/>
              <w:right w:val="single" w:color="BDC3C7" w:sz="1"/>
            </w:tcBorders>
            <w:shd w:fill="1B4F72" w:val="clear"/>
            <w:tcMar>
              <w:top w:type="dxa" w:w="70"/>
              <w:left w:type="dxa" w:w="130"/>
              <w:bottom w:type="dxa" w:w="70"/>
              <w:right w:type="dxa" w:w="130"/>
            </w:tcMar>
            <w:vAlign w:val="center"/>
          </w:tcPr>
          <w:p>
            <w:r>
              <w:rPr>
                <w:rFonts w:ascii="Arial" w:cs="Arial" w:eastAsia="Arial" w:hAnsi="Arial"/>
                <w:b/>
                <w:bCs/>
                <w:color w:val="FFFFFF"/>
                <w:sz w:val="20"/>
                <w:szCs w:val="20"/>
              </w:rPr>
              <w:t xml:space="preserve">ESPECIFICACIÓN</w:t>
            </w:r>
          </w:p>
        </w:tc>
      </w:tr>
      <w:tr>
        <w:tc>
          <w:tcPr>
            <w:tcW w:type="dxa" w:w="22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Fisión binaria (procariota)</w:t>
            </w:r>
          </w:p>
        </w:tc>
        <w:tc>
          <w:tcPr>
            <w:tcW w:type="dxa" w:w="12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 CRÍTICA</w:t>
            </w:r>
          </w:p>
        </w:tc>
        <w:tc>
          <w:tcPr>
            <w:tcW w:type="dxa" w:w="59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Ver sección 6.1. 1.3 segundos. Brusca y mecánica. El flagelo se duplica automáticamente en la hija.</w:t>
            </w:r>
          </w:p>
        </w:tc>
      </w:tr>
      <w:tr>
        <w:tc>
          <w:tcPr>
            <w:tcW w:type="dxa" w:w="22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Mitosis simplificada (eucariota)</w:t>
            </w:r>
          </w:p>
        </w:tc>
        <w:tc>
          <w:tcPr>
            <w:tcW w:type="dxa" w:w="12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 CRÍTICA</w:t>
            </w:r>
          </w:p>
        </w:tc>
        <w:tc>
          <w:tcPr>
            <w:tcW w:type="dxa" w:w="59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Ver sección 6.2. 2.0 segundos. Gradual y organizada. Los orgánulos se redistribuyen visiblemente.</w:t>
            </w:r>
          </w:p>
        </w:tc>
      </w:tr>
      <w:tr>
        <w:tc>
          <w:tcPr>
            <w:tcW w:type="dxa" w:w="22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Plegamiento de proteína (eucariota)</w:t>
            </w:r>
          </w:p>
        </w:tc>
        <w:tc>
          <w:tcPr>
            <w:tcW w:type="dxa" w:w="12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 CRÍTICA</w:t>
            </w:r>
          </w:p>
        </w:tc>
        <w:tc>
          <w:tcPr>
            <w:tcW w:type="dxa" w:w="59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Una cadena de aminoácidos emerge del ribosoma y se pliega durante 2.5s. Referencia: Drew Berry 'Inner Life of the Cell' (WEHI).</w:t>
            </w:r>
          </w:p>
        </w:tc>
      </w:tr>
      <w:tr>
        <w:tc>
          <w:tcPr>
            <w:tcW w:type="dxa" w:w="22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Nucleoide dividiéndose</w:t>
            </w:r>
          </w:p>
        </w:tc>
        <w:tc>
          <w:tcPr>
            <w:tcW w:type="dxa" w:w="12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 CRÍTICA</w:t>
            </w:r>
          </w:p>
        </w:tc>
        <w:tc>
          <w:tcPr>
            <w:tcW w:type="dxa" w:w="59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En la fisión bacteriana: la nube difusa de ADN se separa en dos zonas iguales. Sin drama — es directo y biológicamente correcto.</w:t>
            </w:r>
          </w:p>
        </w:tc>
      </w:tr>
      <w:tr>
        <w:tc>
          <w:tcPr>
            <w:tcW w:type="dxa" w:w="22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Membrana respirando (ambos)</w:t>
            </w:r>
          </w:p>
        </w:tc>
        <w:tc>
          <w:tcPr>
            <w:tcW w:type="dxa" w:w="12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 CRÍTICA</w:t>
            </w:r>
          </w:p>
        </w:tc>
        <w:tc>
          <w:tcPr>
            <w:tcW w:type="dxa" w:w="59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Eucariota: onda sinusoidal en los fosfolípidos individuales. Procariota: ondulación más caótica y menos perfecta.</w:t>
            </w:r>
          </w:p>
        </w:tc>
      </w:tr>
      <w:tr>
        <w:tc>
          <w:tcPr>
            <w:tcW w:type="dxa" w:w="22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Conjugación bacteriana (plásmido)</w:t>
            </w:r>
          </w:p>
        </w:tc>
        <w:tc>
          <w:tcPr>
            <w:tcW w:type="dxa" w:w="12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 ALTA</w:t>
            </w:r>
          </w:p>
        </w:tc>
        <w:tc>
          <w:tcPr>
            <w:tcW w:type="dxa" w:w="59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Cuando dos bacterias están en contacto: línea delgada de conexión que pulsa 3 veces, luego desaparece. El plásmido copiado aparece como punto brillante en la hija.</w:t>
            </w:r>
          </w:p>
        </w:tc>
      </w:tr>
      <w:tr>
        <w:tc>
          <w:tcPr>
            <w:tcW w:type="dxa" w:w="22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Degranulación del Neutrófilo</w:t>
            </w:r>
          </w:p>
        </w:tc>
        <w:tc>
          <w:tcPr>
            <w:tcW w:type="dxa" w:w="12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 ALTA</w:t>
            </w:r>
          </w:p>
        </w:tc>
        <w:tc>
          <w:tcPr>
            <w:tcW w:type="dxa" w:w="59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Flash blanco-rojo + 20 partículas radiales + NET con 30% probabilidad. Sin cambios del v2.0.</w:t>
            </w:r>
          </w:p>
        </w:tc>
      </w:tr>
      <w:tr>
        <w:tc>
          <w:tcPr>
            <w:tcW w:type="dxa" w:w="22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Fagocitosis (Ameba)</w:t>
            </w:r>
          </w:p>
        </w:tc>
        <w:tc>
          <w:tcPr>
            <w:tcW w:type="dxa" w:w="12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 ALTA</w:t>
            </w:r>
          </w:p>
        </w:tc>
        <w:tc>
          <w:tcPr>
            <w:tcW w:type="dxa" w:w="59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Pseudópodos + internalización + digestión. Sin cambios del v2.0. Solo nota: la Cápsula de la Arquea hace que el proceso falle visiblemente 60% del tiempo — el pseudópodo se retira.</w:t>
            </w:r>
          </w:p>
        </w:tc>
      </w:tr>
      <w:tr>
        <w:tc>
          <w:tcPr>
            <w:tcW w:type="dxa" w:w="22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Criptobiosis (Tardígrado)</w:t>
            </w:r>
          </w:p>
        </w:tc>
        <w:tc>
          <w:tcPr>
            <w:tcW w:type="dxa" w:w="12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 MEDIA</w:t>
            </w:r>
          </w:p>
        </w:tc>
        <w:tc>
          <w:tcPr>
            <w:tcW w:type="dxa" w:w="59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El tardígrado es eucariota. Sin cambios del v2.0.</w:t>
            </w:r>
          </w:p>
        </w:tc>
      </w:tr>
      <w:tr>
        <w:tc>
          <w:tcPr>
            <w:tcW w:type="dxa" w:w="22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Power Moment — consolidación</w:t>
            </w:r>
          </w:p>
        </w:tc>
        <w:tc>
          <w:tcPr>
            <w:tcW w:type="dxa" w:w="12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 CRÍTICA</w:t>
            </w:r>
          </w:p>
        </w:tc>
        <w:tc>
          <w:tcPr>
            <w:tcW w:type="dxa" w:w="59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Flash blanco + glow del color de la especialización + texto flotante con nombre + audio. Igual para ambos dominios.</w:t>
            </w:r>
          </w:p>
        </w:tc>
      </w:tr>
    </w:tbl>
    <w:p>
      <w:pPr>
        <w:spacing w:after="80" w:before="80"/>
      </w:pPr>
      <w:r>
        <w:t xml:space="preserve"/>
      </w:r>
    </w:p>
    <w:p>
      <w:r>
        <w:br w:type="page"/>
      </w:r>
    </w:p>
    <w:p>
      <w:pPr>
        <w:pStyle w:val="Heading1"/>
        <w:pBdr>
          <w:bottom w:val="single" w:color="1B4F72" w:sz="10" w:space="2"/>
        </w:pBdr>
        <w:spacing w:after="180" w:before="460"/>
      </w:pPr>
      <w:r>
        <w:rPr>
          <w:rFonts w:ascii="Arial" w:cs="Arial" w:eastAsia="Arial" w:hAnsi="Arial"/>
          <w:b/>
          <w:bCs/>
          <w:color w:val="1B4F72"/>
          <w:sz w:val="40"/>
          <w:szCs w:val="40"/>
        </w:rPr>
        <w:t xml:space="preserve">10. UI Y HUD</w:t>
      </w:r>
    </w:p>
    <w:p>
      <w:pPr>
        <w:pStyle w:val="Heading2"/>
        <w:spacing w:after="110" w:before="300"/>
      </w:pPr>
      <w:r>
        <w:rPr>
          <w:rFonts w:ascii="Arial" w:cs="Arial" w:eastAsia="Arial" w:hAnsi="Arial"/>
          <w:b/>
          <w:bCs/>
          <w:color w:val="2471A3"/>
          <w:sz w:val="28"/>
          <w:szCs w:val="28"/>
        </w:rPr>
        <w:t xml:space="preserve">10.1 Principios de UI — Sin Cambios</w:t>
      </w:r>
    </w:p>
    <w:p>
      <w:pPr>
        <w:spacing w:after="90" w:before="60"/>
      </w:pPr>
      <w:r>
        <w:rPr>
          <w:rFonts w:ascii="Arial" w:cs="Arial" w:eastAsia="Arial" w:hAnsi="Arial"/>
          <w:color w:val="2C3E50"/>
          <w:sz w:val="22"/>
          <w:szCs w:val="22"/>
        </w:rPr>
        <w:t xml:space="preserve">Tipografía monospace para datos numéricos. Colores de UI = colores de moléculas. Fondos semitransparentes oscuros. Sin sombras genéricas. Animaciones funcionales únicamente.</w:t>
      </w:r>
    </w:p>
    <w:p>
      <w:pPr>
        <w:spacing w:after="80" w:before="80"/>
      </w:pPr>
      <w:r>
        <w:t xml:space="preserve"/>
      </w:r>
    </w:p>
    <w:p>
      <w:pPr>
        <w:pStyle w:val="Heading2"/>
        <w:spacing w:after="110" w:before="300"/>
      </w:pPr>
      <w:r>
        <w:rPr>
          <w:rFonts w:ascii="Arial" w:cs="Arial" w:eastAsia="Arial" w:hAnsi="Arial"/>
          <w:b/>
          <w:bCs/>
          <w:color w:val="2471A3"/>
          <w:sz w:val="28"/>
          <w:szCs w:val="28"/>
        </w:rPr>
        <w:t xml:space="preserve">10.2 El Hint de Progresión — Actualizado</w:t>
      </w:r>
    </w:p>
    <w:p>
      <w:pPr>
        <w:spacing w:after="90" w:before="60"/>
      </w:pPr>
      <w:r>
        <w:rPr>
          <w:rFonts w:ascii="Arial" w:cs="Arial" w:eastAsia="Arial" w:hAnsi="Arial"/>
          <w:color w:val="2C3E50"/>
          <w:sz w:val="22"/>
          <w:szCs w:val="22"/>
        </w:rPr>
        <w:t xml:space="preserve">El hint contextual en la parte superior cambia con la bifurcación de dominio: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gridSpan w:val="1"/>
            <w:tcBorders>
              <w:top w:val="single" w:color="BDC3C7" w:sz="1"/>
              <w:left w:val="single" w:color="BDC3C7" w:sz="1"/>
              <w:bottom w:val="single" w:color="BDC3C7" w:sz="1"/>
              <w:right w:val="single" w:color="BDC3C7" w:sz="1"/>
            </w:tcBorders>
            <w:shd w:fill="2471A3" w:val="clear"/>
            <w:tcMar>
              <w:top w:type="dxa" w:w="70"/>
              <w:left w:type="dxa" w:w="130"/>
              <w:bottom w:type="dxa" w:w="70"/>
              <w:right w:type="dxa" w:w="130"/>
            </w:tcMar>
            <w:vAlign w:val="center"/>
          </w:tcPr>
          <w:p>
            <w:r>
              <w:rPr>
                <w:rFonts w:ascii="Arial" w:cs="Arial" w:eastAsia="Arial" w:hAnsi="Arial"/>
                <w:b/>
                <w:bCs/>
                <w:color w:val="FFFFFF"/>
                <w:sz w:val="20"/>
                <w:szCs w:val="20"/>
              </w:rPr>
              <w:t xml:space="preserve">FASE / CONDICIÓN</w:t>
            </w:r>
          </w:p>
        </w:tc>
        <w:tc>
          <w:tcPr>
            <w:tcW w:type="dxa" w:w="6960"/>
            <w:gridSpan w:val="1"/>
            <w:tcBorders>
              <w:top w:val="single" w:color="BDC3C7" w:sz="1"/>
              <w:left w:val="single" w:color="BDC3C7" w:sz="1"/>
              <w:bottom w:val="single" w:color="BDC3C7" w:sz="1"/>
              <w:right w:val="single" w:color="BDC3C7" w:sz="1"/>
            </w:tcBorders>
            <w:shd w:fill="2471A3" w:val="clear"/>
            <w:tcMar>
              <w:top w:type="dxa" w:w="70"/>
              <w:left w:type="dxa" w:w="130"/>
              <w:bottom w:type="dxa" w:w="70"/>
              <w:right w:type="dxa" w:w="130"/>
            </w:tcMar>
            <w:vAlign w:val="center"/>
          </w:tcPr>
          <w:p>
            <w:r>
              <w:rPr>
                <w:rFonts w:ascii="Arial" w:cs="Arial" w:eastAsia="Arial" w:hAnsi="Arial"/>
                <w:b/>
                <w:bCs/>
                <w:color w:val="FFFFFF"/>
                <w:sz w:val="20"/>
                <w:szCs w:val="20"/>
              </w:rPr>
              <w:t xml:space="preserve">HINT QUE SE MUESTRA</w:t>
            </w:r>
          </w:p>
        </w:tc>
      </w:tr>
      <w:tr>
        <w:tc>
          <w:tcPr>
            <w:tcW w:type="dxa" w:w="24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Fase 0 (Protocélula)</w:t>
            </w:r>
          </w:p>
        </w:tc>
        <w:tc>
          <w:tcPr>
            <w:tcW w:type="dxa" w:w="69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'Presioná  G  →  instalá el  COMPARTIMENTO GENÉTICO'  (G en amarillo)</w:t>
            </w:r>
          </w:p>
        </w:tc>
      </w:tr>
      <w:tr>
        <w:tc>
          <w:tcPr>
            <w:tcW w:type="dxa" w:w="24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Fase 1 (Base Metabólica)</w:t>
            </w:r>
          </w:p>
        </w:tc>
        <w:tc>
          <w:tcPr>
            <w:tcW w:type="dxa" w:w="69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'Instalá  MOTOR METABÓLICO  y  MAQUINARIA DE SÍNTESIS'</w:t>
            </w:r>
          </w:p>
        </w:tc>
      </w:tr>
      <w:tr>
        <w:tc>
          <w:tcPr>
            <w:tcW w:type="dxa" w:w="24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Fase 2 — Procariota</w:t>
            </w:r>
          </w:p>
        </w:tc>
        <w:tc>
          <w:tcPr>
            <w:tcW w:type="dxa" w:w="69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'Dominio Procariota — elegí tus estructuras'  (texto en azul-acero #6AB4D4)</w:t>
            </w:r>
          </w:p>
        </w:tc>
      </w:tr>
      <w:tr>
        <w:tc>
          <w:tcPr>
            <w:tcW w:type="dxa" w:w="24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Fase 2 — Eucariota</w:t>
            </w:r>
          </w:p>
        </w:tc>
        <w:tc>
          <w:tcPr>
            <w:tcW w:type="dxa" w:w="69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'Dominio Eucariota — elegí tus orgánulos'  (texto en verde #4CAF50)</w:t>
            </w:r>
          </w:p>
        </w:tc>
      </w:tr>
      <w:tr>
        <w:tc>
          <w:tcPr>
            <w:tcW w:type="dxa" w:w="24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Fase 3 (Consolidada)</w:t>
            </w:r>
          </w:p>
        </w:tc>
        <w:tc>
          <w:tcPr>
            <w:tcW w:type="dxa" w:w="69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Sin hint — el jugador ya sabe</w:t>
            </w:r>
          </w:p>
        </w:tc>
      </w:tr>
    </w:tbl>
    <w:p>
      <w:pPr>
        <w:spacing w:after="80" w:before="80"/>
      </w:pPr>
      <w:r>
        <w:t xml:space="preserve"/>
      </w:r>
    </w:p>
    <w:p>
      <w:pPr>
        <w:pStyle w:val="Heading2"/>
        <w:spacing w:after="110" w:before="300"/>
      </w:pPr>
      <w:r>
        <w:rPr>
          <w:rFonts w:ascii="Arial" w:cs="Arial" w:eastAsia="Arial" w:hAnsi="Arial"/>
          <w:b/>
          <w:bCs/>
          <w:color w:val="2471A3"/>
          <w:sz w:val="28"/>
          <w:szCs w:val="28"/>
        </w:rPr>
        <w:t xml:space="preserve">10.3 HUD Mínimo — Sin Cambios</w:t>
      </w:r>
    </w:p>
    <w:p>
      <w:pPr>
        <w:spacing w:after="90" w:before="60"/>
      </w:pPr>
      <w:r>
        <w:rPr>
          <w:rFonts w:ascii="Arial" w:cs="Arial" w:eastAsia="Arial" w:hAnsi="Arial"/>
          <w:color w:val="2C3E50"/>
          <w:sz w:val="22"/>
          <w:szCs w:val="22"/>
        </w:rPr>
        <w:t xml:space="preserve">Esquina superior izquierda: HP + ATP + ATP/s. Esquina inferior izquierda: barra de especialización emergente. Centro superior: hint contextual. Todo vigente del v2.0.</w:t>
      </w:r>
    </w:p>
    <w:p>
      <w:pPr>
        <w:spacing w:after="80" w:before="80"/>
      </w:pPr>
      <w:r>
        <w:t xml:space="preserve"/>
      </w:r>
    </w:p>
    <w:p>
      <w:pPr>
        <w:pStyle w:val="Heading2"/>
        <w:spacing w:after="110" w:before="300"/>
      </w:pPr>
      <w:r>
        <w:rPr>
          <w:rFonts w:ascii="Arial" w:cs="Arial" w:eastAsia="Arial" w:hAnsi="Arial"/>
          <w:b/>
          <w:bCs/>
          <w:color w:val="2471A3"/>
          <w:sz w:val="28"/>
          <w:szCs w:val="28"/>
        </w:rPr>
        <w:t xml:space="preserve">10.4 El Panel Interior — Diferencia Visual por Dominio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gridSpan w:val="1"/>
            <w:tcBorders>
              <w:top w:val="single" w:color="BDC3C7" w:sz="1"/>
              <w:left w:val="single" w:color="BDC3C7" w:sz="1"/>
              <w:bottom w:val="single" w:color="BDC3C7" w:sz="1"/>
              <w:right w:val="single" w:color="BDC3C7" w:sz="1"/>
            </w:tcBorders>
            <w:shd w:fill="1E8449" w:val="clear"/>
            <w:tcMar>
              <w:top w:type="dxa" w:w="70"/>
              <w:left w:type="dxa" w:w="130"/>
              <w:bottom w:type="dxa" w:w="70"/>
              <w:right w:type="dxa" w:w="130"/>
            </w:tcMar>
            <w:vAlign w:val="center"/>
          </w:tcPr>
          <w:p>
            <w:r>
              <w:rPr>
                <w:rFonts w:ascii="Arial" w:cs="Arial" w:eastAsia="Arial" w:hAnsi="Arial"/>
                <w:b/>
                <w:bCs/>
                <w:color w:val="FFFFFF"/>
                <w:sz w:val="20"/>
                <w:szCs w:val="20"/>
              </w:rPr>
              <w:t xml:space="preserve">ASPECTO</w:t>
            </w:r>
          </w:p>
        </w:tc>
        <w:tc>
          <w:tcPr>
            <w:tcW w:type="dxa" w:w="3200"/>
            <w:gridSpan w:val="1"/>
            <w:tcBorders>
              <w:top w:val="single" w:color="BDC3C7" w:sz="1"/>
              <w:left w:val="single" w:color="BDC3C7" w:sz="1"/>
              <w:bottom w:val="single" w:color="BDC3C7" w:sz="1"/>
              <w:right w:val="single" w:color="BDC3C7" w:sz="1"/>
            </w:tcBorders>
            <w:shd w:fill="1E8449" w:val="clear"/>
            <w:tcMar>
              <w:top w:type="dxa" w:w="70"/>
              <w:left w:type="dxa" w:w="130"/>
              <w:bottom w:type="dxa" w:w="70"/>
              <w:right w:type="dxa" w:w="130"/>
            </w:tcMar>
            <w:vAlign w:val="center"/>
          </w:tcPr>
          <w:p>
            <w:r>
              <w:rPr>
                <w:rFonts w:ascii="Arial" w:cs="Arial" w:eastAsia="Arial" w:hAnsi="Arial"/>
                <w:b/>
                <w:bCs/>
                <w:color w:val="FFFFFF"/>
                <w:sz w:val="20"/>
                <w:szCs w:val="20"/>
              </w:rPr>
              <w:t xml:space="preserve">PROCARIOTA</w:t>
            </w:r>
          </w:p>
        </w:tc>
        <w:tc>
          <w:tcPr>
            <w:tcW w:type="dxa" w:w="3760"/>
            <w:gridSpan w:val="1"/>
            <w:tcBorders>
              <w:top w:val="single" w:color="BDC3C7" w:sz="1"/>
              <w:left w:val="single" w:color="BDC3C7" w:sz="1"/>
              <w:bottom w:val="single" w:color="BDC3C7" w:sz="1"/>
              <w:right w:val="single" w:color="BDC3C7" w:sz="1"/>
            </w:tcBorders>
            <w:shd w:fill="1E8449" w:val="clear"/>
            <w:tcMar>
              <w:top w:type="dxa" w:w="70"/>
              <w:left w:type="dxa" w:w="130"/>
              <w:bottom w:type="dxa" w:w="70"/>
              <w:right w:type="dxa" w:w="130"/>
            </w:tcMar>
            <w:vAlign w:val="center"/>
          </w:tcPr>
          <w:p>
            <w:r>
              <w:rPr>
                <w:rFonts w:ascii="Arial" w:cs="Arial" w:eastAsia="Arial" w:hAnsi="Arial"/>
                <w:b/>
                <w:bCs/>
                <w:color w:val="FFFFFF"/>
                <w:sz w:val="20"/>
                <w:szCs w:val="20"/>
              </w:rPr>
              <w:t xml:space="preserve">EUCARIOTA</w:t>
            </w:r>
          </w:p>
        </w:tc>
      </w:tr>
      <w:tr>
        <w:tc>
          <w:tcPr>
            <w:tcW w:type="dxa" w:w="24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Activación</w:t>
            </w:r>
          </w:p>
        </w:tc>
        <w:tc>
          <w:tcPr>
            <w:tcW w:type="dxa" w:w="32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Tecla E. Sin pausa. Igual.</w:t>
            </w:r>
          </w:p>
        </w:tc>
        <w:tc>
          <w:tcPr>
            <w:tcW w:type="dxa" w:w="37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Tecla E. Sin pausa. Igual.</w:t>
            </w:r>
          </w:p>
        </w:tc>
      </w:tr>
      <w:tr>
        <w:tc>
          <w:tcPr>
            <w:tcW w:type="dxa" w:w="24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El punto clickeable para el árbol génico</w:t>
            </w:r>
          </w:p>
        </w:tc>
        <w:tc>
          <w:tcPr>
            <w:tcW w:type="dxa" w:w="32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La zona difusa del nucleoide. Cursor de 'zoom' al hacer hover.</w:t>
            </w:r>
          </w:p>
        </w:tc>
        <w:tc>
          <w:tcPr>
            <w:tcW w:type="dxa" w:w="37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El núcleo (esfera con membrana). Cursor de 'zoom' al hacer hover.</w:t>
            </w:r>
          </w:p>
        </w:tc>
      </w:tr>
      <w:tr>
        <w:tc>
          <w:tcPr>
            <w:tcW w:type="dxa" w:w="24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Densidad visual</w:t>
            </w:r>
          </w:p>
        </w:tc>
        <w:tc>
          <w:tcPr>
            <w:tcW w:type="dxa" w:w="32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Alta desde el inicio. Llena de puntos y hebras.</w:t>
            </w:r>
          </w:p>
        </w:tc>
        <w:tc>
          <w:tcPr>
            <w:tcW w:type="dxa" w:w="37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Baja al principio. Crece con cada orgánulo instalado.</w:t>
            </w:r>
          </w:p>
        </w:tc>
      </w:tr>
      <w:tr>
        <w:tc>
          <w:tcPr>
            <w:tcW w:type="dxa" w:w="24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Catálogo de estructuras</w:t>
            </w:r>
          </w:p>
        </w:tc>
        <w:tc>
          <w:tcPr>
            <w:tcW w:type="dxa" w:w="32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Abre al click en zona del citoplasma. Íconos esquematizados (no esféricos).</w:t>
            </w:r>
          </w:p>
        </w:tc>
        <w:tc>
          <w:tcPr>
            <w:tcW w:type="dxa" w:w="37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Abre al click en zona del citoplasma. Íconos como objetos 3D.</w:t>
            </w:r>
          </w:p>
        </w:tc>
      </w:tr>
      <w:tr>
        <w:tc>
          <w:tcPr>
            <w:tcW w:type="dxa" w:w="24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Indicador de biomasa</w:t>
            </w:r>
          </w:p>
        </w:tc>
        <w:tc>
          <w:tcPr>
            <w:tcW w:type="dxa" w:w="32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Barra en el borde del panel. Verde → naranja → rojo según ratio.</w:t>
            </w:r>
          </w:p>
        </w:tc>
        <w:tc>
          <w:tcPr>
            <w:tcW w:type="dxa" w:w="37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Igual.</w:t>
            </w:r>
          </w:p>
        </w:tc>
      </w:tr>
    </w:tbl>
    <w:p>
      <w:pPr>
        <w:spacing w:after="80" w:before="80"/>
      </w:pPr>
      <w:r>
        <w:t xml:space="preserve"/>
      </w:r>
    </w:p>
    <w:p>
      <w:r>
        <w:br w:type="page"/>
      </w:r>
    </w:p>
    <w:p>
      <w:pPr>
        <w:pStyle w:val="Heading1"/>
        <w:pBdr>
          <w:bottom w:val="single" w:color="1B4F72" w:sz="10" w:space="2"/>
        </w:pBdr>
        <w:spacing w:after="180" w:before="460"/>
      </w:pPr>
      <w:r>
        <w:rPr>
          <w:rFonts w:ascii="Arial" w:cs="Arial" w:eastAsia="Arial" w:hAnsi="Arial"/>
          <w:b/>
          <w:bCs/>
          <w:color w:val="1B4F72"/>
          <w:sz w:val="40"/>
          <w:szCs w:val="40"/>
        </w:rPr>
        <w:t xml:space="preserve">11. SHADERS Y EFECTOS TÉCNICOS — UNITY URP</w:t>
      </w:r>
    </w:p>
    <w:p>
      <w:pPr>
        <w:spacing w:after="90" w:before="60"/>
      </w:pPr>
      <w:r>
        <w:rPr>
          <w:rFonts w:ascii="Arial" w:cs="Arial" w:eastAsia="Arial" w:hAnsi="Arial"/>
          <w:color w:val="2C3E50"/>
          <w:sz w:val="22"/>
          <w:szCs w:val="22"/>
        </w:rPr>
        <w:t xml:space="preserve">Sin cambios respecto al Art Bible v2.0. Ver v2.0 Sección 8 para la especificación completa. Solo se agregan dos shaders nuevos: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gridSpan w:val="1"/>
            <w:tcBorders>
              <w:top w:val="single" w:color="BDC3C7" w:sz="1"/>
              <w:left w:val="single" w:color="BDC3C7" w:sz="1"/>
              <w:bottom w:val="single" w:color="BDC3C7" w:sz="1"/>
              <w:right w:val="single" w:color="BDC3C7" w:sz="1"/>
            </w:tcBorders>
            <w:shd w:fill="1E8449" w:val="clear"/>
            <w:tcMar>
              <w:top w:type="dxa" w:w="70"/>
              <w:left w:type="dxa" w:w="130"/>
              <w:bottom w:type="dxa" w:w="70"/>
              <w:right w:type="dxa" w:w="130"/>
            </w:tcMar>
            <w:vAlign w:val="center"/>
          </w:tcPr>
          <w:p>
            <w:r>
              <w:rPr>
                <w:rFonts w:ascii="Arial" w:cs="Arial" w:eastAsia="Arial" w:hAnsi="Arial"/>
                <w:b/>
                <w:bCs/>
                <w:color w:val="FFFFFF"/>
                <w:sz w:val="20"/>
                <w:szCs w:val="20"/>
              </w:rPr>
              <w:t xml:space="preserve">SHADER / EFECTO NUEVO</w:t>
            </w:r>
          </w:p>
        </w:tc>
        <w:tc>
          <w:tcPr>
            <w:tcW w:type="dxa" w:w="2000"/>
            <w:gridSpan w:val="1"/>
            <w:tcBorders>
              <w:top w:val="single" w:color="BDC3C7" w:sz="1"/>
              <w:left w:val="single" w:color="BDC3C7" w:sz="1"/>
              <w:bottom w:val="single" w:color="BDC3C7" w:sz="1"/>
              <w:right w:val="single" w:color="BDC3C7" w:sz="1"/>
            </w:tcBorders>
            <w:shd w:fill="1E8449" w:val="clear"/>
            <w:tcMar>
              <w:top w:type="dxa" w:w="70"/>
              <w:left w:type="dxa" w:w="130"/>
              <w:bottom w:type="dxa" w:w="70"/>
              <w:right w:type="dxa" w:w="130"/>
            </w:tcMar>
            <w:vAlign w:val="center"/>
          </w:tcPr>
          <w:p>
            <w:r>
              <w:rPr>
                <w:rFonts w:ascii="Arial" w:cs="Arial" w:eastAsia="Arial" w:hAnsi="Arial"/>
                <w:b/>
                <w:bCs/>
                <w:color w:val="FFFFFF"/>
                <w:sz w:val="20"/>
                <w:szCs w:val="20"/>
              </w:rPr>
              <w:t xml:space="preserve">APLICADO A</w:t>
            </w:r>
          </w:p>
        </w:tc>
        <w:tc>
          <w:tcPr>
            <w:tcW w:type="dxa" w:w="5160"/>
            <w:gridSpan w:val="1"/>
            <w:tcBorders>
              <w:top w:val="single" w:color="BDC3C7" w:sz="1"/>
              <w:left w:val="single" w:color="BDC3C7" w:sz="1"/>
              <w:bottom w:val="single" w:color="BDC3C7" w:sz="1"/>
              <w:right w:val="single" w:color="BDC3C7" w:sz="1"/>
            </w:tcBorders>
            <w:shd w:fill="1E8449" w:val="clear"/>
            <w:tcMar>
              <w:top w:type="dxa" w:w="70"/>
              <w:left w:type="dxa" w:w="130"/>
              <w:bottom w:type="dxa" w:w="70"/>
              <w:right w:type="dxa" w:w="130"/>
            </w:tcMar>
            <w:vAlign w:val="center"/>
          </w:tcPr>
          <w:p>
            <w:r>
              <w:rPr>
                <w:rFonts w:ascii="Arial" w:cs="Arial" w:eastAsia="Arial" w:hAnsi="Arial"/>
                <w:b/>
                <w:bCs/>
                <w:color w:val="FFFFFF"/>
                <w:sz w:val="20"/>
                <w:szCs w:val="20"/>
              </w:rPr>
              <w:t xml:space="preserve">ESPECIFICACIÓN</w:t>
            </w:r>
          </w:p>
        </w:tc>
      </w:tr>
      <w:tr>
        <w:tc>
          <w:tcPr>
            <w:tcW w:type="dxa" w:w="22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Textura de 'empaquetado denso'</w:t>
            </w:r>
          </w:p>
        </w:tc>
        <w:tc>
          <w:tcPr>
            <w:tcW w:type="dxa" w:w="20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Interior procariota</w:t>
            </w:r>
          </w:p>
        </w:tc>
        <w:tc>
          <w:tcPr>
            <w:tcW w:type="dxa" w:w="51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El fondo del citoplasma procariota usa un Perlin noise de alta frecuencia sobre el color base para crear la sensación de densidad. Sin bloom — los procariotas no tienen orgánulos iluminados, solo densidad.</w:t>
            </w:r>
          </w:p>
        </w:tc>
      </w:tr>
      <w:tr>
        <w:tc>
          <w:tcPr>
            <w:tcW w:type="dxa" w:w="22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Flagelo rotatorio (procariota)</w:t>
            </w:r>
          </w:p>
        </w:tc>
        <w:tc>
          <w:tcPr>
            <w:tcW w:type="dxa" w:w="20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Células con Flagelo bacteriano</w:t>
            </w:r>
          </w:p>
        </w:tc>
        <w:tc>
          <w:tcPr>
            <w:tcW w:type="dxa" w:w="51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El LineRenderer del flagelo bacteriano usa una animación de torsión helicoidal (rotation alrededor del eje del flagelo) en vez de la onda sinusoidal del eucariota. Técnicamente: los puntos medios del LineRenderer orbitan el eje central.</w:t>
            </w:r>
          </w:p>
        </w:tc>
      </w:tr>
      <w:tr>
        <w:tc>
          <w:tcPr>
            <w:tcW w:type="dxa" w:w="22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Halo de cápsula</w:t>
            </w:r>
          </w:p>
        </w:tc>
        <w:tc>
          <w:tcPr>
            <w:tcW w:type="dxa" w:w="20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Células con Cápsula instalada</w:t>
            </w:r>
          </w:p>
        </w:tc>
        <w:tc>
          <w:tcPr>
            <w:tcW w:type="dxa" w:w="51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Un sprite circular semitransparente (alpha 0.12) escala 1.4× sobre el sprite de la célula. Color: el color de la especialización muy desaturado. Sin borde definido — fade radial desde el centro.</w:t>
            </w:r>
          </w:p>
        </w:tc>
      </w:tr>
    </w:tbl>
    <w:p>
      <w:pPr>
        <w:spacing w:after="80" w:before="80"/>
      </w:pPr>
      <w:r>
        <w:t xml:space="preserve"/>
      </w:r>
    </w:p>
    <w:p>
      <w:r>
        <w:br w:type="page"/>
      </w:r>
    </w:p>
    <w:p>
      <w:pPr>
        <w:pStyle w:val="Heading1"/>
        <w:pBdr>
          <w:bottom w:val="single" w:color="1B4F72" w:sz="10" w:space="2"/>
        </w:pBdr>
        <w:spacing w:after="180" w:before="460"/>
      </w:pPr>
      <w:r>
        <w:rPr>
          <w:rFonts w:ascii="Arial" w:cs="Arial" w:eastAsia="Arial" w:hAnsi="Arial"/>
          <w:b/>
          <w:bCs/>
          <w:color w:val="1B4F72"/>
          <w:sz w:val="40"/>
          <w:szCs w:val="40"/>
        </w:rPr>
        <w:t xml:space="preserve">12. IDENTIDAD SONORA</w:t>
      </w:r>
    </w:p>
    <w:p>
      <w:pPr>
        <w:spacing w:after="90" w:before="60"/>
      </w:pPr>
      <w:r>
        <w:rPr>
          <w:rFonts w:ascii="Arial" w:cs="Arial" w:eastAsia="Arial" w:hAnsi="Arial"/>
          <w:color w:val="2C3E50"/>
          <w:sz w:val="22"/>
          <w:szCs w:val="22"/>
        </w:rPr>
        <w:t xml:space="preserve">Sin cambios en el soundscape general del v2.0. Se agregan sonidos específicos de procariotas: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gridSpan w:val="1"/>
            <w:tcBorders>
              <w:top w:val="single" w:color="BDC3C7" w:sz="1"/>
              <w:left w:val="single" w:color="BDC3C7" w:sz="1"/>
              <w:bottom w:val="single" w:color="BDC3C7" w:sz="1"/>
              <w:right w:val="single" w:color="BDC3C7" w:sz="1"/>
            </w:tcBorders>
            <w:shd w:fill="2471A3" w:val="clear"/>
            <w:tcMar>
              <w:top w:type="dxa" w:w="70"/>
              <w:left w:type="dxa" w:w="130"/>
              <w:bottom w:type="dxa" w:w="70"/>
              <w:right w:type="dxa" w:w="130"/>
            </w:tcMar>
            <w:vAlign w:val="center"/>
          </w:tcPr>
          <w:p>
            <w:r>
              <w:rPr>
                <w:rFonts w:ascii="Arial" w:cs="Arial" w:eastAsia="Arial" w:hAnsi="Arial"/>
                <w:b/>
                <w:bCs/>
                <w:color w:val="FFFFFF"/>
                <w:sz w:val="20"/>
                <w:szCs w:val="20"/>
              </w:rPr>
              <w:t xml:space="preserve">SONIDO NUEVO</w:t>
            </w:r>
          </w:p>
        </w:tc>
        <w:tc>
          <w:tcPr>
            <w:tcW w:type="dxa" w:w="6960"/>
            <w:gridSpan w:val="1"/>
            <w:tcBorders>
              <w:top w:val="single" w:color="BDC3C7" w:sz="1"/>
              <w:left w:val="single" w:color="BDC3C7" w:sz="1"/>
              <w:bottom w:val="single" w:color="BDC3C7" w:sz="1"/>
              <w:right w:val="single" w:color="BDC3C7" w:sz="1"/>
            </w:tcBorders>
            <w:shd w:fill="2471A3" w:val="clear"/>
            <w:tcMar>
              <w:top w:type="dxa" w:w="70"/>
              <w:left w:type="dxa" w:w="130"/>
              <w:bottom w:type="dxa" w:w="70"/>
              <w:right w:type="dxa" w:w="130"/>
            </w:tcMar>
            <w:vAlign w:val="center"/>
          </w:tcPr>
          <w:p>
            <w:r>
              <w:rPr>
                <w:rFonts w:ascii="Arial" w:cs="Arial" w:eastAsia="Arial" w:hAnsi="Arial"/>
                <w:b/>
                <w:bCs/>
                <w:color w:val="FFFFFF"/>
                <w:sz w:val="20"/>
                <w:szCs w:val="20"/>
              </w:rPr>
              <w:t xml:space="preserve">DESCRIPCIÓN</w:t>
            </w:r>
          </w:p>
        </w:tc>
      </w:tr>
      <w:tr>
        <w:tc>
          <w:tcPr>
            <w:tcW w:type="dxa" w:w="24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Fisión binaria (procariota)</w:t>
            </w:r>
          </w:p>
        </w:tc>
        <w:tc>
          <w:tcPr>
            <w:tcW w:type="dxa" w:w="69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Snap seco y limpio — como partir algo rígido. Más corto y directo que el pop suave de la mitosis eucariota. La diferencia sonora refuerza la diferencia visual de velocidad y mecanismo.</w:t>
            </w:r>
          </w:p>
        </w:tc>
      </w:tr>
      <w:tr>
        <w:tc>
          <w:tcPr>
            <w:tcW w:type="dxa" w:w="24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Conjugación bacteriana</w:t>
            </w:r>
          </w:p>
        </w:tc>
        <w:tc>
          <w:tcPr>
            <w:tcW w:type="dxa" w:w="69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Sonido de 'conexión' eléctrica suave — como un plug que conecta y desconecta. Muy breve (0.5s).</w:t>
            </w:r>
          </w:p>
        </w:tc>
      </w:tr>
      <w:tr>
        <w:tc>
          <w:tcPr>
            <w:tcW w:type="dxa" w:w="24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Nucleoide dividiéndose</w:t>
            </w:r>
          </w:p>
        </w:tc>
        <w:tc>
          <w:tcPr>
            <w:tcW w:type="dxa" w:w="69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Susurro muy sutil — casi inaudible. La bacteria no tiene el drama sonoro de la mitosis eucariota.</w:t>
            </w:r>
          </w:p>
        </w:tc>
      </w:tr>
      <w:tr>
        <w:tc>
          <w:tcPr>
            <w:tcW w:type="dxa" w:w="24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Interior procariota (ambient)</w:t>
            </w:r>
          </w:p>
        </w:tc>
        <w:tc>
          <w:tcPr>
            <w:tcW w:type="dxa" w:w="69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El zumbido base del interior es más grave y uniforme que el eucariota (que tiene variaciones según qué orgánulos están activos). El procariota suena como una fábrica de ritmo constante.</w:t>
            </w:r>
          </w:p>
        </w:tc>
      </w:tr>
      <w:tr>
        <w:tc>
          <w:tcPr>
            <w:tcW w:type="dxa" w:w="24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Flagelo bacteriano rotando</w:t>
            </w:r>
          </w:p>
        </w:tc>
        <w:tc>
          <w:tcPr>
            <w:tcW w:type="dxa" w:w="69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Un zumbido de alta frecuencia constante mientras se mueve. Como un motor pequeño. Distinto al sonido de fluido del flagelo eucariota.</w:t>
            </w:r>
          </w:p>
        </w:tc>
      </w:tr>
    </w:tbl>
    <w:p>
      <w:pPr>
        <w:spacing w:after="80" w:before="80"/>
      </w:pPr>
      <w:r>
        <w:t xml:space="preserve"/>
      </w:r>
    </w:p>
    <w:p>
      <w:r>
        <w:br w:type="page"/>
      </w:r>
    </w:p>
    <w:p>
      <w:pPr>
        <w:pStyle w:val="Heading1"/>
        <w:pBdr>
          <w:bottom w:val="single" w:color="1B4F72" w:sz="10" w:space="2"/>
        </w:pBdr>
        <w:spacing w:after="180" w:before="460"/>
      </w:pPr>
      <w:r>
        <w:rPr>
          <w:rFonts w:ascii="Arial" w:cs="Arial" w:eastAsia="Arial" w:hAnsi="Arial"/>
          <w:b/>
          <w:bCs/>
          <w:color w:val="1B4F72"/>
          <w:sz w:val="40"/>
          <w:szCs w:val="40"/>
        </w:rPr>
        <w:t xml:space="preserve">13. TABLA MAESTRA DE REFERENCIAS VISUALES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gridSpan w:val="1"/>
            <w:tcBorders>
              <w:top w:val="single" w:color="BDC3C7" w:sz="1"/>
              <w:left w:val="single" w:color="BDC3C7" w:sz="1"/>
              <w:bottom w:val="single" w:color="BDC3C7" w:sz="1"/>
              <w:right w:val="single" w:color="BDC3C7" w:sz="1"/>
            </w:tcBorders>
            <w:shd w:fill="1B4F72" w:val="clear"/>
            <w:tcMar>
              <w:top w:type="dxa" w:w="70"/>
              <w:left w:type="dxa" w:w="130"/>
              <w:bottom w:type="dxa" w:w="70"/>
              <w:right w:type="dxa" w:w="130"/>
            </w:tcMar>
            <w:vAlign w:val="center"/>
          </w:tcPr>
          <w:p>
            <w:r>
              <w:rPr>
                <w:rFonts w:ascii="Arial" w:cs="Arial" w:eastAsia="Arial" w:hAnsi="Arial"/>
                <w:b/>
                <w:bCs/>
                <w:color w:val="FFFFFF"/>
                <w:sz w:val="20"/>
                <w:szCs w:val="20"/>
              </w:rPr>
              <w:t xml:space="preserve">ELEMENTO DEL JUEGO</w:t>
            </w:r>
          </w:p>
        </w:tc>
        <w:tc>
          <w:tcPr>
            <w:tcW w:type="dxa" w:w="2200"/>
            <w:gridSpan w:val="1"/>
            <w:tcBorders>
              <w:top w:val="single" w:color="BDC3C7" w:sz="1"/>
              <w:left w:val="single" w:color="BDC3C7" w:sz="1"/>
              <w:bottom w:val="single" w:color="BDC3C7" w:sz="1"/>
              <w:right w:val="single" w:color="BDC3C7" w:sz="1"/>
            </w:tcBorders>
            <w:shd w:fill="1B4F72" w:val="clear"/>
            <w:tcMar>
              <w:top w:type="dxa" w:w="70"/>
              <w:left w:type="dxa" w:w="130"/>
              <w:bottom w:type="dxa" w:w="70"/>
              <w:right w:type="dxa" w:w="130"/>
            </w:tcMar>
            <w:vAlign w:val="center"/>
          </w:tcPr>
          <w:p>
            <w:r>
              <w:rPr>
                <w:rFonts w:ascii="Arial" w:cs="Arial" w:eastAsia="Arial" w:hAnsi="Arial"/>
                <w:b/>
                <w:bCs/>
                <w:color w:val="FFFFFF"/>
                <w:sz w:val="20"/>
                <w:szCs w:val="20"/>
              </w:rPr>
              <w:t xml:space="preserve">REFERENTE ESPECÍFICO</w:t>
            </w:r>
          </w:p>
        </w:tc>
        <w:tc>
          <w:tcPr>
            <w:tcW w:type="dxa" w:w="4560"/>
            <w:gridSpan w:val="1"/>
            <w:tcBorders>
              <w:top w:val="single" w:color="BDC3C7" w:sz="1"/>
              <w:left w:val="single" w:color="BDC3C7" w:sz="1"/>
              <w:bottom w:val="single" w:color="BDC3C7" w:sz="1"/>
              <w:right w:val="single" w:color="BDC3C7" w:sz="1"/>
            </w:tcBorders>
            <w:shd w:fill="1B4F72" w:val="clear"/>
            <w:tcMar>
              <w:top w:type="dxa" w:w="70"/>
              <w:left w:type="dxa" w:w="130"/>
              <w:bottom w:type="dxa" w:w="70"/>
              <w:right w:type="dxa" w:w="130"/>
            </w:tcMar>
            <w:vAlign w:val="center"/>
          </w:tcPr>
          <w:p>
            <w:r>
              <w:rPr>
                <w:rFonts w:ascii="Arial" w:cs="Arial" w:eastAsia="Arial" w:hAnsi="Arial"/>
                <w:b/>
                <w:bCs/>
                <w:color w:val="FFFFFF"/>
                <w:sz w:val="20"/>
                <w:szCs w:val="20"/>
              </w:rPr>
              <w:t xml:space="preserve">QUÉ TOMAR</w:t>
            </w:r>
          </w:p>
        </w:tc>
      </w:tr>
      <w:tr>
        <w:tc>
          <w:tcPr>
            <w:tcW w:type="dxa" w:w="26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Interior procariota — densidad</w:t>
            </w:r>
          </w:p>
        </w:tc>
        <w:tc>
          <w:tcPr>
            <w:tcW w:type="dxa" w:w="22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David S. Goodsell — pinturas de E. coli (RCSB PDB)</w:t>
            </w:r>
          </w:p>
        </w:tc>
        <w:tc>
          <w:tcPr>
            <w:tcW w:type="dxa" w:w="45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La densidad brutal sin espacios. Los ribosomas incontables. El nucleoide difuso sin membrana.</w:t>
            </w:r>
          </w:p>
        </w:tc>
      </w:tr>
      <w:tr>
        <w:tc>
          <w:tcPr>
            <w:tcW w:type="dxa" w:w="26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Interior procariota — nucleoide</w:t>
            </w:r>
          </w:p>
        </w:tc>
        <w:tc>
          <w:tcPr>
            <w:tcW w:type="dxa" w:w="22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Goodsell + imágenes TEM de E. coli (NIH)</w:t>
            </w:r>
          </w:p>
        </w:tc>
        <w:tc>
          <w:tcPr>
            <w:tcW w:type="dxa" w:w="45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ADN circular como nube difusa sin membrana. Movimiento lento de toda la nube.</w:t>
            </w:r>
          </w:p>
        </w:tc>
      </w:tr>
      <w:tr>
        <w:tc>
          <w:tcPr>
            <w:tcW w:type="dxa" w:w="26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Fisión binaria procariota</w:t>
            </w:r>
          </w:p>
        </w:tc>
        <w:tc>
          <w:tcPr>
            <w:tcW w:type="dxa" w:w="22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Imágenes de microscopía de tiempo real de E. coli dividiéndose (Nikon Small World)</w:t>
            </w:r>
          </w:p>
        </w:tc>
        <w:tc>
          <w:tcPr>
            <w:tcW w:type="dxa" w:w="45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La velocidad relativa. El estrangulamiento en el centro. La simetría perfecta del resultado.</w:t>
            </w:r>
          </w:p>
        </w:tc>
      </w:tr>
      <w:tr>
        <w:tc>
          <w:tcPr>
            <w:tcW w:type="dxa" w:w="26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Flagelo bacteriano — rotación</w:t>
            </w:r>
          </w:p>
        </w:tc>
        <w:tc>
          <w:tcPr>
            <w:tcW w:type="dxa" w:w="22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Imágenes de microscopía de fluorescencia de flagelos bacterianos</w:t>
            </w:r>
          </w:p>
        </w:tc>
        <w:tc>
          <w:tcPr>
            <w:tcW w:type="dxa" w:w="45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El movimiento rotatorio helicoidal (no ondulante). La rigidez del filamento.</w:t>
            </w:r>
          </w:p>
        </w:tc>
      </w:tr>
      <w:tr>
        <w:tc>
          <w:tcPr>
            <w:tcW w:type="dxa" w:w="26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Fimbrias bacterianas</w:t>
            </w:r>
          </w:p>
        </w:tc>
        <w:tc>
          <w:tcPr>
            <w:tcW w:type="dxa" w:w="22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Imágenes TEM de E. coli con fimbrias (Science Photo Library)</w:t>
            </w:r>
          </w:p>
        </w:tc>
        <w:tc>
          <w:tcPr>
            <w:tcW w:type="dxa" w:w="45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Los filamentos cortos y densos distribuidos en el perímetro. Estáticos, no animados.</w:t>
            </w:r>
          </w:p>
        </w:tc>
      </w:tr>
      <w:tr>
        <w:tc>
          <w:tcPr>
            <w:tcW w:type="dxa" w:w="26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Cápsula bacteriana</w:t>
            </w:r>
          </w:p>
        </w:tc>
        <w:tc>
          <w:tcPr>
            <w:tcW w:type="dxa" w:w="22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Imágenes de K. pneumoniae con cápsula (Science Photo Library)</w:t>
            </w:r>
          </w:p>
        </w:tc>
        <w:tc>
          <w:tcPr>
            <w:tcW w:type="dxa" w:w="45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El halo difuso que rodea la célula. No es un borde definido — es una nube.</w:t>
            </w:r>
          </w:p>
        </w:tc>
      </w:tr>
      <w:tr>
        <w:tc>
          <w:tcPr>
            <w:tcW w:type="dxa" w:w="26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Interior eucariota — densidad</w:t>
            </w:r>
          </w:p>
        </w:tc>
        <w:tc>
          <w:tcPr>
            <w:tcW w:type="dxa" w:w="22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Julien Tromeur imagen 10/11 (Dreamstime)</w:t>
            </w:r>
          </w:p>
        </w:tc>
        <w:tc>
          <w:tcPr>
            <w:tcW w:type="dxa" w:w="45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Orgánulos como objetos con volumen. Iluminación interna. Red de citoesqueleto.</w:t>
            </w:r>
          </w:p>
        </w:tc>
      </w:tr>
      <w:tr>
        <w:tc>
          <w:tcPr>
            <w:tcW w:type="dxa" w:w="26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Célula eucariota — membrana</w:t>
            </w:r>
          </w:p>
        </w:tc>
        <w:tc>
          <w:tcPr>
            <w:tcW w:type="dxa" w:w="22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Henning Dalhoff (Science Source)</w:t>
            </w:r>
          </w:p>
        </w:tc>
        <w:tc>
          <w:tcPr>
            <w:tcW w:type="dxa" w:w="45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Fosfolípidos individuales con cabeza y cola visibles. Proteínas incrustadas.</w:t>
            </w:r>
          </w:p>
        </w:tc>
      </w:tr>
      <w:tr>
        <w:tc>
          <w:tcPr>
            <w:tcW w:type="dxa" w:w="26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Mitosis — reorganización interna</w:t>
            </w:r>
          </w:p>
        </w:tc>
        <w:tc>
          <w:tcPr>
            <w:tcW w:type="dxa" w:w="22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Drew Berry (WEHI)</w:t>
            </w:r>
          </w:p>
        </w:tc>
        <w:tc>
          <w:tcPr>
            <w:tcW w:type="dxa" w:w="45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La condensación de cromatina visible. La redistribución de orgánulos hacia los polos.</w:t>
            </w:r>
          </w:p>
        </w:tc>
      </w:tr>
      <w:tr>
        <w:tc>
          <w:tcPr>
            <w:tcW w:type="dxa" w:w="26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Plegamiento de proteína</w:t>
            </w:r>
          </w:p>
        </w:tc>
        <w:tc>
          <w:tcPr>
            <w:tcW w:type="dxa" w:w="22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Drew Berry 'Inner Life of the Cell' (WEHI YouTube)</w:t>
            </w:r>
          </w:p>
        </w:tc>
        <w:tc>
          <w:tcPr>
            <w:tcW w:type="dxa" w:w="45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La cadena que emerge del ribosoma y se pliega durante el viaje.</w:t>
            </w:r>
          </w:p>
        </w:tc>
      </w:tr>
      <w:tr>
        <w:tc>
          <w:tcPr>
            <w:tcW w:type="dxa" w:w="26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Fondo del mapa exterior</w:t>
            </w:r>
          </w:p>
        </w:tc>
        <w:tc>
          <w:tcPr>
            <w:tcW w:type="dxa" w:w="22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jam_and_germs — videos de organismos de agua dulce</w:t>
            </w:r>
          </w:p>
        </w:tc>
        <w:tc>
          <w:tcPr>
            <w:tcW w:type="dxa" w:w="45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Color azul-gris, textura del agua con profundidad, partículas en suspensión.</w:t>
            </w:r>
          </w:p>
        </w:tc>
      </w:tr>
      <w:tr>
        <w:tc>
          <w:tcPr>
            <w:tcW w:type="dxa" w:w="26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Célula procariota en el mapa</w:t>
            </w:r>
          </w:p>
        </w:tc>
        <w:tc>
          <w:tcPr>
            <w:tcW w:type="dxa" w:w="220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Frank Fox — microscopía DIC</w:t>
            </w:r>
          </w:p>
        </w:tc>
        <w:tc>
          <w:tcPr>
            <w:tcW w:type="dxa" w:w="4560"/>
            <w:gridSpan w:val="1"/>
            <w:tcBorders>
              <w:top w:val="single" w:color="BDC3C7" w:sz="1"/>
              <w:left w:val="single" w:color="BDC3C7" w:sz="1"/>
              <w:bottom w:val="single" w:color="BDC3C7" w:sz="1"/>
              <w:right w:val="single" w:color="BDC3C7" w:sz="1"/>
            </w:tcBorders>
            <w:shd w:fill="F2F3F4"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Membrana más definida y opaca que la eucariota. Rigidez visual de la pared.</w:t>
            </w:r>
          </w:p>
        </w:tc>
      </w:tr>
      <w:tr>
        <w:tc>
          <w:tcPr>
            <w:tcW w:type="dxa" w:w="26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Ciliado — cilios animados</w:t>
            </w:r>
          </w:p>
        </w:tc>
        <w:tc>
          <w:tcPr>
            <w:tcW w:type="dxa" w:w="220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jam_and_germs imágenes 15-16 (gastrotrico)</w:t>
            </w:r>
          </w:p>
        </w:tc>
        <w:tc>
          <w:tcPr>
            <w:tcW w:type="dxa" w:w="4560"/>
            <w:gridSpan w:val="1"/>
            <w:tcBorders>
              <w:top w:val="single" w:color="BDC3C7" w:sz="1"/>
              <w:left w:val="single" w:color="BDC3C7" w:sz="1"/>
              <w:bottom w:val="single" w:color="BDC3C7" w:sz="1"/>
              <w:right w:val="single" w:color="BDC3C7" w:sz="1"/>
            </w:tcBorders>
            <w:shd w:fill="FFFFFF" w:val="clear"/>
            <w:tcMar>
              <w:top w:type="dxa" w:w="70"/>
              <w:left w:type="dxa" w:w="130"/>
              <w:bottom w:type="dxa" w:w="70"/>
              <w:right w:type="dxa" w:w="130"/>
            </w:tcMar>
            <w:vAlign w:val="center"/>
          </w:tcPr>
          <w:p>
            <w:r>
              <w:rPr>
                <w:rFonts w:ascii="Arial" w:cs="Arial" w:eastAsia="Arial" w:hAnsi="Arial"/>
                <w:b w:val="false"/>
                <w:bCs w:val="false"/>
                <w:color w:val="2C3E50"/>
                <w:sz w:val="20"/>
                <w:szCs w:val="20"/>
              </w:rPr>
              <w:t xml:space="preserve">Corona de cilios irradiando. Animación de batida sinusoidal desfasada.</w:t>
            </w:r>
          </w:p>
        </w:tc>
      </w:tr>
    </w:tbl>
    <w:p>
      <w:pPr>
        <w:spacing w:after="80" w:before="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60"/>
      <w:outlineLvl w:val="0"/>
    </w:pPr>
    <w:rPr>
      <w:rFonts w:ascii="Arial" w:cs="Arial" w:eastAsia="Arial" w:hAnsi="Arial"/>
      <w:b/>
      <w:bCs/>
      <w:color w:val="1B4F72"/>
      <w:sz w:val="40"/>
      <w:szCs w:val="40"/>
    </w:rPr>
  </w:style>
  <w:style w:type="paragraph" w:styleId="Heading2">
    <w:name w:val="Heading 2"/>
    <w:basedOn w:val="Normal"/>
    <w:next w:val="Normal"/>
    <w:qFormat/>
    <w:pPr>
      <w:spacing w:after="110" w:before="300"/>
      <w:outlineLvl w:val="1"/>
    </w:pPr>
    <w:rPr>
      <w:rFonts w:ascii="Arial" w:cs="Arial" w:eastAsia="Arial" w:hAnsi="Arial"/>
      <w:b/>
      <w:bCs/>
      <w:color w:val="2471A3"/>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844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2026-04-20T04:54:03.438Z</dcterms:created>
  <dcterms:modified xsi:type="dcterms:W3CDTF">2026-04-20T04:54:03.439Z</dcterms:modified>
</cp:coreProperties>
</file>

<file path=docProps/custom.xml><?xml version="1.0" encoding="utf-8"?>
<Properties xmlns="http://schemas.openxmlformats.org/officeDocument/2006/custom-properties" xmlns:vt="http://schemas.openxmlformats.org/officeDocument/2006/docPropsVTypes"/>
</file>