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C2B22"/>
          <w:sz w:val="40"/>
          <w:szCs w:val="40"/>
        </w:rPr>
        <w:t xml:space="preserve">Valuing New Water in the Bear River Basin</w:t>
      </w:r>
    </w:p>
    <w:p>
      <w:pPr>
        <w:spacing w:after="40"/>
      </w:pPr>
      <w:r>
        <w:rPr>
          <w:color w:val="5E7064"/>
          <w:sz w:val="24"/>
          <w:szCs w:val="24"/>
        </w:rPr>
        <w:t xml:space="preserve">Methods for Estimating the Downstream Economic Impact of Cloud-Seeded Precipitation</w:t>
      </w:r>
    </w:p>
    <w:p>
      <w:pPr>
        <w:pBdr>
          <w:bottom w:val="single" w:color="0F7B54" w:sz="6" w:space="4"/>
        </w:pBdr>
        <w:spacing w:after="200"/>
      </w:pPr>
      <w:r>
        <w:rPr>
          <w:rFonts w:ascii="Consolas" w:cs="Consolas" w:eastAsia="Consolas" w:hAnsi="Consolas"/>
          <w:color w:val="5E7064"/>
          <w:sz w:val="19"/>
          <w:szCs w:val="19"/>
        </w:rPr>
        <w:t xml:space="preserve">GSL-SWY+ Economic Layer v1  ·  Bear River pilot  ·  June 2026</w:t>
      </w:r>
    </w:p>
    <w:p>
      <w:pPr>
        <w:pStyle w:val="Heading2"/>
        <w:spacing w:after="120"/>
      </w:pPr>
      <w:r>
        <w:t xml:space="preserve">Summary</w:t>
      </w:r>
    </w:p>
    <w:p>
      <w:pPr>
        <w:spacing w:after="140" w:line="276"/>
      </w:pPr>
      <w:r>
        <w:t xml:space="preserve">This document explains how the economic layer of the Bear River model turns a quantity of </w:t>
      </w:r>
      <w:r>
        <w:rPr>
          <w:i/>
          <w:iCs/>
        </w:rPr>
        <w:t xml:space="preserve">new water generated in the basin</w:t>
      </w:r>
      <w:r>
        <w:t xml:space="preserve"> into a defensible estimate of downstream economic value. The method follows a single principle from the project brief — </w:t>
      </w:r>
      <w:r>
        <w:rPr>
          <w:b/>
          <w:bCs/>
        </w:rPr>
        <w:t xml:space="preserve">water and money follow the same path</w:t>
      </w:r>
      <w:r>
        <w:t xml:space="preserve">. Every acre-foot of new water is routed down the hydrologic cascade, and a marginal dollar value is attached at each place the water is actually used, with strict guards against double-counting.</w:t>
      </w:r>
    </w:p>
    <w:p>
      <w:pPr>
        <w:spacing w:after="140" w:line="276"/>
      </w:pPr>
      <w:r>
        <w:t xml:space="preserve">At the central calibrated seeding effect of </w:t>
      </w:r>
      <w:r>
        <w:rPr>
          <w:b/>
          <w:bCs/>
          <w:color w:val="0F7B54"/>
        </w:rPr>
        <w:t xml:space="preserve">+4,675 acre-feet/year</w:t>
      </w:r>
      <w:r>
        <w:t xml:space="preserve"> at the Bear River outlet, the model estimates roughly </w:t>
      </w:r>
      <w:r>
        <w:rPr>
          <w:b/>
          <w:bCs/>
          <w:color w:val="0F7B54"/>
        </w:rPr>
        <w:t xml:space="preserve">$1.75 million/year</w:t>
      </w:r>
      <w:r>
        <w:t xml:space="preserve"> in downstream economic value, a blended </w:t>
      </w:r>
      <w:r>
        <w:rPr>
          <w:b/>
          <w:bCs/>
        </w:rPr>
        <w:t xml:space="preserve">$374.50 per acre-foot</w:t>
      </w:r>
      <w:r>
        <w:t xml:space="preserve">. For reference, a full inch of new water over the entire basin (≈400,000 AF) would be worth on the order of $150 million. The value is concentrated upstream — agriculture and municipal supply — not in refilling the Great Salt Lake, a distinction the model is deliberately built to preserve.</w:t>
      </w:r>
    </w:p>
    <w:p>
      <w:r>
        <w:br w:type="page"/>
      </w: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Conceptual framework</w:t>
      </w:r>
    </w:p>
    <w:p>
      <w:pPr>
        <w:spacing w:after="140" w:line="276"/>
      </w:pPr>
      <w:r>
        <w:t xml:space="preserve">New water created by cloud seeding does not stop at the gauge. Once it falls as snow and melts, it travels through soil, aquifers, river channels, diversions, reservoirs, wetlands, and finally the lake — and it produces economic value at almost every step. The economic layer is built to follow that water and price each use it enables.</w:t>
      </w:r>
    </w:p>
    <w:p>
      <w:pPr>
        <w:spacing w:after="140" w:line="276"/>
      </w:pPr>
      <w:r>
        <w:t xml:space="preserve">Three rules keep the accounting honest:</w:t>
      </w:r>
    </w:p>
    <w:p>
      <w:pPr>
        <w:pStyle w:val="ListParagraph"/>
        <w:numPr>
          <w:ilvl w:val="0"/>
          <w:numId w:val="2"/>
        </w:numPr>
        <w:spacing w:after="80" w:line="270"/>
      </w:pPr>
      <w:r>
        <w:rPr>
          <w:b/>
          <w:bCs/>
        </w:rPr>
        <w:t xml:space="preserve">Rival uses are partitioned. </w:t>
      </w:r>
      <w:r>
        <w:t xml:space="preserve">An acre-foot that a crop transpires cannot also flow on to a city. So the consumptive uses are modeled as fractions of each generated acre-foot that sum to exactly 1.0 (losses included). Nothing is counted twice.</w:t>
      </w:r>
    </w:p>
    <w:p>
      <w:pPr>
        <w:pStyle w:val="ListParagraph"/>
        <w:numPr>
          <w:ilvl w:val="0"/>
          <w:numId w:val="2"/>
        </w:numPr>
        <w:spacing w:after="80" w:line="270"/>
      </w:pPr>
      <w:r>
        <w:rPr>
          <w:b/>
          <w:bCs/>
        </w:rPr>
        <w:t xml:space="preserve">Non-rival uses are valued on throughflow. </w:t>
      </w:r>
      <w:r>
        <w:t xml:space="preserve">Hydropower and in-river recreation use the water as it passes without removing it, so they are valued on the volume that flows through a reach, not subtracted from anyone else's share.</w:t>
      </w:r>
    </w:p>
    <w:p>
      <w:pPr>
        <w:pStyle w:val="ListParagraph"/>
        <w:numPr>
          <w:ilvl w:val="0"/>
          <w:numId w:val="2"/>
        </w:numPr>
        <w:spacing w:after="80" w:line="270"/>
      </w:pPr>
      <w:r>
        <w:rPr>
          <w:b/>
          <w:bCs/>
        </w:rPr>
        <w:t xml:space="preserve">Lake benefits are joint products. </w:t>
      </w:r>
      <w:r>
        <w:t xml:space="preserve">The same acre-foot reaching the Great Salt Lake simultaneously supports brine shrimp, mineral extraction, dust suppression, and lake-effect snow. These are summed on the to-lake volume, not partitioned among themselves.</w:t>
      </w:r>
    </w:p>
    <w:p>
      <w:pPr>
        <w:spacing w:after="140" w:line="276"/>
      </w:pPr>
      <w:r>
        <w:t xml:space="preserve">This three-class structure is the core methodological contribution: it lets the model add up a long list of beneficiaries without inflating the total through double-counting — the single most common failure mode in water-valuation studies.</w:t>
      </w:r>
    </w:p>
    <w:p>
      <w:pPr>
        <w:pStyle w:val="Heading1"/>
      </w:pPr>
      <w:r>
        <w:t xml:space="preserve">2. Mapping every destination of the water</w:t>
      </w:r>
    </w:p>
    <w:p>
      <w:pPr>
        <w:spacing w:after="140" w:line="276"/>
      </w:pPr>
      <w:r>
        <w:t xml:space="preserve">The first task was to map </w:t>
      </w:r>
      <w:r>
        <w:rPr>
          <w:i/>
          <w:iCs/>
        </w:rPr>
        <w:t xml:space="preserve">everywhere</w:t>
      </w:r>
      <w:r>
        <w:t xml:space="preserve"> an acre-foot of new high-elevation snowmelt can go between the cloud and its terminal destination. Because seeded water is cool-season, high-elevation snow with a high runoff ratio, the partition leans toward runoff relative to a basin-average analog. The default split is roughly 40% to soil pathways, 20% to groundwater, 35% to surface water, and 5% lost to interception and sublimation. Total water ultimately reaching the lake (direct surface residual plus groundwater baseflow return) is </w:t>
      </w:r>
      <w:r>
        <w:rPr>
          <w:b/>
          <w:bCs/>
        </w:rPr>
        <w:t xml:space="preserve">27%</w:t>
      </w:r>
      <w:r>
        <w:t xml:space="preserve">, consistent with the lumped hydrologic model's independent delivery factor of ~0.25.</w:t>
      </w:r>
    </w:p>
    <w:p>
      <w:pPr>
        <w:spacing w:after="140" w:line="276"/>
      </w:pPr>
      <w:r>
        <w:rPr>
          <w:b/>
          <w:bCs/>
        </w:rPr>
        <w:t xml:space="preserve">The cascade and its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Pathway</w:t>
            </w:r>
          </w:p>
        </w:tc>
        <w:tc>
          <w:tcPr>
            <w:tcW w:type="dxa" w:w="15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Share of new water</w:t>
            </w:r>
          </w:p>
        </w:tc>
        <w:tc>
          <w:tcPr>
            <w:tcW w:type="dxa" w:w="496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Destinations (where value is created)</w:t>
            </w:r>
          </w:p>
        </w:tc>
      </w:tr>
      <w:tr>
        <w:tc>
          <w:tcPr>
            <w:tcW w:type="dxa" w:w="29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Soil moisture / ET</w:t>
            </w:r>
          </w:p>
        </w:tc>
        <w:tc>
          <w:tcPr>
            <w:tcW w:type="dxa" w:w="15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40%</w:t>
            </w:r>
          </w:p>
        </w:tc>
        <w:tc>
          <w:tcPr>
            <w:tcW w:type="dxa" w:w="49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Crop transpiration, rangeland forage, wildfire-fuel moisture, natural vegetation</w:t>
            </w:r>
          </w:p>
        </w:tc>
      </w:tr>
      <w:tr>
        <w:tc>
          <w:tcPr>
            <w:tcW w:type="dxa" w:w="29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Groundwater</w:t>
            </w:r>
          </w:p>
        </w:tc>
        <w:tc>
          <w:tcPr>
            <w:tcW w:type="dxa" w:w="15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20%</w:t>
            </w:r>
          </w:p>
        </w:tc>
        <w:tc>
          <w:tcPr>
            <w:tcW w:type="dxa" w:w="49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M&amp;I and irrigation well pumping, and baseflow return to the river → lake</w:t>
            </w:r>
          </w:p>
        </w:tc>
      </w:tr>
      <w:tr>
        <w:tc>
          <w:tcPr>
            <w:tcW w:type="dxa" w:w="29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Surface water</w:t>
            </w:r>
          </w:p>
        </w:tc>
        <w:tc>
          <w:tcPr>
            <w:tcW w:type="dxa" w:w="15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35%</w:t>
            </w:r>
          </w:p>
        </w:tc>
        <w:tc>
          <w:tcPr>
            <w:tcW w:type="dxa" w:w="49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Surface irrigation &amp; M&amp;I diversions, wetlands/bird refuge, in-river hydropower &amp; fishing, residual flow to the lake</w:t>
            </w:r>
          </w:p>
        </w:tc>
      </w:tr>
      <w:tr>
        <w:tc>
          <w:tcPr>
            <w:tcW w:type="dxa" w:w="29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Interception / loss</w:t>
            </w:r>
          </w:p>
        </w:tc>
        <w:tc>
          <w:tcPr>
            <w:tcW w:type="dxa" w:w="15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5%</w:t>
            </w:r>
          </w:p>
        </w:tc>
        <w:tc>
          <w:tcPr>
            <w:tcW w:type="dxa" w:w="49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5E7064"/>
                <w:sz w:val="19"/>
                <w:szCs w:val="19"/>
              </w:rPr>
              <w:t xml:space="preserve">No economic value (evaporated before use)</w:t>
            </w:r>
          </w:p>
        </w:tc>
      </w:tr>
    </w:tbl>
    <w:p>
      <w:pPr>
        <w:spacing w:after="140" w:before="120" w:line="276"/>
      </w:pPr>
      <w:r>
        <w:t xml:space="preserve">Of every 100 acre-feet generated, about 27 reach the Great Salt Lake; the other 73 are consumed or lost upstream — and that upstream consumption is where most of the economic value is realized.</w:t>
      </w:r>
    </w:p>
    <w:p>
      <w:pPr>
        <w:pStyle w:val="Heading1"/>
      </w:pPr>
      <w:r>
        <w:t xml:space="preserve">3. Valuation method</w:t>
      </w:r>
    </w:p>
    <w:p>
      <w:pPr>
        <w:pStyle w:val="Heading2"/>
      </w:pPr>
      <w:r>
        <w:t xml:space="preserve">3.1 Per-acre-foot decomposition</w:t>
      </w:r>
    </w:p>
    <w:p>
      <w:pPr>
        <w:spacing w:after="140" w:line="276"/>
      </w:pPr>
      <w:r>
        <w:t xml:space="preserve">The model computes a </w:t>
      </w:r>
      <w:r>
        <w:rPr>
          <w:b/>
          <w:bCs/>
        </w:rPr>
        <w:t xml:space="preserve">per-acre-foot decomposition</w:t>
      </w:r>
      <w:r>
        <w:t xml:space="preserve"> that is independent of how much water is generated. For each node the value contribution per acre-foot generated is:</w:t>
      </w:r>
    </w:p>
    <w:p>
      <w:pPr>
        <w:spacing w:after="140" w:line="276"/>
      </w:pPr>
      <w:r>
        <w:rPr>
          <w:rFonts w:ascii="Consolas" w:cs="Consolas" w:eastAsia="Consolas" w:hAnsi="Consolas"/>
          <w:color w:val="1F6F8B"/>
          <w:sz w:val="19"/>
          <w:szCs w:val="19"/>
        </w:rPr>
        <w:t xml:space="preserve">    value_per_AF_generated  =  (fraction of water at the node)  ×  ($ value per acre-foot used at that node)</w:t>
      </w:r>
    </w:p>
    <w:p>
      <w:pPr>
        <w:spacing w:after="140" w:line="276"/>
      </w:pPr>
      <w:r>
        <w:t xml:space="preserve">Basin totals for any scenario are then a single multiplication: multiply each per-AF figure by the chosen "water generated" quantity. This is why the interactive tool's slider rescales instantly with no recomputation — the expensive routing is done once, per acre-foot.</w:t>
      </w:r>
    </w:p>
    <w:p>
      <w:pPr>
        <w:pStyle w:val="Heading2"/>
      </w:pPr>
      <w:r>
        <w:t xml:space="preserve">3.2 The three value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Class</w:t>
            </w:r>
          </w:p>
        </w:tc>
        <w:tc>
          <w:tcPr>
            <w:tcW w:type="dxa" w:w="24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How it is valued</w:t>
            </w:r>
          </w:p>
        </w:tc>
        <w:tc>
          <w:tcPr>
            <w:tcW w:type="dxa" w:w="476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Why it cannot double-count</w:t>
            </w:r>
          </w:p>
        </w:tc>
      </w:tr>
      <w:tr>
        <w:tc>
          <w:tcPr>
            <w:tcW w:type="dxa" w:w="22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Consumptive</w:t>
            </w:r>
          </w:p>
        </w:tc>
        <w:tc>
          <w:tcPr>
            <w:tcW w:type="dxa" w:w="24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fraction × $/AF used; fractions sum to 1.0</w:t>
            </w:r>
          </w:p>
        </w:tc>
        <w:tc>
          <w:tcPr>
            <w:tcW w:type="dxa" w:w="47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Rival uses partition a single acre-foot; losses carry $0 but still occupy their fraction</w:t>
            </w:r>
          </w:p>
        </w:tc>
      </w:tr>
      <w:tr>
        <w:tc>
          <w:tcPr>
            <w:tcW w:type="dxa" w:w="22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Pass-through</w:t>
            </w:r>
          </w:p>
        </w:tc>
        <w:tc>
          <w:tcPr>
            <w:tcW w:type="dxa" w:w="24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throughflow fraction × $/AF</w:t>
            </w:r>
          </w:p>
        </w:tc>
        <w:tc>
          <w:tcPr>
            <w:tcW w:type="dxa" w:w="47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Non-consumptive — water is used and released, never removed from the rival pool</w:t>
            </w:r>
          </w:p>
        </w:tc>
      </w:tr>
      <w:tr>
        <w:tc>
          <w:tcPr>
            <w:tcW w:type="dxa" w:w="22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Lake-terminal</w:t>
            </w:r>
          </w:p>
        </w:tc>
        <w:tc>
          <w:tcPr>
            <w:tcW w:type="dxa" w:w="24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to-lake fraction × $/AF, summed across benefits</w:t>
            </w:r>
          </w:p>
        </w:tc>
        <w:tc>
          <w:tcPr>
            <w:tcW w:type="dxa" w:w="47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Joint products of the same to-lake acre-foot; summed only over the 27% that arrives</w:t>
            </w:r>
          </w:p>
        </w:tc>
      </w:tr>
    </w:tbl>
    <w:p>
      <w:pPr>
        <w:spacing w:before="120"/>
      </w:pPr>
      <w:r>
        <w:t xml:space="preserve">An automated integrity check halts the model if the consumptive fractions do not sum to 1.0 within tolerance, guaranteeing mass conservation every run.</w:t>
      </w:r>
    </w:p>
    <w:p>
      <w:pPr>
        <w:pStyle w:val="Heading1"/>
        <w:pageBreakBefore/>
      </w:pPr>
      <w:r>
        <w:t xml:space="preserve">4. Dollar anchors and data sources</w:t>
      </w:r>
    </w:p>
    <w:p>
      <w:pPr>
        <w:spacing w:after="140" w:line="276"/>
      </w:pPr>
      <w:r>
        <w:t xml:space="preserve">Every dollar figure is an </w:t>
      </w:r>
      <w:r>
        <w:rPr>
          <w:b/>
          <w:bCs/>
        </w:rPr>
        <w:t xml:space="preserve">editable, sourced, marginal/avoided-cost anchor</w:t>
      </w:r>
      <w:r>
        <w:t xml:space="preserve"> drawn from public literature — not Rainmaker company figures. They are illustrative and meant to be replaced with stakeholder-preferred values (e.g., Utah DNR's own numbers). The full node table with values used in this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150"/>
        <w:gridCol w:w="1250"/>
        <w:gridCol w:w="3910"/>
      </w:tblGrid>
      <w:tr>
        <w:trPr>
          <w:tblHeader/>
        </w:trPr>
        <w:tc>
          <w:tcPr>
            <w:tcW w:type="dxa" w:w="305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Node</w:t>
            </w:r>
          </w:p>
        </w:tc>
        <w:tc>
          <w:tcPr>
            <w:tcW w:type="dxa" w:w="115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Frac.</w:t>
            </w:r>
          </w:p>
        </w:tc>
        <w:tc>
          <w:tcPr>
            <w:tcW w:type="dxa" w:w="125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$/AF used</w:t>
            </w:r>
          </w:p>
        </w:tc>
        <w:tc>
          <w:tcPr>
            <w:tcW w:type="dxa" w:w="391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Basis</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Crop transpiration (ET)</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0.22</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$750</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USU GSL-basin ag-water conservation cost $688–806/AF</w:t>
            </w:r>
          </w:p>
        </w:tc>
      </w:tr>
      <w:tr>
        <w:tc>
          <w:tcPr>
            <w:tcW w:type="dxa" w:w="30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Surface irrigation diversion</w:t>
            </w:r>
          </w:p>
        </w:tc>
        <w:tc>
          <w:tcPr>
            <w:tcW w:type="dxa" w:w="11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0.08</w:t>
            </w:r>
          </w:p>
        </w:tc>
        <w:tc>
          <w:tcPr>
            <w:tcW w:type="dxa" w:w="12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$600</w:t>
            </w:r>
          </w:p>
        </w:tc>
        <w:tc>
          <w:tcPr>
            <w:tcW w:type="dxa" w:w="391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Bear River Canal ~230K AF/yr serving 150K+ acres</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Groundwater pumping (M&amp;I/irrig.)</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0.10</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$400</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Avoided next-cheapest supply / water-rights market</w:t>
            </w:r>
          </w:p>
        </w:tc>
      </w:tr>
      <w:tr>
        <w:tc>
          <w:tcPr>
            <w:tcW w:type="dxa" w:w="30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Surface M&amp;I diversion</w:t>
            </w:r>
          </w:p>
        </w:tc>
        <w:tc>
          <w:tcPr>
            <w:tcW w:type="dxa" w:w="11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0.04</w:t>
            </w:r>
          </w:p>
        </w:tc>
        <w:tc>
          <w:tcPr>
            <w:tcW w:type="dxa" w:w="12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$500</w:t>
            </w:r>
          </w:p>
        </w:tc>
        <w:tc>
          <w:tcPr>
            <w:tcW w:type="dxa" w:w="391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Municipal &amp; industrial supply value</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Rangeland forage</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0.06</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$300</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AUM forage value proxy</w:t>
            </w:r>
          </w:p>
        </w:tc>
      </w:tr>
      <w:tr>
        <w:tc>
          <w:tcPr>
            <w:tcW w:type="dxa" w:w="30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Soil &amp; fuel moisture (wildfire)</w:t>
            </w:r>
          </w:p>
        </w:tc>
        <w:tc>
          <w:tcPr>
            <w:tcW w:type="dxa" w:w="11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0.05</w:t>
            </w:r>
          </w:p>
        </w:tc>
        <w:tc>
          <w:tcPr>
            <w:tcW w:type="dxa" w:w="12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$200</w:t>
            </w:r>
          </w:p>
        </w:tc>
        <w:tc>
          <w:tcPr>
            <w:tcW w:type="dxa" w:w="391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Avoided suppression+loss; fuel-treatment break-even (Hunter &amp; Taylor)</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Wetlands / Bird Refuge</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0.06</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$150</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Bear River Migratory Bird Refuge (8M birds)</w:t>
            </w:r>
          </w:p>
        </w:tc>
      </w:tr>
      <w:tr>
        <w:tc>
          <w:tcPr>
            <w:tcW w:type="dxa" w:w="30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Natural vegetation ET</w:t>
            </w:r>
          </w:p>
        </w:tc>
        <w:tc>
          <w:tcPr>
            <w:tcW w:type="dxa" w:w="11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0.07</w:t>
            </w:r>
          </w:p>
        </w:tc>
        <w:tc>
          <w:tcPr>
            <w:tcW w:type="dxa" w:w="12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w:t>
            </w:r>
          </w:p>
        </w:tc>
        <w:tc>
          <w:tcPr>
            <w:tcW w:type="dxa" w:w="391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Ecosystem service, unpriced here</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Baseflow return → lake</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0.10</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Routed to lake; valued at terminal</w:t>
            </w:r>
          </w:p>
        </w:tc>
      </w:tr>
      <w:tr>
        <w:tc>
          <w:tcPr>
            <w:tcW w:type="dxa" w:w="30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Reaches Great Salt Lake (surface)</w:t>
            </w:r>
          </w:p>
        </w:tc>
        <w:tc>
          <w:tcPr>
            <w:tcW w:type="dxa" w:w="11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0.17</w:t>
            </w:r>
          </w:p>
        </w:tc>
        <w:tc>
          <w:tcPr>
            <w:tcW w:type="dxa" w:w="12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w:t>
            </w:r>
          </w:p>
        </w:tc>
        <w:tc>
          <w:tcPr>
            <w:tcW w:type="dxa" w:w="391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Routed to lake; valued at terminal</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Interception &amp; evaporation</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0.05</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Loss (no value)</w:t>
            </w:r>
          </w:p>
        </w:tc>
      </w:tr>
      <w:tr>
        <w:tc>
          <w:tcPr>
            <w:tcW w:type="dxa" w:w="30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bCs/>
                <w:color w:val="1C2B22"/>
                <w:sz w:val="19"/>
                <w:szCs w:val="19"/>
              </w:rPr>
              <w:t xml:space="preserve">In-river fishing &amp; boating</w:t>
            </w:r>
          </w:p>
        </w:tc>
        <w:tc>
          <w:tcPr>
            <w:tcW w:type="dxa" w:w="11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0.35*</w:t>
            </w:r>
          </w:p>
        </w:tc>
        <w:tc>
          <w:tcPr>
            <w:tcW w:type="dxa" w:w="12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$45</w:t>
            </w:r>
          </w:p>
        </w:tc>
        <w:tc>
          <w:tcPr>
            <w:tcW w:type="dxa" w:w="391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Angler-day spend / instream-flow WTP (pass-through)</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bCs/>
                <w:color w:val="1C2B22"/>
                <w:sz w:val="19"/>
                <w:szCs w:val="19"/>
              </w:rPr>
              <w:t xml:space="preserve">Hydropower (4 PacifiCorp dams)</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0.35*</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$12</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~77 MW Soda/Grace/Cove/Oneida, run-of-river (pass-through)</w:t>
            </w:r>
          </w:p>
        </w:tc>
      </w:tr>
      <w:tr>
        <w:tc>
          <w:tcPr>
            <w:tcW w:type="dxa" w:w="30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bCs/>
                <w:color w:val="1C2B22"/>
                <w:sz w:val="19"/>
                <w:szCs w:val="19"/>
              </w:rPr>
              <w:t xml:space="preserve">Dust / public-health avoided cost</w:t>
            </w:r>
          </w:p>
        </w:tc>
        <w:tc>
          <w:tcPr>
            <w:tcW w:type="dxa" w:w="11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0.27†</w:t>
            </w:r>
          </w:p>
        </w:tc>
        <w:tc>
          <w:tcPr>
            <w:tcW w:type="dxa" w:w="12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$80</w:t>
            </w:r>
          </w:p>
        </w:tc>
        <w:tc>
          <w:tcPr>
            <w:tcW w:type="dxa" w:w="391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Exposed-lakebed PM2.5/arsenic; Owens Lake analog (lake-terminal)</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bCs/>
                <w:color w:val="1C2B22"/>
                <w:sz w:val="19"/>
                <w:szCs w:val="19"/>
              </w:rPr>
              <w:t xml:space="preserve">Brine shrimp, minerals, birds</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0.27†</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$40</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Minerals $1.13B; brine shrimp $67M; GSL aggregate ~$2.5B/yr (lake-terminal)</w:t>
            </w:r>
          </w:p>
        </w:tc>
      </w:tr>
      <w:tr>
        <w:tc>
          <w:tcPr>
            <w:tcW w:type="dxa" w:w="30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bCs/>
                <w:color w:val="1C2B22"/>
                <w:sz w:val="19"/>
                <w:szCs w:val="19"/>
              </w:rPr>
              <w:t xml:space="preserve">Lake-effect snow / ski</w:t>
            </w:r>
          </w:p>
        </w:tc>
        <w:tc>
          <w:tcPr>
            <w:tcW w:type="dxa" w:w="11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0.27†</w:t>
            </w:r>
          </w:p>
        </w:tc>
        <w:tc>
          <w:tcPr>
            <w:tcW w:type="dxa" w:w="125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$30</w:t>
            </w:r>
          </w:p>
        </w:tc>
        <w:tc>
          <w:tcPr>
            <w:tcW w:type="dxa" w:w="391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Lake adds 5–10% of UT snow; ski $1.2B/20K jobs (lake-terminal)</w:t>
            </w:r>
          </w:p>
        </w:tc>
      </w:tr>
      <w:tr>
        <w:tc>
          <w:tcPr>
            <w:tcW w:type="dxa" w:w="30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bCs/>
                <w:color w:val="1C2B22"/>
                <w:sz w:val="19"/>
                <w:szCs w:val="19"/>
              </w:rPr>
              <w:t xml:space="preserve">Lake recreation &amp; birding</w:t>
            </w:r>
          </w:p>
        </w:tc>
        <w:tc>
          <w:tcPr>
            <w:tcW w:type="dxa" w:w="11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0.27†</w:t>
            </w:r>
          </w:p>
        </w:tc>
        <w:tc>
          <w:tcPr>
            <w:tcW w:type="dxa" w:w="125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$15</w:t>
            </w:r>
          </w:p>
        </w:tc>
        <w:tc>
          <w:tcPr>
            <w:tcW w:type="dxa" w:w="391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Lake-terminal recreation value</w:t>
            </w:r>
          </w:p>
        </w:tc>
      </w:tr>
    </w:tbl>
    <w:p>
      <w:pPr>
        <w:spacing w:before="80"/>
      </w:pPr>
      <w:r>
        <w:rPr>
          <w:color w:val="5E7064"/>
          <w:sz w:val="17"/>
          <w:szCs w:val="17"/>
        </w:rPr>
        <w:t xml:space="preserve">* throughflow fraction (surface water), not consumed.  † to-lake fraction; lake benefits are summed on the same arriving acre-foot.</w:t>
      </w:r>
    </w:p>
    <w:p>
      <w:pPr>
        <w:pStyle w:val="Heading1"/>
        <w:pageBreakBefore/>
      </w:pPr>
      <w:r>
        <w:t xml:space="preserve">5. Results</w:t>
      </w:r>
    </w:p>
    <w:p>
      <w:pPr>
        <w:pStyle w:val="Heading2"/>
      </w:pPr>
      <w:r>
        <w:t xml:space="preserve">5.1 Blended value per acre-foot</w:t>
      </w:r>
    </w:p>
    <w:p>
      <w:pPr>
        <w:spacing w:after="140" w:line="276"/>
      </w:pPr>
      <w:r>
        <w:t xml:space="preserve">Summed across all nodes, one acre-foot of new water generated in the basin is worth a blended </w:t>
      </w:r>
      <w:r>
        <w:rPr>
          <w:b/>
          <w:bCs/>
          <w:color w:val="0F7B54"/>
        </w:rPr>
        <w:t xml:space="preserve">$374.50</w:t>
      </w:r>
      <w:r>
        <w:t xml:space="preserve">, composed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Value class</w:t>
            </w:r>
          </w:p>
        </w:tc>
        <w:tc>
          <w:tcPr>
            <w:tcW w:type="dxa" w:w="20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$/AF</w:t>
            </w:r>
          </w:p>
        </w:tc>
        <w:tc>
          <w:tcPr>
            <w:tcW w:type="dxa" w:w="20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Share</w:t>
            </w:r>
          </w:p>
        </w:tc>
      </w:tr>
      <w:tr>
        <w:tc>
          <w:tcPr>
            <w:tcW w:type="dxa" w:w="5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Consumptive (upstream uses)</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$310.00</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82.8%</w:t>
            </w:r>
          </w:p>
        </w:tc>
      </w:tr>
      <w:tr>
        <w:tc>
          <w:tcPr>
            <w:tcW w:type="dxa" w:w="53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Pass-through (hydro, fishing)</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$19.95</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5.3%</w:t>
            </w:r>
          </w:p>
        </w:tc>
      </w:tr>
      <w:tr>
        <w:tc>
          <w:tcPr>
            <w:tcW w:type="dxa" w:w="5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Lake-terminal (joint lake benefits)</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$44.55</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11.9%</w:t>
            </w:r>
          </w:p>
        </w:tc>
      </w:tr>
      <w:tr>
        <w:tc>
          <w:tcPr>
            <w:tcW w:type="dxa" w:w="53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bCs/>
                <w:color w:val="1C2B22"/>
                <w:sz w:val="19"/>
                <w:szCs w:val="19"/>
              </w:rPr>
              <w:t xml:space="preserve">Total</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bCs/>
                <w:color w:val="1C2B22"/>
                <w:sz w:val="19"/>
                <w:szCs w:val="19"/>
              </w:rPr>
              <w:t xml:space="preserve">$374.50</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bCs/>
                <w:color w:val="1C2B22"/>
                <w:sz w:val="19"/>
                <w:szCs w:val="19"/>
              </w:rPr>
              <w:t xml:space="preserve">100%</w:t>
            </w:r>
          </w:p>
        </w:tc>
      </w:tr>
    </w:tbl>
    <w:p>
      <w:pPr>
        <w:pStyle w:val="Heading2"/>
      </w:pPr>
      <w:r>
        <w:t xml:space="preserve">5.2 Value by beneficiary</w:t>
      </w:r>
    </w:p>
    <w:p>
      <w:pPr>
        <w:spacing w:after="140" w:line="276"/>
      </w:pPr>
      <w:r>
        <w:t xml:space="preserve">Ranking beneficiaries by value per acre-foot generated shows where the economic case actually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Beneficiary</w:t>
            </w:r>
          </w:p>
        </w:tc>
        <w:tc>
          <w:tcPr>
            <w:tcW w:type="dxa" w:w="20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$/AF</w:t>
            </w:r>
          </w:p>
        </w:tc>
        <w:tc>
          <w:tcPr>
            <w:tcW w:type="dxa" w:w="20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 at +4,675 AF</w:t>
            </w:r>
          </w:p>
        </w:tc>
      </w:tr>
      <w:tr>
        <w:tc>
          <w:tcPr>
            <w:tcW w:type="dxa" w:w="5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Agriculture (ET + diversion)</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$213.00</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$995,775</w:t>
            </w:r>
          </w:p>
        </w:tc>
      </w:tr>
      <w:tr>
        <w:tc>
          <w:tcPr>
            <w:tcW w:type="dxa" w:w="53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Municipal &amp; Industrial</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$60.00</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$280,500</w:t>
            </w:r>
          </w:p>
        </w:tc>
      </w:tr>
      <w:tr>
        <w:tc>
          <w:tcPr>
            <w:tcW w:type="dxa" w:w="5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Dust / public health</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$21.60</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$100,980</w:t>
            </w:r>
          </w:p>
        </w:tc>
      </w:tr>
      <w:tr>
        <w:tc>
          <w:tcPr>
            <w:tcW w:type="dxa" w:w="53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Ranching</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$18.00</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$84,150</w:t>
            </w:r>
          </w:p>
        </w:tc>
      </w:tr>
      <w:tr>
        <w:tc>
          <w:tcPr>
            <w:tcW w:type="dxa" w:w="5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Recreation &amp; fisheries</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$15.75</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$73,631</w:t>
            </w:r>
          </w:p>
        </w:tc>
      </w:tr>
      <w:tr>
        <w:tc>
          <w:tcPr>
            <w:tcW w:type="dxa" w:w="53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Lake ecosystem &amp; industry</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$10.80</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$50,490</w:t>
            </w:r>
          </w:p>
        </w:tc>
      </w:tr>
      <w:tr>
        <w:tc>
          <w:tcPr>
            <w:tcW w:type="dxa" w:w="5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Wildfire resilience</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$10.00</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$46,750</w:t>
            </w:r>
          </w:p>
        </w:tc>
      </w:tr>
      <w:tr>
        <w:tc>
          <w:tcPr>
            <w:tcW w:type="dxa" w:w="53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Wetlands &amp; waterfowl</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$9.00</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$42,075</w:t>
            </w:r>
          </w:p>
        </w:tc>
      </w:tr>
      <w:tr>
        <w:tc>
          <w:tcPr>
            <w:tcW w:type="dxa" w:w="5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Lake-effect snow / ski</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$8.10</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$37,868</w:t>
            </w:r>
          </w:p>
        </w:tc>
      </w:tr>
      <w:tr>
        <w:tc>
          <w:tcPr>
            <w:tcW w:type="dxa" w:w="53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Hydropower</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$4.20</w:t>
            </w:r>
          </w:p>
        </w:tc>
        <w:tc>
          <w:tcPr>
            <w:tcW w:type="dxa" w:w="20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$19,635</w:t>
            </w:r>
          </w:p>
        </w:tc>
      </w:tr>
      <w:tr>
        <w:tc>
          <w:tcPr>
            <w:tcW w:type="dxa" w:w="5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Lake recreation</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$4.05</w:t>
            </w:r>
          </w:p>
        </w:tc>
        <w:tc>
          <w:tcPr>
            <w:tcW w:type="dxa" w:w="20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$18,934</w:t>
            </w:r>
          </w:p>
        </w:tc>
      </w:tr>
    </w:tbl>
    <w:p>
      <w:pPr>
        <w:spacing w:before="120"/>
      </w:pPr>
      <w:r>
        <w:t xml:space="preserve">Agriculture alone accounts for 57% of the total value; municipal supply another 16%. The four lake-terminal benefits combine to roughly 12% — material, but not the headline.</w:t>
      </w:r>
    </w:p>
    <w:p>
      <w:pPr>
        <w:pStyle w:val="Heading2"/>
      </w:pPr>
      <w:r>
        <w:t xml:space="preserve">5.3 Scenario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Scenario</w:t>
            </w:r>
          </w:p>
        </w:tc>
        <w:tc>
          <w:tcPr>
            <w:tcW w:type="dxa" w:w="25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Water generated</w:t>
            </w:r>
          </w:p>
        </w:tc>
        <w:tc>
          <w:tcPr>
            <w:tcW w:type="dxa" w:w="25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Economic value/yr</w:t>
            </w:r>
          </w:p>
        </w:tc>
      </w:tr>
      <w:tr>
        <w:tc>
          <w:tcPr>
            <w:tcW w:type="dxa" w:w="4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bCs/>
                <w:color w:val="1C2B22"/>
                <w:sz w:val="19"/>
                <w:szCs w:val="19"/>
              </w:rPr>
              <w:t xml:space="preserve">Central seeding effect (calibrated)</w:t>
            </w:r>
          </w:p>
        </w:tc>
        <w:tc>
          <w:tcPr>
            <w:tcW w:type="dxa" w:w="25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4,675 AF</w:t>
            </w:r>
          </w:p>
        </w:tc>
        <w:tc>
          <w:tcPr>
            <w:tcW w:type="dxa" w:w="25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bCs/>
                <w:color w:val="0F7B54"/>
                <w:sz w:val="19"/>
                <w:szCs w:val="19"/>
              </w:rPr>
              <w:t xml:space="preserve">$1.75M</w:t>
            </w:r>
          </w:p>
        </w:tc>
      </w:tr>
      <w:tr>
        <w:tc>
          <w:tcPr>
            <w:tcW w:type="dxa" w:w="43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¼ inch over basin</w:t>
            </w:r>
          </w:p>
        </w:tc>
        <w:tc>
          <w:tcPr>
            <w:tcW w:type="dxa" w:w="25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100,000 AF</w:t>
            </w:r>
          </w:p>
        </w:tc>
        <w:tc>
          <w:tcPr>
            <w:tcW w:type="dxa" w:w="25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$37.5M</w:t>
            </w:r>
          </w:p>
        </w:tc>
      </w:tr>
      <w:tr>
        <w:tc>
          <w:tcPr>
            <w:tcW w:type="dxa" w:w="43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C2B22"/>
                <w:sz w:val="19"/>
                <w:szCs w:val="19"/>
              </w:rPr>
              <w:t xml:space="preserve">1 inch over basin</w:t>
            </w:r>
          </w:p>
        </w:tc>
        <w:tc>
          <w:tcPr>
            <w:tcW w:type="dxa" w:w="25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400,000 AF</w:t>
            </w:r>
          </w:p>
        </w:tc>
        <w:tc>
          <w:tcPr>
            <w:tcW w:type="dxa" w:w="25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$149.8M</w:t>
            </w:r>
          </w:p>
        </w:tc>
      </w:tr>
    </w:tbl>
    <w:p>
      <w:pPr>
        <w:spacing w:after="140" w:line="276"/>
      </w:pPr>
      <w:r>
        <w:t xml:space="preserve">The central scenario is anchored to the model's calibrated paired-run seeding effect (a +6% cool-season precipitation increment yielding +4,675 AF at the outlet). The per-inch scenarios are linear illustrations of how the value scales — useful for the brief's "what happens when an extra inch drops" framing — and should not be read as an achievable seeding result.</w:t>
      </w:r>
    </w:p>
    <w:p>
      <w:pPr>
        <w:pStyle w:val="Heading1"/>
        <w:pageBreakBefore/>
      </w:pPr>
      <w:r>
        <w:t xml:space="preserve">6. Honesty and limitations</w:t>
      </w:r>
    </w:p>
    <w:p>
      <w:pPr>
        <w:spacing w:after="140" w:line="276"/>
      </w:pPr>
      <w:r>
        <w:t xml:space="preserve">The model is built to protect credibility by being explicit about what new water </w:t>
      </w:r>
      <w:r>
        <w:rPr>
          <w:b/>
          <w:bCs/>
          <w:i/>
          <w:iCs/>
        </w:rPr>
        <w:t xml:space="preserve">cannot</w:t>
      </w:r>
      <w:r>
        <w:t xml:space="preserve"> do. The Great Salt Lake's structural water deficit is on the order of 800,000 acre-feet. At the median modeled effect, a full year of cloud seeding delivers roughly 1,140 AF to the lake — well under 1% of the shortfall. Closing the deficit through seeding alone would take centuries; the seeding pathway is two to three orders of magnitude too small to refill the lake.</w:t>
      </w:r>
    </w:p>
    <w:p>
      <w:pPr>
        <w:spacing w:after="140" w:line="276"/>
      </w:pPr>
      <w:r>
        <w:t xml:space="preserve">That is precisely why the lake-terminal dollar anchors are kept deliberately modest and the headline value is placed upstream, in agriculture, municipal supply, and wildfire resilience. The defensible economic story is "new water is valuable across many uses," not "seeding will save the lake."</w:t>
      </w:r>
    </w:p>
    <w:p>
      <w:pPr>
        <w:spacing w:after="140" w:line="276"/>
      </w:pPr>
      <w:r>
        <w:rPr>
          <w:b/>
          <w:bCs/>
        </w:rPr>
        <w:t xml:space="preserve">Other limitations to state plainly:</w:t>
      </w:r>
    </w:p>
    <w:p>
      <w:pPr>
        <w:pStyle w:val="ListParagraph"/>
        <w:numPr>
          <w:ilvl w:val="0"/>
          <w:numId w:val="2"/>
        </w:numPr>
        <w:spacing w:after="80" w:line="270"/>
      </w:pPr>
      <w:r>
        <w:t xml:space="preserve">The partition fractions are calibrated estimates for high-elevation snowmelt, not measured tracer data; they are the single largest source of uncertainty in the allocation.</w:t>
      </w:r>
    </w:p>
    <w:p>
      <w:pPr>
        <w:pStyle w:val="ListParagraph"/>
        <w:numPr>
          <w:ilvl w:val="0"/>
          <w:numId w:val="2"/>
        </w:numPr>
        <w:spacing w:after="80" w:line="270"/>
      </w:pPr>
      <w:r>
        <w:t xml:space="preserve">Dollar anchors are marginal/avoided-cost values from public literature; real marginal values vary by year, location, and water-right seniority.</w:t>
      </w:r>
    </w:p>
    <w:p>
      <w:pPr>
        <w:pStyle w:val="ListParagraph"/>
        <w:numPr>
          <w:ilvl w:val="0"/>
          <w:numId w:val="2"/>
        </w:numPr>
        <w:spacing w:after="80" w:line="270"/>
      </w:pPr>
      <w:r>
        <w:t xml:space="preserve">Values are treated as constant per acre-foot (linear). At large volumes, diminishing marginal value would apply — the per-inch figures are upper-bound illustrations.</w:t>
      </w:r>
    </w:p>
    <w:p>
      <w:pPr>
        <w:pStyle w:val="ListParagraph"/>
        <w:numPr>
          <w:ilvl w:val="0"/>
          <w:numId w:val="2"/>
        </w:numPr>
        <w:spacing w:after="80" w:line="270"/>
      </w:pPr>
      <w:r>
        <w:t xml:space="preserve">Unpriced ecosystem services (natural vegetation ET, some lake functions) are carried at $0, so the total is conservative, not inflated.</w:t>
      </w:r>
    </w:p>
    <w:p>
      <w:pPr>
        <w:pStyle w:val="ListParagraph"/>
        <w:numPr>
          <w:ilvl w:val="0"/>
          <w:numId w:val="2"/>
        </w:numPr>
        <w:spacing w:after="80" w:line="270"/>
      </w:pPr>
      <w:r>
        <w:t xml:space="preserve">To-lake volume note: </w:t>
      </w:r>
      <w:r>
        <w:t xml:space="preserve">the economic routing uses a static 27% to-lake fraction (≈1,262 AF on the central scenario), while the lumped hydrologic model's seeding-specific delivery is ≈1,140–1,169 AF. The small difference reflects routing vs. seeding-specific delivery and does not materially change the totals.</w:t>
      </w:r>
    </w:p>
    <w:p>
      <w:pPr>
        <w:pStyle w:val="Heading1"/>
      </w:pPr>
      <w:r>
        <w:t xml:space="preserve">7. How to reproduce and adjust</w:t>
      </w:r>
    </w:p>
    <w:p>
      <w:pPr>
        <w:spacing w:after="140" w:line="276"/>
      </w:pPr>
      <w:r>
        <w:t xml:space="preserve">The method is implemented as a small, transparent pipeline so any stakeholder can audit or re-anchor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Component</w:t>
            </w:r>
          </w:p>
        </w:tc>
        <w:tc>
          <w:tcPr>
            <w:tcW w:type="dxa" w:w="6160"/>
            <w:tcBorders>
              <w:top w:val="single" w:color="CCD6CE" w:sz="1"/>
              <w:left w:val="single" w:color="CCD6CE" w:sz="1"/>
              <w:bottom w:val="single" w:color="CCD6CE" w:sz="1"/>
              <w:right w:val="single" w:color="CCD6CE" w:sz="1"/>
            </w:tcBorders>
            <w:shd w:fill="0F7B54"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Role</w:t>
            </w:r>
          </w:p>
        </w:tc>
      </w:tr>
      <w:tr>
        <w:tc>
          <w:tcPr>
            <w:tcW w:type="dxa" w:w="32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F6F8B"/>
                <w:sz w:val="19"/>
                <w:szCs w:val="19"/>
              </w:rPr>
              <w:t xml:space="preserve">economics_config.json</w:t>
            </w:r>
          </w:p>
        </w:tc>
        <w:tc>
          <w:tcPr>
            <w:tcW w:type="dxa" w:w="61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The editable node graph: every fraction, $/AF anchor, and source. Change a number here to re-anchor the whole model.</w:t>
            </w:r>
          </w:p>
        </w:tc>
      </w:tr>
      <w:tr>
        <w:tc>
          <w:tcPr>
            <w:tcW w:type="dxa" w:w="32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F6F8B"/>
                <w:sz w:val="19"/>
                <w:szCs w:val="19"/>
              </w:rPr>
              <w:t xml:space="preserve">economics.py</w:t>
            </w:r>
          </w:p>
        </w:tc>
        <w:tc>
          <w:tcPr>
            <w:tcW w:type="dxa" w:w="61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The routing engine: validates fractions sum to 1.0, computes the per-AF decomposition, sums by class and beneficiary.</w:t>
            </w:r>
          </w:p>
        </w:tc>
      </w:tr>
      <w:tr>
        <w:tc>
          <w:tcPr>
            <w:tcW w:type="dxa" w:w="320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F6F8B"/>
                <w:sz w:val="19"/>
                <w:szCs w:val="19"/>
              </w:rPr>
              <w:t xml:space="preserve">run_pilot.py</w:t>
            </w:r>
          </w:p>
        </w:tc>
        <w:tc>
          <w:tcPr>
            <w:tcW w:type="dxa" w:w="6160"/>
            <w:tcBorders>
              <w:top w:val="single" w:color="CCD6CE" w:sz="1"/>
              <w:left w:val="single" w:color="CCD6CE" w:sz="1"/>
              <w:bottom w:val="single" w:color="CCD6CE" w:sz="1"/>
              <w:right w:val="single" w:color="CCD6CE"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Runs the hydrologic model + economics together; writes economic_outputs.json.</w:t>
            </w:r>
          </w:p>
        </w:tc>
      </w:tr>
      <w:tr>
        <w:tc>
          <w:tcPr>
            <w:tcW w:type="dxa" w:w="320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left"/>
            </w:pPr>
            <w:r>
              <w:rPr>
                <w:rFonts w:ascii="Arial" w:cs="Arial" w:eastAsia="Arial" w:hAnsi="Arial"/>
                <w:b w:val="false"/>
                <w:bCs w:val="false"/>
                <w:color w:val="1F6F8B"/>
                <w:sz w:val="19"/>
                <w:szCs w:val="19"/>
              </w:rPr>
              <w:t xml:space="preserve">EconomicExplorer (UI)</w:t>
            </w:r>
          </w:p>
        </w:tc>
        <w:tc>
          <w:tcPr>
            <w:tcW w:type="dxa" w:w="6160"/>
            <w:tcBorders>
              <w:top w:val="single" w:color="CCD6CE" w:sz="1"/>
              <w:left w:val="single" w:color="CCD6CE" w:sz="1"/>
              <w:bottom w:val="single" w:color="CCD6CE" w:sz="1"/>
              <w:right w:val="single" w:color="CCD6CE" w:sz="1"/>
            </w:tcBorders>
            <w:shd w:fill="F2F6F3" w:val="clear"/>
            <w:tcMar>
              <w:top w:type="dxa" w:w="60"/>
              <w:left w:type="dxa" w:w="110"/>
              <w:bottom w:type="dxa" w:w="60"/>
              <w:right w:type="dxa" w:w="110"/>
            </w:tcMar>
          </w:tcPr>
          <w:p>
            <w:pPr>
              <w:jc w:val="center"/>
            </w:pPr>
            <w:r>
              <w:rPr>
                <w:rFonts w:ascii="Consolas" w:cs="Consolas" w:eastAsia="Consolas" w:hAnsi="Consolas"/>
                <w:b w:val="false"/>
                <w:bCs w:val="false"/>
                <w:color w:val="1C2B22"/>
                <w:sz w:val="19"/>
                <w:szCs w:val="19"/>
              </w:rPr>
              <w:t xml:space="preserve">Interactive "follow the water" view: a slider sets water generated and all values rescale instantly.</w:t>
            </w:r>
          </w:p>
        </w:tc>
      </w:tr>
    </w:tbl>
    <w:p>
      <w:pPr>
        <w:spacing w:before="120"/>
      </w:pPr>
      <w:r>
        <w:t xml:space="preserve">To swap in Utah DNR's preferred dollar values, edit only the value_per_af fields in economics_config.json and re-run; every downstream figure and the interactive view update automatically.</w:t>
      </w:r>
    </w:p>
    <w:p>
      <w:pPr>
        <w:pStyle w:val="Heading1"/>
      </w:pPr>
      <w:r>
        <w:t xml:space="preserve">Sources</w:t>
      </w:r>
    </w:p>
    <w:p>
      <w:pPr>
        <w:spacing w:after="140" w:line="276"/>
      </w:pPr>
      <w:r>
        <w:rPr>
          <w:color w:val="5E7064"/>
          <w:sz w:val="19"/>
          <w:szCs w:val="19"/>
        </w:rPr>
        <w:t xml:space="preserve">Dollar anchors are drawn from public sources, including: Utah State University Great Salt Lake basin agricultural water-conservation cost studies ($688–806/AF); Bear River Canal Company service-area figures (~230,000 AF/yr, 150,000+ acres); Hunter &amp; Taylor wildfire fuel-treatment break-even analysis; the Bear River Migratory Bird Refuge; Owens Lake dust-mitigation cost analogs; and Great Salt Lake industry valuations (minerals ~$1.13B, brine shrimp ~$67M, ski ~$1.2B, aggregate ~$2.5B/yr). All figures are illustrative marginal/avoided-cost anchors and are fully editable in economics_config.json.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7064"/>
        <w:sz w:val="16"/>
        <w:szCs w:val="16"/>
      </w:rPr>
      <w:t xml:space="preserve">GSL-SWY+ Economic Layer v1  ·  Bear River pilot  ·  </w:t>
    </w:r>
    <w:r>
      <w:rPr>
        <w:color w:val="5E7064"/>
        <w:sz w:val="16"/>
        <w:szCs w:val="16"/>
      </w:rPr>
      <w:t xml:space="preserve">Page </w:t>
    </w:r>
    <w:r>
      <w:rPr>
        <w:color w:val="5E70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F7B5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C2B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Valuing New Water in the Bear River Basin</dc:title>
  <dc:creator>GSL-SWY+ Economic Layer</dc:creator>
  <cp:lastModifiedBy>Un-named</cp:lastModifiedBy>
  <cp:revision>1</cp:revision>
  <dcterms:created xsi:type="dcterms:W3CDTF">2026-06-21T16:40:10.653Z</dcterms:created>
  <dcterms:modified xsi:type="dcterms:W3CDTF">2026-06-21T16:40:10.653Z</dcterms:modified>
</cp:coreProperties>
</file>

<file path=docProps/custom.xml><?xml version="1.0" encoding="utf-8"?>
<Properties xmlns="http://schemas.openxmlformats.org/officeDocument/2006/custom-properties" xmlns:vt="http://schemas.openxmlformats.org/officeDocument/2006/docPropsVTypes"/>
</file>