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67B1" w:rsidRDefault="004A67B1" w:rsidP="00365019">
      <w:pPr>
        <w:autoSpaceDE w:val="0"/>
        <w:autoSpaceDN w:val="0"/>
        <w:adjustRightInd w:val="0"/>
        <w:spacing w:after="0" w:line="240" w:lineRule="auto"/>
        <w:rPr>
          <w:rFonts w:ascii="Times New Roman" w:hAnsi="Times New Roman" w:cs="Times New Roman"/>
          <w:color w:val="000000"/>
          <w:sz w:val="24"/>
          <w:szCs w:val="24"/>
        </w:rPr>
      </w:pPr>
    </w:p>
    <w:p w:rsidR="004A67B1" w:rsidRDefault="004A67B1" w:rsidP="00365019">
      <w:pPr>
        <w:autoSpaceDE w:val="0"/>
        <w:autoSpaceDN w:val="0"/>
        <w:adjustRightInd w:val="0"/>
        <w:spacing w:after="0" w:line="240" w:lineRule="auto"/>
        <w:rPr>
          <w:rFonts w:ascii="Times New Roman" w:hAnsi="Times New Roman" w:cs="Times New Roman"/>
          <w:color w:val="000000"/>
          <w:sz w:val="24"/>
          <w:szCs w:val="24"/>
        </w:rPr>
      </w:pPr>
    </w:p>
    <w:p w:rsidR="00365019" w:rsidRDefault="00365019" w:rsidP="00365019">
      <w:pPr>
        <w:autoSpaceDE w:val="0"/>
        <w:autoSpaceDN w:val="0"/>
        <w:adjustRightInd w:val="0"/>
        <w:spacing w:after="0" w:line="240" w:lineRule="auto"/>
        <w:rPr>
          <w:rFonts w:ascii="Times New Roman" w:hAnsi="Times New Roman" w:cs="Times New Roman"/>
          <w:sz w:val="24"/>
          <w:szCs w:val="24"/>
        </w:rPr>
      </w:pPr>
      <w:r w:rsidRPr="00E04F5D">
        <w:rPr>
          <w:rFonts w:ascii="Times New Roman" w:hAnsi="Times New Roman" w:cs="Times New Roman"/>
          <w:color w:val="000000"/>
          <w:sz w:val="24"/>
          <w:szCs w:val="24"/>
        </w:rPr>
        <w:t xml:space="preserve">We conducted a study in two known coldwater alcoves used by cutthroat trout during peak summer conditions – Blue Ruin and Norwood – to determine how cutthroat trout navigate the potential tradeoffs between dissolved oxygen and </w:t>
      </w:r>
      <w:r w:rsidRPr="00E04F5D">
        <w:rPr>
          <w:rFonts w:ascii="Times New Roman" w:hAnsi="Times New Roman" w:cs="Times New Roman"/>
          <w:sz w:val="24"/>
          <w:szCs w:val="24"/>
        </w:rPr>
        <w:t xml:space="preserve">temperature in pursuit of optimal physiochemical conditions. To determine fish vertical and lateral use of alcoves, we coupled the use of externally attached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(which record temperatures and thereby must be recovered to download data), and temperature sensing radio tags (which transmit temperature signals, but do not log data) to track both fine scale vertical movement, as well as lateral movement (i.e. along the length of the alcove) within these habitats. Internal radio tags or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estimate body temperature, which will reflect the temporal integration of habitat use (</w:t>
      </w:r>
      <w:proofErr w:type="spellStart"/>
      <w:r w:rsidRPr="00E04F5D">
        <w:rPr>
          <w:rFonts w:ascii="Times New Roman" w:hAnsi="Times New Roman" w:cs="Times New Roman"/>
          <w:sz w:val="24"/>
          <w:szCs w:val="24"/>
        </w:rPr>
        <w:t>Pepino</w:t>
      </w:r>
      <w:proofErr w:type="spellEnd"/>
      <w:r w:rsidRPr="00E04F5D">
        <w:rPr>
          <w:rFonts w:ascii="Times New Roman" w:hAnsi="Times New Roman" w:cs="Times New Roman"/>
          <w:sz w:val="24"/>
          <w:szCs w:val="24"/>
        </w:rPr>
        <w:t xml:space="preserve"> et al. 2015). For this study we used external tags so we could get point measurements in time with the</w:t>
      </w:r>
      <w:r>
        <w:rPr>
          <w:rFonts w:ascii="Times New Roman" w:hAnsi="Times New Roman" w:cs="Times New Roman"/>
          <w:sz w:val="24"/>
          <w:szCs w:val="24"/>
        </w:rPr>
        <w:t xml:space="preserve"> </w:t>
      </w:r>
      <w:r w:rsidRPr="00E04F5D">
        <w:rPr>
          <w:rFonts w:ascii="Times New Roman" w:hAnsi="Times New Roman" w:cs="Times New Roman"/>
          <w:sz w:val="24"/>
          <w:szCs w:val="24"/>
        </w:rPr>
        <w:t>fish’s thermal environment, which would tell us if fish were holding in a thermal layer or moving across them to spatially integrate thermal heterogeneity.</w:t>
      </w:r>
    </w:p>
    <w:p w:rsidR="00365019" w:rsidRPr="00E04F5D" w:rsidRDefault="00365019" w:rsidP="00365019">
      <w:pPr>
        <w:autoSpaceDE w:val="0"/>
        <w:autoSpaceDN w:val="0"/>
        <w:adjustRightInd w:val="0"/>
        <w:spacing w:after="0" w:line="240" w:lineRule="auto"/>
        <w:rPr>
          <w:rFonts w:ascii="Times New Roman" w:hAnsi="Times New Roman" w:cs="Times New Roman"/>
          <w:color w:val="000000"/>
          <w:sz w:val="24"/>
          <w:szCs w:val="24"/>
        </w:rPr>
      </w:pPr>
    </w:p>
    <w:p w:rsidR="00326996" w:rsidRDefault="00365019">
      <w:pPr>
        <w:rPr>
          <w:rFonts w:ascii="Times New Roman" w:hAnsi="Times New Roman" w:cs="Times New Roman"/>
          <w:sz w:val="24"/>
          <w:szCs w:val="24"/>
        </w:rPr>
      </w:pPr>
      <w:r w:rsidRPr="00365019">
        <w:rPr>
          <w:rFonts w:ascii="Times New Roman" w:hAnsi="Times New Roman" w:cs="Times New Roman"/>
          <w:sz w:val="24"/>
          <w:szCs w:val="24"/>
        </w:rPr>
        <w:t>Previously we piloted techniques including stereoscopic video and high resolution</w:t>
      </w:r>
      <w:r w:rsidR="00A72ACA">
        <w:rPr>
          <w:rFonts w:ascii="Times New Roman" w:hAnsi="Times New Roman" w:cs="Times New Roman"/>
          <w:sz w:val="24"/>
          <w:szCs w:val="24"/>
        </w:rPr>
        <w:t xml:space="preserve"> sonar</w:t>
      </w:r>
      <w:r w:rsidRPr="00365019">
        <w:rPr>
          <w:rFonts w:ascii="Times New Roman" w:hAnsi="Times New Roman" w:cs="Times New Roman"/>
          <w:sz w:val="24"/>
          <w:szCs w:val="24"/>
        </w:rPr>
        <w:t xml:space="preserve"> in attempts to accurately characterize fish responses to vertically shifting temperature-oxygen gradients, however these approaches </w:t>
      </w:r>
      <w:r w:rsidR="00A72ACA">
        <w:rPr>
          <w:rFonts w:ascii="Times New Roman" w:hAnsi="Times New Roman" w:cs="Times New Roman"/>
          <w:sz w:val="24"/>
          <w:szCs w:val="24"/>
        </w:rPr>
        <w:t>were unsuccessful.</w:t>
      </w:r>
      <w:r w:rsidRPr="00365019">
        <w:rPr>
          <w:rFonts w:ascii="Times New Roman" w:hAnsi="Times New Roman" w:cs="Times New Roman"/>
          <w:sz w:val="24"/>
          <w:szCs w:val="24"/>
        </w:rPr>
        <w:t xml:space="preserve"> We also considered using depth sensing radio tags, however these lack sufficient resolution. Instead, for this study we used external temperature loggers coupled with temperature/oxygen readings from logger arrays to determine habitat selection. Inferring fish depth and dissolved oxygen from temperature required that we know the vertical temperature-oxygen profile at the fish’s location, which meant it could not be free ranging in a heterogeneous alcove. The solution was to constrain fish to an area with a known profile using cylindrical enclosures. We complimented this with information on free ranging fish (using temperature sensing radio tags), with additional temperature-oxygen logger arrays spaced throughout the alcove, to more coarsely evaluate habitat selection in response to </w:t>
      </w:r>
      <w:r>
        <w:rPr>
          <w:rFonts w:ascii="Times New Roman" w:hAnsi="Times New Roman" w:cs="Times New Roman"/>
          <w:sz w:val="24"/>
          <w:szCs w:val="24"/>
        </w:rPr>
        <w:t>varying conditions.</w:t>
      </w:r>
    </w:p>
    <w:p w:rsidR="004A67B1" w:rsidRDefault="004A67B1">
      <w:pPr>
        <w:rPr>
          <w:rFonts w:ascii="Times New Roman" w:hAnsi="Times New Roman" w:cs="Times New Roman"/>
          <w:sz w:val="24"/>
          <w:szCs w:val="24"/>
        </w:rPr>
      </w:pPr>
    </w:p>
    <w:p w:rsidR="004A67B1" w:rsidRDefault="004A67B1">
      <w:pPr>
        <w:rPr>
          <w:rFonts w:ascii="Times New Roman" w:hAnsi="Times New Roman" w:cs="Times New Roman"/>
          <w:sz w:val="24"/>
          <w:szCs w:val="24"/>
        </w:rPr>
      </w:pPr>
      <w:proofErr w:type="spellStart"/>
      <w:r>
        <w:rPr>
          <w:rFonts w:ascii="Times New Roman" w:hAnsi="Times New Roman" w:cs="Times New Roman"/>
          <w:sz w:val="24"/>
          <w:szCs w:val="24"/>
        </w:rPr>
        <w:t>Bioenergetic</w:t>
      </w:r>
      <w:proofErr w:type="spellEnd"/>
      <w:r>
        <w:rPr>
          <w:rFonts w:ascii="Times New Roman" w:hAnsi="Times New Roman" w:cs="Times New Roman"/>
          <w:sz w:val="24"/>
          <w:szCs w:val="24"/>
        </w:rPr>
        <w:t xml:space="preserve"> hypothesis of diel vertical migration, prolonged food deprivation (depressed foraging conditions) causing energy-conserving behavior – distribution to lower temperatures with reduced foraging success (</w:t>
      </w:r>
      <w:proofErr w:type="spellStart"/>
      <w:r>
        <w:rPr>
          <w:rFonts w:ascii="Times New Roman" w:hAnsi="Times New Roman" w:cs="Times New Roman"/>
          <w:sz w:val="24"/>
          <w:szCs w:val="24"/>
        </w:rPr>
        <w:t>Sogard</w:t>
      </w:r>
      <w:proofErr w:type="spellEnd"/>
      <w:r>
        <w:rPr>
          <w:rFonts w:ascii="Times New Roman" w:hAnsi="Times New Roman" w:cs="Times New Roman"/>
          <w:sz w:val="24"/>
          <w:szCs w:val="24"/>
        </w:rPr>
        <w:t xml:space="preserve"> and Olla 1996), </w:t>
      </w:r>
      <w:proofErr w:type="gramStart"/>
      <w:r>
        <w:rPr>
          <w:rFonts w:ascii="Times New Roman" w:hAnsi="Times New Roman" w:cs="Times New Roman"/>
          <w:sz w:val="24"/>
          <w:szCs w:val="24"/>
        </w:rPr>
        <w:t>With</w:t>
      </w:r>
      <w:proofErr w:type="gramEnd"/>
      <w:r>
        <w:rPr>
          <w:rFonts w:ascii="Times New Roman" w:hAnsi="Times New Roman" w:cs="Times New Roman"/>
          <w:sz w:val="24"/>
          <w:szCs w:val="24"/>
        </w:rPr>
        <w:t xml:space="preserve"> sharp thermocline fish avoided coldest water severity of temperature change may limit physiological capacity, gradual thermocline allows moderate lowering of body temperature. As acclimation to lower temperatures, may gradually shift to colder water (some fish </w:t>
      </w:r>
      <w:proofErr w:type="spellStart"/>
      <w:r>
        <w:rPr>
          <w:rFonts w:ascii="Times New Roman" w:hAnsi="Times New Roman" w:cs="Times New Roman"/>
          <w:sz w:val="24"/>
          <w:szCs w:val="24"/>
        </w:rPr>
        <w:t>dvm</w:t>
      </w:r>
      <w:proofErr w:type="spellEnd"/>
      <w:r>
        <w:rPr>
          <w:rFonts w:ascii="Times New Roman" w:hAnsi="Times New Roman" w:cs="Times New Roman"/>
          <w:sz w:val="24"/>
          <w:szCs w:val="24"/>
        </w:rPr>
        <w:t xml:space="preserve"> stays deeper with time).  </w:t>
      </w:r>
    </w:p>
    <w:p w:rsidR="00894D97" w:rsidRDefault="00894D97">
      <w:r>
        <w:rPr>
          <w:rFonts w:ascii="Times New Roman" w:hAnsi="Times New Roman" w:cs="Times New Roman"/>
          <w:sz w:val="24"/>
          <w:szCs w:val="24"/>
        </w:rPr>
        <w:t>Evidence of vertical habitat compression.</w:t>
      </w:r>
      <w:bookmarkStart w:id="0" w:name="_GoBack"/>
      <w:bookmarkEnd w:id="0"/>
    </w:p>
    <w:sectPr w:rsidR="00894D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5019"/>
    <w:rsid w:val="00326996"/>
    <w:rsid w:val="00365019"/>
    <w:rsid w:val="004A67B1"/>
    <w:rsid w:val="00894D97"/>
    <w:rsid w:val="00A72ACA"/>
    <w:rsid w:val="00AB2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D6FBD"/>
  <w15:chartTrackingRefBased/>
  <w15:docId w15:val="{0BE0D7BB-8963-4230-B687-1F44D4F08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50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404</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cp:revision>
  <dcterms:created xsi:type="dcterms:W3CDTF">2023-05-02T19:55:00Z</dcterms:created>
  <dcterms:modified xsi:type="dcterms:W3CDTF">2023-08-08T20:21:00Z</dcterms:modified>
</cp:coreProperties>
</file>