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65019" w:rsidRDefault="00365019" w:rsidP="00365019">
      <w:pPr>
        <w:autoSpaceDE w:val="0"/>
        <w:autoSpaceDN w:val="0"/>
        <w:adjustRightInd w:val="0"/>
        <w:spacing w:after="0" w:line="240" w:lineRule="auto"/>
        <w:rPr>
          <w:rFonts w:ascii="Times New Roman" w:hAnsi="Times New Roman" w:cs="Times New Roman"/>
          <w:sz w:val="24"/>
          <w:szCs w:val="24"/>
        </w:rPr>
      </w:pPr>
      <w:r w:rsidRPr="00E04F5D">
        <w:rPr>
          <w:rFonts w:ascii="Times New Roman" w:hAnsi="Times New Roman" w:cs="Times New Roman"/>
          <w:color w:val="000000"/>
          <w:sz w:val="24"/>
          <w:szCs w:val="24"/>
        </w:rPr>
        <w:t xml:space="preserve">We conducted a study in two known </w:t>
      </w:r>
      <w:proofErr w:type="spellStart"/>
      <w:r w:rsidRPr="00E04F5D">
        <w:rPr>
          <w:rFonts w:ascii="Times New Roman" w:hAnsi="Times New Roman" w:cs="Times New Roman"/>
          <w:color w:val="000000"/>
          <w:sz w:val="24"/>
          <w:szCs w:val="24"/>
        </w:rPr>
        <w:t>coldwater</w:t>
      </w:r>
      <w:proofErr w:type="spellEnd"/>
      <w:r w:rsidRPr="00E04F5D">
        <w:rPr>
          <w:rFonts w:ascii="Times New Roman" w:hAnsi="Times New Roman" w:cs="Times New Roman"/>
          <w:color w:val="000000"/>
          <w:sz w:val="24"/>
          <w:szCs w:val="24"/>
        </w:rPr>
        <w:t xml:space="preserve"> alcoves used by cutthroat trout during peak summer conditions – Blue Ruin and Norwood – to determine how cutthroat trout navigate the potential tradeoffs between dissolved oxygen and </w:t>
      </w:r>
      <w:r w:rsidRPr="00E04F5D">
        <w:rPr>
          <w:rFonts w:ascii="Times New Roman" w:hAnsi="Times New Roman" w:cs="Times New Roman"/>
          <w:sz w:val="24"/>
          <w:szCs w:val="24"/>
        </w:rPr>
        <w:t xml:space="preserve">temperature in pursuit of optimal physiochemical conditions. To determine fish vertical and lateral use of alcoves, we coupled the use of externally attached </w:t>
      </w:r>
      <w:proofErr w:type="spellStart"/>
      <w:r w:rsidRPr="00E04F5D">
        <w:rPr>
          <w:rFonts w:ascii="Times New Roman" w:hAnsi="Times New Roman" w:cs="Times New Roman"/>
          <w:sz w:val="24"/>
          <w:szCs w:val="24"/>
        </w:rPr>
        <w:t>iButtons</w:t>
      </w:r>
      <w:proofErr w:type="spellEnd"/>
      <w:r w:rsidRPr="00E04F5D">
        <w:rPr>
          <w:rFonts w:ascii="Times New Roman" w:hAnsi="Times New Roman" w:cs="Times New Roman"/>
          <w:sz w:val="24"/>
          <w:szCs w:val="24"/>
        </w:rPr>
        <w:t xml:space="preserve"> (which record temperatures and thereby must be recovered to download data), and temperature sensing radio tags (which transmit temperature signals, but do not log data) to track both fine scale vertical movement, as well as lateral movement (i.e. along the length of the alcove) within these habitats. Internal radio tags or </w:t>
      </w:r>
      <w:proofErr w:type="spellStart"/>
      <w:r w:rsidRPr="00E04F5D">
        <w:rPr>
          <w:rFonts w:ascii="Times New Roman" w:hAnsi="Times New Roman" w:cs="Times New Roman"/>
          <w:sz w:val="24"/>
          <w:szCs w:val="24"/>
        </w:rPr>
        <w:t>iButtons</w:t>
      </w:r>
      <w:proofErr w:type="spellEnd"/>
      <w:r w:rsidRPr="00E04F5D">
        <w:rPr>
          <w:rFonts w:ascii="Times New Roman" w:hAnsi="Times New Roman" w:cs="Times New Roman"/>
          <w:sz w:val="24"/>
          <w:szCs w:val="24"/>
        </w:rPr>
        <w:t xml:space="preserve"> estimate body temperature, which will reflect the temporal integration of habitat use (</w:t>
      </w:r>
      <w:proofErr w:type="spellStart"/>
      <w:r w:rsidRPr="00E04F5D">
        <w:rPr>
          <w:rFonts w:ascii="Times New Roman" w:hAnsi="Times New Roman" w:cs="Times New Roman"/>
          <w:sz w:val="24"/>
          <w:szCs w:val="24"/>
        </w:rPr>
        <w:t>Pepino</w:t>
      </w:r>
      <w:proofErr w:type="spellEnd"/>
      <w:r w:rsidRPr="00E04F5D">
        <w:rPr>
          <w:rFonts w:ascii="Times New Roman" w:hAnsi="Times New Roman" w:cs="Times New Roman"/>
          <w:sz w:val="24"/>
          <w:szCs w:val="24"/>
        </w:rPr>
        <w:t xml:space="preserve"> et al. 2015). For this study we used external tags so we could get point measurements in time with the</w:t>
      </w:r>
      <w:r>
        <w:rPr>
          <w:rFonts w:ascii="Times New Roman" w:hAnsi="Times New Roman" w:cs="Times New Roman"/>
          <w:sz w:val="24"/>
          <w:szCs w:val="24"/>
        </w:rPr>
        <w:t xml:space="preserve"> </w:t>
      </w:r>
      <w:r w:rsidRPr="00E04F5D">
        <w:rPr>
          <w:rFonts w:ascii="Times New Roman" w:hAnsi="Times New Roman" w:cs="Times New Roman"/>
          <w:sz w:val="24"/>
          <w:szCs w:val="24"/>
        </w:rPr>
        <w:t>fish’s thermal environment, which would tell us if fish were holding in a thermal layer or moving across them to spatially integrate thermal heterogeneity.</w:t>
      </w:r>
    </w:p>
    <w:p w:rsidR="00365019" w:rsidRPr="00E04F5D" w:rsidRDefault="00365019" w:rsidP="00365019">
      <w:pPr>
        <w:autoSpaceDE w:val="0"/>
        <w:autoSpaceDN w:val="0"/>
        <w:adjustRightInd w:val="0"/>
        <w:spacing w:after="0" w:line="240" w:lineRule="auto"/>
        <w:rPr>
          <w:rFonts w:ascii="Times New Roman" w:hAnsi="Times New Roman" w:cs="Times New Roman"/>
          <w:color w:val="000000"/>
          <w:sz w:val="24"/>
          <w:szCs w:val="24"/>
        </w:rPr>
      </w:pPr>
      <w:bookmarkStart w:id="0" w:name="_GoBack"/>
      <w:bookmarkEnd w:id="0"/>
    </w:p>
    <w:p w:rsidR="00326996" w:rsidRDefault="00365019">
      <w:r w:rsidRPr="00365019">
        <w:rPr>
          <w:rFonts w:ascii="Times New Roman" w:hAnsi="Times New Roman" w:cs="Times New Roman"/>
          <w:sz w:val="24"/>
          <w:szCs w:val="24"/>
        </w:rPr>
        <w:t xml:space="preserve">Previously we piloted techniques including stereoscopic video and high resolution SONAR to in attempts to accurately characterize fish responses to vertically shifting temperature-oxygen gradients, however these approaches did not work (primarily due to variable water quality, and view path obstruction). We also considered using depth sensing radio tags, however these lack sufficient resolution. Instead, for this study we used external temperature loggers coupled with temperature/oxygen readings from logger arrays to determine habitat selection. Inferring fish depth and dissolved oxygen from temperature required that we know the vertical temperature-oxygen profile at the fish’s location, which meant it could not be free ranging in a heterogeneous alcove. The solution was to constrain fish to an area with a known profile using cylindrical enclosures. We complimented this with information on free ranging fish (using temperature sensing radio tags), with additional temperature-oxygen logger arrays spaced throughout the alcove, to more coarsely evaluate habitat selection in response to </w:t>
      </w:r>
      <w:r>
        <w:rPr>
          <w:rFonts w:ascii="Times New Roman" w:hAnsi="Times New Roman" w:cs="Times New Roman"/>
          <w:sz w:val="24"/>
          <w:szCs w:val="24"/>
        </w:rPr>
        <w:t>varying conditions.</w:t>
      </w:r>
    </w:p>
    <w:sectPr w:rsidR="003269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altName w:val="Calibri"/>
    <w:panose1 w:val="020F0502020204030204"/>
    <w:charset w:val="00"/>
    <w:family w:val="swiss"/>
    <w:pitch w:val="variable"/>
    <w:sig w:usb0="E4002EFF" w:usb1="C000247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5019"/>
    <w:rsid w:val="00326996"/>
    <w:rsid w:val="003650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40802"/>
  <w15:chartTrackingRefBased/>
  <w15:docId w15:val="{0BE0D7BB-8963-4230-B687-1F44D4F08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650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328</Words>
  <Characters>1873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1</cp:revision>
  <dcterms:created xsi:type="dcterms:W3CDTF">2023-05-02T19:55:00Z</dcterms:created>
  <dcterms:modified xsi:type="dcterms:W3CDTF">2023-05-02T20:08:00Z</dcterms:modified>
</cp:coreProperties>
</file>