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8B1A1A"/>
          <w:spacing w:val="30"/>
          <w:sz w:val="20"/>
          <w:szCs w:val="20"/>
        </w:rPr>
        <w:t xml:space="preserve">GRANT OVERVIEW AND PROPOSAL</w:t>
      </w:r>
    </w:p>
    <w:p>
      <w:pPr>
        <w:spacing w:after="60"/>
        <w:jc w:val="center"/>
      </w:pPr>
      <w:r>
        <w:rPr>
          <w:rFonts w:ascii="Calibri" w:cs="Calibri" w:eastAsia="Calibri" w:hAnsi="Calibri"/>
          <w:b/>
          <w:bCs/>
          <w:color w:val="1A1A1A"/>
          <w:sz w:val="36"/>
          <w:szCs w:val="36"/>
        </w:rPr>
        <w:t xml:space="preserve">Electricity-Dependent Disability and Climate Hazard Convergence</w:t>
      </w:r>
    </w:p>
    <w:p>
      <w:pPr>
        <w:spacing w:after="220"/>
        <w:jc w:val="center"/>
      </w:pPr>
      <w:r>
        <w:rPr>
          <w:rFonts w:ascii="Calibri" w:cs="Calibri" w:eastAsia="Calibri" w:hAnsi="Calibri"/>
          <w:i/>
          <w:iCs/>
          <w:color w:val="444444"/>
          <w:sz w:val="24"/>
          <w:szCs w:val="24"/>
        </w:rPr>
        <w:t xml:space="preserve">A County-Level Risk Analysis to Inform Rehabilitation Preparedness Policy</w:t>
      </w:r>
    </w:p>
    <w:p>
      <w:pPr>
        <w:spacing w:after="400"/>
        <w:jc w:val="center"/>
      </w:pPr>
      <w:r>
        <w:rPr>
          <w:rFonts w:ascii="Calibri" w:cs="Calibri" w:eastAsia="Calibri" w:hAnsi="Calibri"/>
          <w:color w:val="555555"/>
          <w:sz w:val="20"/>
          <w:szCs w:val="20"/>
        </w:rPr>
        <w:t xml:space="preserve">Alexander Lab  •  Marcus Neuroscience Institute  •  Baptist Health South Florida</w:t>
      </w:r>
    </w:p>
    <w:p>
      <w:pPr>
        <w:pStyle w:val="Heading1"/>
        <w:spacing w:after="160" w:before="300"/>
      </w:pPr>
      <w:r>
        <w:rPr>
          <w:rFonts w:ascii="Calibri" w:cs="Calibri" w:eastAsia="Calibri" w:hAnsi="Calibri"/>
          <w:b/>
          <w:bCs/>
          <w:color w:val="8B1A1A"/>
          <w:sz w:val="32"/>
          <w:szCs w:val="32"/>
        </w:rPr>
        <w:t xml:space="preserve">Executive Summary</w:t>
      </w:r>
    </w:p>
    <w:p>
      <w:pPr>
        <w:spacing w:after="120" w:line="300"/>
        <w:jc w:val="both"/>
      </w:pPr>
      <w:r>
        <w:rPr>
          <w:rFonts w:ascii="Calibri" w:cs="Calibri" w:eastAsia="Calibri" w:hAnsi="Calibri"/>
          <w:sz w:val="22"/>
          <w:szCs w:val="22"/>
        </w:rPr>
        <w:t xml:space="preserve">Climate change is increasing the frequency, intensity, and geographic reach of extreme heat, cold, flooding, and storms. For most of the US population, a resulting power outage is an inconvenience. For Medicare beneficiaries who depend on electricity for survival — ventilators, home oxygen, powered mobility devices, in-home dialysis, infusion pumps, refrigerated medications — the same outage is a life-safety event. This population is not only dependent on continuous current at the device level; individuals with high-level spinal cord injury (above T6) and related neurological disabilities also lose the autonomic capacity to thermoregulate, making climate-disaster-driven loss of heating, cooling, and climate-controlled housing independently life-threatening.</w:t>
      </w:r>
    </w:p>
    <w:p>
      <w:pPr>
        <w:spacing w:after="120" w:line="300"/>
        <w:jc w:val="both"/>
      </w:pPr>
      <w:r>
        <w:rPr>
          <w:rFonts w:ascii="Calibri" w:cs="Calibri" w:eastAsia="Calibri" w:hAnsi="Calibri"/>
          <w:sz w:val="22"/>
          <w:szCs w:val="22"/>
        </w:rPr>
        <w:t xml:space="preserve">This project links two federal data sources at the US county level — the Centers for Medicare &amp; Medicaid Services (CMS) Medicare Monthly Enrollment / Geographic Variation files and the FEMA National Risk Index (NRI) v1.20 — to identify the counties in which electrically-dependent, disabled Medicare beneficiaries are most concentrated relative to the climate hazards most likely to disrupt their care. It does so using six county-level Medicare utilization covariates, each of which tracks an aspect of the population’s dependence on a functioning electrical grid and on continuous access to in-home or near-home medical services.</w:t>
      </w:r>
    </w:p>
    <w:p>
      <w:pPr>
        <w:spacing w:after="120" w:line="300"/>
        <w:jc w:val="both"/>
      </w:pPr>
      <w:r>
        <w:rPr>
          <w:rFonts w:ascii="Calibri" w:cs="Calibri" w:eastAsia="Calibri" w:hAnsi="Calibri"/>
          <w:sz w:val="22"/>
          <w:szCs w:val="22"/>
        </w:rPr>
        <w:t xml:space="preserve">The analysis is intentionally narrow: six covariates, one composite climate-hazard score, one convergence index, 3,131 counties. The deliverable is a county-level vulnerability map and a short list of highest-risk counties that can be used to direct preparedness funding, tele-rehabilitation infrastructure, and grid-hardening prioritization toward the jurisdictions where loss of power is most likely to become loss of life.</w:t>
      </w:r>
    </w:p>
    <w:p>
      <w:pPr>
        <w:pStyle w:val="Heading1"/>
        <w:spacing w:after="160" w:before="300"/>
      </w:pPr>
      <w:r>
        <w:rPr>
          <w:rFonts w:ascii="Calibri" w:cs="Calibri" w:eastAsia="Calibri" w:hAnsi="Calibri"/>
          <w:b/>
          <w:bCs/>
          <w:color w:val="8B1A1A"/>
          <w:sz w:val="32"/>
          <w:szCs w:val="32"/>
        </w:rPr>
        <w:t xml:space="preserve">Specific Aims</w:t>
      </w:r>
    </w:p>
    <w:p>
      <w:pPr>
        <w:spacing w:after="120" w:line="300"/>
        <w:jc w:val="both"/>
      </w:pPr>
      <w:r>
        <w:rPr>
          <w:rFonts w:ascii="Calibri" w:cs="Calibri" w:eastAsia="Calibri" w:hAnsi="Calibri"/>
          <w:sz w:val="22"/>
          <w:szCs w:val="22"/>
        </w:rPr>
        <w:t xml:space="preserve">This proposal documents Part 1: a static, cross-sectional geospatial analysis of where convergent climate-and-disability risk is structurally located across US counties. Behavioral adaptation, coping, and individual-level outcomes are out of scope for Part 1 and are carried by Phase 2 and Dr. Alexander's parallel clinical study arm.</w:t>
      </w:r>
    </w:p>
    <w:p>
      <w:pPr>
        <w:pStyle w:val="Heading2"/>
        <w:spacing w:after="120" w:before="220"/>
      </w:pPr>
      <w:r>
        <w:rPr>
          <w:rFonts w:ascii="Calibri" w:cs="Calibri" w:eastAsia="Calibri" w:hAnsi="Calibri"/>
          <w:b/>
          <w:bCs/>
          <w:color w:val="1A1A1A"/>
          <w:sz w:val="26"/>
          <w:szCs w:val="26"/>
        </w:rPr>
        <w:t xml:space="preserve">Aim 1. Characterize the electrically-dependent Medicare population at the county level.</w:t>
      </w:r>
    </w:p>
    <w:p>
      <w:pPr>
        <w:spacing w:after="120" w:line="300"/>
        <w:jc w:val="both"/>
      </w:pPr>
      <w:r>
        <w:rPr>
          <w:rFonts w:ascii="Calibri" w:cs="Calibri" w:eastAsia="Calibri" w:hAnsi="Calibri"/>
          <w:sz w:val="22"/>
          <w:szCs w:val="22"/>
        </w:rPr>
        <w:t xml:space="preserve">Using six publicly available, county-level Medicare utilization covariates (detailed below), produce a national dataset that quantifies, for every US county, the share of the Medicare population whose continued health and safety depends on uninterrupted access to electrical power and electricity-mediated care delivery.</w:t>
      </w:r>
    </w:p>
    <w:p>
      <w:pPr>
        <w:pStyle w:val="Heading2"/>
        <w:spacing w:after="120" w:before="220"/>
      </w:pPr>
      <w:r>
        <w:rPr>
          <w:rFonts w:ascii="Calibri" w:cs="Calibri" w:eastAsia="Calibri" w:hAnsi="Calibri"/>
          <w:b/>
          <w:bCs/>
          <w:color w:val="1A1A1A"/>
          <w:sz w:val="26"/>
          <w:szCs w:val="26"/>
        </w:rPr>
        <w:t xml:space="preserve">Aim 2. Quantify county-level convergence of power-dependent disability and climate hazard.</w:t>
      </w:r>
    </w:p>
    <w:p>
      <w:pPr>
        <w:spacing w:after="120" w:line="300"/>
        <w:jc w:val="both"/>
      </w:pPr>
      <w:r>
        <w:rPr>
          <w:rFonts w:ascii="Calibri" w:cs="Calibri" w:eastAsia="Calibri" w:hAnsi="Calibri"/>
          <w:sz w:val="22"/>
          <w:szCs w:val="22"/>
        </w:rPr>
        <w:t xml:space="preserve">Using the FEMA NRI v1.20 composite score across the five hazards most capable of disrupting the electrical grid — hurricanes, heat waves, wildfires, coastal flooding, and drought — compute a convergent-risk index that equally weights (a) the population’s structural dependence on power and (b) its exposure to climate hazards that remove it.</w:t>
      </w:r>
    </w:p>
    <w:p>
      <w:pPr>
        <w:pStyle w:val="Heading2"/>
        <w:spacing w:after="120" w:before="220"/>
      </w:pPr>
      <w:r>
        <w:rPr>
          <w:rFonts w:ascii="Calibri" w:cs="Calibri" w:eastAsia="Calibri" w:hAnsi="Calibri"/>
          <w:b/>
          <w:bCs/>
          <w:color w:val="1A1A1A"/>
          <w:sz w:val="26"/>
          <w:szCs w:val="26"/>
        </w:rPr>
        <w:t xml:space="preserve">Aim 3. Translate the national risk map into preparedness policy guidance.</w:t>
      </w:r>
    </w:p>
    <w:p>
      <w:pPr>
        <w:spacing w:after="120" w:line="300"/>
        <w:jc w:val="both"/>
      </w:pPr>
      <w:r>
        <w:rPr>
          <w:rFonts w:ascii="Calibri" w:cs="Calibri" w:eastAsia="Calibri" w:hAnsi="Calibri"/>
          <w:sz w:val="22"/>
          <w:szCs w:val="22"/>
        </w:rPr>
        <w:t xml:space="preserve">Identify the top-quartile counties on the convergent-risk index and deliver a one-page policy brief — aimed at state emergency-management agencies, rehabilitation networks, and CMS — that names the highest-risk jurisdictions, documents the specific hazard profile driving each one, and recommends preparedness actions scaled to the risk.</w:t>
      </w:r>
    </w:p>
    <w:p>
      <w:pPr>
        <w:pStyle w:val="Heading1"/>
        <w:spacing w:after="160" w:before="300"/>
      </w:pPr>
      <w:r>
        <w:rPr>
          <w:rFonts w:ascii="Calibri" w:cs="Calibri" w:eastAsia="Calibri" w:hAnsi="Calibri"/>
          <w:b/>
          <w:bCs/>
          <w:color w:val="8B1A1A"/>
          <w:sz w:val="32"/>
          <w:szCs w:val="32"/>
        </w:rPr>
        <w:t xml:space="preserve">Background and Significance</w:t>
      </w:r>
    </w:p>
    <w:p>
      <w:pPr>
        <w:pStyle w:val="Heading2"/>
        <w:spacing w:after="120" w:before="220"/>
      </w:pPr>
      <w:r>
        <w:rPr>
          <w:rFonts w:ascii="Calibri" w:cs="Calibri" w:eastAsia="Calibri" w:hAnsi="Calibri"/>
          <w:b/>
          <w:bCs/>
          <w:color w:val="1A1A1A"/>
          <w:sz w:val="26"/>
          <w:szCs w:val="26"/>
        </w:rPr>
        <w:t xml:space="preserve">The population at stake</w:t>
      </w:r>
    </w:p>
    <w:p>
      <w:pPr>
        <w:spacing w:after="120" w:line="300"/>
        <w:jc w:val="both"/>
      </w:pPr>
      <w:r>
        <w:rPr>
          <w:rFonts w:ascii="Calibri" w:cs="Calibri" w:eastAsia="Calibri" w:hAnsi="Calibri"/>
          <w:sz w:val="22"/>
          <w:szCs w:val="22"/>
        </w:rPr>
        <w:t xml:space="preserve">Several overlapping Medicare sub-populations share a single structural vulnerability: their survival or baseline function depends on continuous access to electrical power. This includes beneficiaries using powered durable medical equipment (DME) — ventilators, BiPAP/CPAP, powered wheelchairs, hospital beds, suction machines, enteral feeding pumps — as well as beneficiaries receiving home oxygen services, home health visits, or hospice care in the home. Beyond the device level, individuals with high-level spinal cord injury, multiple sclerosis, ALS, and advanced COPD or heart failure also depend on climate-controlled housing: the loss of cooling in a heat wave or heating in a winter storm is, for these patients, not a discomfort but a clinical emergency.</w:t>
      </w:r>
    </w:p>
    <w:p>
      <w:pPr>
        <w:spacing w:after="120" w:line="300"/>
        <w:jc w:val="both"/>
      </w:pPr>
      <w:r>
        <w:rPr>
          <w:rFonts w:ascii="Calibri" w:cs="Calibri" w:eastAsia="Calibri" w:hAnsi="Calibri"/>
          <w:sz w:val="22"/>
          <w:szCs w:val="22"/>
        </w:rPr>
        <w:t xml:space="preserve">The Luyten et al. (2023) scoping review of 89 climate-health impact studies across 35 countries found zero studies that stratified outcomes by disability status. Emergency-preparedness policy — at the county, state, and federal levels — is therefore being designed in the absence of systematic evidence about where these populations actually live, and which climate hazards they are most exposed to.</w:t>
      </w:r>
    </w:p>
    <w:p>
      <w:pPr>
        <w:pStyle w:val="Heading2"/>
        <w:spacing w:after="120" w:before="220"/>
      </w:pPr>
      <w:r>
        <w:rPr>
          <w:rFonts w:ascii="Calibri" w:cs="Calibri" w:eastAsia="Calibri" w:hAnsi="Calibri"/>
          <w:b/>
          <w:bCs/>
          <w:color w:val="1A1A1A"/>
          <w:sz w:val="26"/>
          <w:szCs w:val="26"/>
        </w:rPr>
        <w:t xml:space="preserve">Why Medicare data is the right lens</w:t>
      </w:r>
    </w:p>
    <w:p>
      <w:pPr>
        <w:spacing w:after="120" w:line="300"/>
        <w:jc w:val="both"/>
      </w:pPr>
      <w:r>
        <w:rPr>
          <w:rFonts w:ascii="Calibri" w:cs="Calibri" w:eastAsia="Calibri" w:hAnsi="Calibri"/>
          <w:sz w:val="22"/>
          <w:szCs w:val="22"/>
        </w:rPr>
        <w:t xml:space="preserve">Medicare administrative data is the only US dataset that simultaneously (a) captures electricity-dependent care utilization at a nationally consistent geographic level, (b) covers the population most likely to rely on powered medical equipment, and (c) is publicly available in a form that supports county-level analysis without a Data Use Agreement. The Medicare Geographic Variation Public Use File reports utilization rates for exactly the kinds of care that are either power-dependent (oxygen services, DME) or delivered into climate-sensitive residential environments (home health, hospice). Joined to the FEMA NRI, it produces the evidence base that disaster-preparedness policy currently lacks.</w:t>
      </w:r>
    </w:p>
    <w:p>
      <w:pPr>
        <w:pStyle w:val="Heading1"/>
        <w:spacing w:after="160" w:before="300"/>
      </w:pPr>
      <w:r>
        <w:rPr>
          <w:rFonts w:ascii="Calibri" w:cs="Calibri" w:eastAsia="Calibri" w:hAnsi="Calibri"/>
          <w:b/>
          <w:bCs/>
          <w:color w:val="8B1A1A"/>
          <w:sz w:val="32"/>
          <w:szCs w:val="32"/>
        </w:rPr>
        <w:t xml:space="preserve">Data and Covariates</w:t>
      </w:r>
    </w:p>
    <w:p>
      <w:pPr>
        <w:pStyle w:val="Heading2"/>
        <w:spacing w:after="120" w:before="220"/>
      </w:pPr>
      <w:r>
        <w:rPr>
          <w:rFonts w:ascii="Calibri" w:cs="Calibri" w:eastAsia="Calibri" w:hAnsi="Calibri"/>
          <w:b/>
          <w:bCs/>
          <w:color w:val="1A1A1A"/>
          <w:sz w:val="26"/>
          <w:szCs w:val="26"/>
        </w:rPr>
        <w:t xml:space="preserve">Primary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3600"/>
        <w:gridCol w:w="1600"/>
      </w:tblGrid>
      <w:tr>
        <w:trPr>
          <w:tblHeader/>
        </w:trPr>
        <w:tc>
          <w:tcPr>
            <w:tcW w:type="dxa" w:w="208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Dataset</w:t>
            </w:r>
          </w:p>
        </w:tc>
        <w:tc>
          <w:tcPr>
            <w:tcW w:type="dxa" w:w="208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Source</w:t>
            </w:r>
          </w:p>
        </w:tc>
        <w:tc>
          <w:tcPr>
            <w:tcW w:type="dxa" w:w="36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Contents used</w:t>
            </w:r>
          </w:p>
        </w:tc>
        <w:tc>
          <w:tcPr>
            <w:tcW w:type="dxa" w:w="16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Coverage</w:t>
            </w:r>
          </w:p>
        </w:tc>
      </w:tr>
      <w:tr>
        <w:tc>
          <w:tcPr>
            <w:tcW w:type="dxa" w:w="20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Medicare Monthly Enrollment / Geographic Variation PUF</w:t>
            </w:r>
          </w:p>
        </w:tc>
        <w:tc>
          <w:tcPr>
            <w:tcW w:type="dxa" w:w="20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data.cms.gov</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Six county-level utilization rates + total and disability enrollment counts</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3,212 counties, Dec 2025</w:t>
            </w:r>
          </w:p>
        </w:tc>
      </w:tr>
      <w:tr>
        <w:tc>
          <w:tcPr>
            <w:tcW w:type="dxa" w:w="20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FEMA National Risk Index v1.20</w:t>
            </w:r>
          </w:p>
        </w:tc>
        <w:tc>
          <w:tcPr>
            <w:tcW w:type="dxa" w:w="20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fema.gov</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Per-hazard RISKS scores (hurricane, heat wave, wildfire, coastal flood, drought, etc.)</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3,232 counties, Dec 2025</w:t>
            </w:r>
          </w:p>
        </w:tc>
      </w:tr>
      <w:tr>
        <w:tc>
          <w:tcPr>
            <w:tcW w:type="dxa" w:w="20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HHS emPOWER Map</w:t>
            </w:r>
          </w:p>
        </w:tc>
        <w:tc>
          <w:tcPr>
            <w:tcW w:type="dxa" w:w="20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empowerprogram.hhs.gov</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Corroborating electricity-dependent DME beneficiary counts (validation sidecar)</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County-level</w:t>
            </w:r>
          </w:p>
        </w:tc>
      </w:tr>
      <w:tr>
        <w:tc>
          <w:tcPr>
            <w:tcW w:type="dxa" w:w="20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US Census TIGER shapefile</w:t>
            </w:r>
          </w:p>
        </w:tc>
        <w:tc>
          <w:tcPr>
            <w:tcW w:type="dxa" w:w="20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census.gov</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County boundary geometries for choropleth mapping</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2022 vintage</w:t>
            </w:r>
          </w:p>
        </w:tc>
      </w:tr>
    </w:tbl>
    <w:p>
      <w:pPr>
        <w:pStyle w:val="Heading2"/>
        <w:spacing w:after="120" w:before="220"/>
      </w:pPr>
      <w:r>
        <w:rPr>
          <w:rFonts w:ascii="Calibri" w:cs="Calibri" w:eastAsia="Calibri" w:hAnsi="Calibri"/>
          <w:b/>
          <w:bCs/>
          <w:color w:val="1A1A1A"/>
          <w:sz w:val="26"/>
          <w:szCs w:val="26"/>
        </w:rPr>
        <w:t xml:space="preserve">The six Medicare covariates</w:t>
      </w:r>
    </w:p>
    <w:p>
      <w:pPr>
        <w:spacing w:after="120" w:line="300"/>
        <w:jc w:val="both"/>
      </w:pPr>
      <w:r>
        <w:rPr>
          <w:rFonts w:ascii="Calibri" w:cs="Calibri" w:eastAsia="Calibri" w:hAnsi="Calibri"/>
          <w:sz w:val="22"/>
          <w:szCs w:val="22"/>
        </w:rPr>
        <w:t xml:space="preserve">Each covariate is a per-100-Medicare-beneficiary rate at the county level, computed from the most recent publicly available CMS data. All six share one property: their continued delivery depends on a working electrical grid, climate-controlled housing, 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Covariate (variable name)</w:t>
            </w:r>
          </w:p>
        </w:tc>
        <w:tc>
          <w:tcPr>
            <w:tcW w:type="dxa" w:w="38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What it captures</w:t>
            </w:r>
          </w:p>
        </w:tc>
        <w:tc>
          <w:tcPr>
            <w:tcW w:type="dxa" w:w="296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Why it is power-sensitive</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Power-dependent DME rate (total_power_dependent_rate)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Medicare beneficiaries using electrically-powered durable medical equipment per 100 beneficiaries.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Ventilators, BiPAP, powered mobility, suction, feeding pumps all fail when power fails.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Home oxygen services rate (o2_services_rate)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Medicare beneficiaries receiving home oxygen services per 100 beneficiaries.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Oxygen concentrators draw continuous current; tank backup lasts hours, not days.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Home health rate (home_health_rate)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Medicare beneficiaries receiving Medicare-reimbursed home health services per 100 beneficiaries.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Care delivered into the home is disrupted by both power loss and road-access loss during disasters.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Hospice rate (hospice_rate)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Medicare beneficiaries receiving hospice care per 100 beneficiaries.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In-home hospice relies on continuous nursing access and functioning medication refrigeration.</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Any-healthcare-service rate (any_healthcare_rate)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Composite Medicare utilization across DME, home health, oxygen, and hospice per 100 beneficiaries.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Summary signal of the county’s overall dependence on power-sensitive Medicare services.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Medicare disability enrollment rate (dsbld_rate)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Share of Medicare beneficiaries enrolled on the basis of disability (rather than age alone).</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Identifies the population most exposed to thermoregulatory and mobility-related climate risk.</w:t>
            </w:r>
          </w:p>
        </w:tc>
      </w:tr>
    </w:tbl>
    <w:p>
      <w:pPr>
        <w:pStyle w:val="Heading1"/>
        <w:spacing w:after="160" w:before="300"/>
      </w:pPr>
      <w:r>
        <w:rPr>
          <w:rFonts w:ascii="Calibri" w:cs="Calibri" w:eastAsia="Calibri" w:hAnsi="Calibri"/>
          <w:b/>
          <w:bCs/>
          <w:color w:val="8B1A1A"/>
          <w:sz w:val="32"/>
          <w:szCs w:val="32"/>
        </w:rPr>
        <w:t xml:space="preserve">Approach</w:t>
      </w:r>
    </w:p>
    <w:p>
      <w:pPr>
        <w:pStyle w:val="Heading2"/>
        <w:spacing w:after="120" w:before="220"/>
      </w:pPr>
      <w:r>
        <w:rPr>
          <w:rFonts w:ascii="Calibri" w:cs="Calibri" w:eastAsia="Calibri" w:hAnsi="Calibri"/>
          <w:b/>
          <w:bCs/>
          <w:color w:val="1A1A1A"/>
          <w:sz w:val="26"/>
          <w:szCs w:val="26"/>
        </w:rPr>
        <w:t xml:space="preserve">1. Composite hazard score.</w:t>
      </w:r>
    </w:p>
    <w:p>
      <w:pPr>
        <w:spacing w:after="120" w:line="300"/>
        <w:jc w:val="both"/>
      </w:pPr>
      <w:r>
        <w:rPr>
          <w:rFonts w:ascii="Calibri" w:cs="Calibri" w:eastAsia="Calibri" w:hAnsi="Calibri"/>
          <w:sz w:val="22"/>
          <w:szCs w:val="22"/>
        </w:rPr>
        <w:t xml:space="preserve">From the FEMA NRI v1.20, extract the county-level RISKS scores for the five hazard types most capable of disrupting the electrical grid and climate-controlled housing: hurricanes, heat waves, wildfires, coastal flooding, and drought. Compute the composite hazard score as the mean of the applicable scores, with coastal flood excluded for inland counties rather than treated as zero (to prevent artificial score suppression for high-risk inland jurisdictions).</w:t>
      </w:r>
    </w:p>
    <w:p>
      <w:pPr>
        <w:pStyle w:val="Heading2"/>
        <w:spacing w:after="120" w:before="220"/>
      </w:pPr>
      <w:r>
        <w:rPr>
          <w:rFonts w:ascii="Calibri" w:cs="Calibri" w:eastAsia="Calibri" w:hAnsi="Calibri"/>
          <w:b/>
          <w:bCs/>
          <w:color w:val="1A1A1A"/>
          <w:sz w:val="26"/>
          <w:szCs w:val="26"/>
        </w:rPr>
        <w:t xml:space="preserve">2. Power-dependence signature.</w:t>
      </w:r>
    </w:p>
    <w:p>
      <w:pPr>
        <w:spacing w:after="120" w:line="300"/>
        <w:jc w:val="both"/>
      </w:pPr>
      <w:r>
        <w:rPr>
          <w:rFonts w:ascii="Calibri" w:cs="Calibri" w:eastAsia="Calibri" w:hAnsi="Calibri"/>
          <w:sz w:val="22"/>
          <w:szCs w:val="22"/>
        </w:rPr>
        <w:t xml:space="preserve">For each county, compute the six covariates as per-100-beneficiary rates. Rank each covariate to its national percentile to put the six signatures on a common 0–100 scale.</w:t>
      </w:r>
    </w:p>
    <w:p>
      <w:pPr>
        <w:pStyle w:val="Heading2"/>
        <w:spacing w:after="120" w:before="220"/>
      </w:pPr>
      <w:r>
        <w:rPr>
          <w:rFonts w:ascii="Calibri" w:cs="Calibri" w:eastAsia="Calibri" w:hAnsi="Calibri"/>
          <w:b/>
          <w:bCs/>
          <w:color w:val="1A1A1A"/>
          <w:sz w:val="26"/>
          <w:szCs w:val="26"/>
        </w:rPr>
        <w:t xml:space="preserve">3. Convergent-risk index (dual-percentile).</w:t>
      </w:r>
    </w:p>
    <w:p>
      <w:pPr>
        <w:spacing w:after="120" w:line="300"/>
        <w:jc w:val="both"/>
      </w:pPr>
      <w:r>
        <w:rPr>
          <w:rFonts w:ascii="Calibri" w:cs="Calibri" w:eastAsia="Calibri" w:hAnsi="Calibri"/>
          <w:sz w:val="22"/>
          <w:szCs w:val="22"/>
        </w:rPr>
        <w:t xml:space="preserve">Compute the equal-weighted convergent-risk index as the mean of two national percentile ranks: (a) the percentile rank of the county’s composite 5-hazard score, and (b) the percentile rank of the county’s power-dependent DME rate. Both inputs are rescaled to 0–100 before averaging; this is necessary because the raw composite hazard score spans 0–100 while the raw power-dependency rate spans approximately 0–40% (median ~5%), so averaging the raw values would under-weight power dependency by roughly 15-fold and artificially privilege high-hazard California counties. Under the dual-percentile formulation, a county ranks highest when it scores near the national top on both dimensions simultaneously. Counties scoring in the top quartile on both dimensions are flagged as priority jurisdictions for preparedness intervention.</w:t>
      </w:r>
    </w:p>
    <w:p>
      <w:pPr>
        <w:pStyle w:val="Heading2"/>
        <w:spacing w:after="120" w:before="220"/>
      </w:pPr>
      <w:r>
        <w:rPr>
          <w:rFonts w:ascii="Calibri" w:cs="Calibri" w:eastAsia="Calibri" w:hAnsi="Calibri"/>
          <w:b/>
          <w:bCs/>
          <w:color w:val="1A1A1A"/>
          <w:sz w:val="26"/>
          <w:szCs w:val="26"/>
        </w:rPr>
        <w:t xml:space="preserve">4. Covariate-specific vulnerability maps.</w:t>
      </w:r>
    </w:p>
    <w:p>
      <w:pPr>
        <w:spacing w:after="120" w:line="300"/>
        <w:jc w:val="both"/>
      </w:pPr>
      <w:r>
        <w:rPr>
          <w:rFonts w:ascii="Calibri" w:cs="Calibri" w:eastAsia="Calibri" w:hAnsi="Calibri"/>
          <w:sz w:val="22"/>
          <w:szCs w:val="22"/>
        </w:rPr>
        <w:t xml:space="preserve">Render a choropleth map for each of the six covariates individually against the composite hazard score, so that policymakers can see whether a county’s risk is driven by high-DME-dependency populations, high home-health intensity, high disability enrollment, or a combination.</w:t>
      </w:r>
    </w:p>
    <w:p>
      <w:pPr>
        <w:pStyle w:val="Heading2"/>
        <w:spacing w:after="120" w:before="220"/>
      </w:pPr>
      <w:r>
        <w:rPr>
          <w:rFonts w:ascii="Calibri" w:cs="Calibri" w:eastAsia="Calibri" w:hAnsi="Calibri"/>
          <w:b/>
          <w:bCs/>
          <w:color w:val="1A1A1A"/>
          <w:sz w:val="26"/>
          <w:szCs w:val="26"/>
        </w:rPr>
        <w:t xml:space="preserve">5. Sensitivity checks.</w:t>
      </w:r>
    </w:p>
    <w:p>
      <w:pPr>
        <w:spacing w:after="120" w:line="300"/>
        <w:jc w:val="both"/>
      </w:pPr>
      <w:r>
        <w:rPr>
          <w:rFonts w:ascii="Calibri" w:cs="Calibri" w:eastAsia="Calibri" w:hAnsi="Calibri"/>
          <w:sz w:val="22"/>
          <w:szCs w:val="22"/>
        </w:rPr>
        <w:t xml:space="preserve">Re-run the convergent index with (a) the HHS emPOWER electricity-dependent DME count as an alternative to the CMS DME rate, (b) un-weighted vs. hazard-duration-weighted scores, and (c) the exclusion of the five HIPAA-suppressed counties. Report rank stability for the top-50 counties.</w:t>
      </w:r>
    </w:p>
    <w:p>
      <w:pPr>
        <w:pStyle w:val="Heading1"/>
        <w:spacing w:after="160" w:before="300"/>
      </w:pPr>
      <w:r>
        <w:rPr>
          <w:rFonts w:ascii="Calibri" w:cs="Calibri" w:eastAsia="Calibri" w:hAnsi="Calibri"/>
          <w:b/>
          <w:bCs/>
          <w:color w:val="8B1A1A"/>
          <w:sz w:val="32"/>
          <w:szCs w:val="32"/>
        </w:rPr>
        <w:t xml:space="preserve">Preliminary Findings</w:t>
      </w:r>
    </w:p>
    <w:p>
      <w:pPr>
        <w:spacing w:after="120" w:line="300"/>
        <w:jc w:val="both"/>
      </w:pPr>
      <w:r>
        <w:rPr>
          <w:rFonts w:ascii="Calibri" w:cs="Calibri" w:eastAsia="Calibri" w:hAnsi="Calibri"/>
          <w:sz w:val="22"/>
          <w:szCs w:val="22"/>
        </w:rPr>
        <w:t xml:space="preserve">Phase 1 analysis of 3,131 matched counties (out of 3,212 total joined; 81 excluded due to insufficient FEMA hazard data, 5 additional counties suppressed under HIPAA cell-size rules) produces three findings of immediate policy relevance:</w:t>
      </w:r>
    </w:p>
    <w:p>
      <w:pPr>
        <w:pStyle w:val="ListParagraph"/>
        <w:numPr>
          <w:ilvl w:val="0"/>
          <w:numId w:val="2"/>
        </w:numPr>
        <w:spacing w:after="80"/>
      </w:pPr>
      <w:r>
        <w:rPr>
          <w:rFonts w:ascii="Calibri" w:cs="Calibri" w:eastAsia="Calibri" w:hAnsi="Calibri"/>
          <w:sz w:val="22"/>
          <w:szCs w:val="22"/>
        </w:rPr>
        <w:t xml:space="preserve">The Intermountain West / Four Corners corridor dominates the national convergent-risk ranking. San Juan, NM leads the nation (index 96.9), with El Paso, CO (94.5), Bernalillo, NM (94.2), Sandoval, NM (94.1), and Adams, CO (93.8) completing the top five. All ten of the top-ranked counties sit in New Mexico, Colorado, or Utah — a corridor jointly exposed to drought, heat wave, and wildfire hazard at or above the 90th national percentile and carrying power-dependent Medicare populations in the top decile. This is the region where structural power-dependency and grid-disruptive climate hazard converge most sharply.</w:t>
      </w:r>
    </w:p>
    <w:p>
      <w:pPr>
        <w:pStyle w:val="ListParagraph"/>
        <w:numPr>
          <w:ilvl w:val="0"/>
          <w:numId w:val="2"/>
        </w:numPr>
        <w:spacing w:after="80"/>
      </w:pPr>
      <w:r>
        <w:rPr>
          <w:rFonts w:ascii="Calibri" w:cs="Calibri" w:eastAsia="Calibri" w:hAnsi="Calibri"/>
          <w:sz w:val="22"/>
          <w:szCs w:val="22"/>
        </w:rPr>
        <w:t xml:space="preserve">A second, distinct risk profile emerges along the Southeast coast — and directly within Baptist Health’s primary service area. Palm Beach (hazard percentile 99.8) and Miami-Dade (99.7) sit in the top 1% of US counties on the composite hazard score, driven by hurricane and coastal-flood exposure, making Baptist Health South Florida the highest-climate-hazard-exposed major hospital system in the Southeast. Their convergent-risk ranks (1,558 and 1,013 respectively) are held below the Intermountain West only because South Florida’s Medicare power-dependency rate sits in the bottom tercile nationally — a profile of extreme climate exposure convergent with moderate device-dependency. The finding nonetheless places the grant-holder institution at the frontline of the hurricane/coastal-flood pathway and identifies it as the largest-scale US hospital system operating in a top-1%-hazard environment.</w:t>
      </w:r>
    </w:p>
    <w:p>
      <w:pPr>
        <w:pStyle w:val="ListParagraph"/>
        <w:numPr>
          <w:ilvl w:val="0"/>
          <w:numId w:val="2"/>
        </w:numPr>
        <w:spacing w:after="80"/>
      </w:pPr>
      <w:r>
        <w:rPr>
          <w:rFonts w:ascii="Calibri" w:cs="Calibri" w:eastAsia="Calibri" w:hAnsi="Calibri"/>
          <w:sz w:val="22"/>
          <w:szCs w:val="22"/>
        </w:rPr>
        <w:t xml:space="preserve">Power dependency operates as an independent vulnerability pathway. Several counties in the top 25 — including Pueblo, CO (rank 12, hazard 86.7 / power 98.2), Iron, UT (rank 13, hazard 87.0 / power 97.5), Millard, UT (rank 14, hazard 86.9 / power 97.0), and Garfield, UT (rank 21, hazard 82.1 / power 98.9) — reach top-ranked positions on moderate hazard scores but extreme power-dependency rates near the national ceiling. This confirms that electricity-dependent disability cannot be treated as a secondary amplifier of climate exposure; in multiple US regions it is itself the dominant driver of disaster risk.</w:t>
      </w:r>
    </w:p>
    <w:p>
      <w:pPr>
        <w:pBdr>
          <w:left w:val="single" w:color="8B1A1A" w:sz="18" w:space="12"/>
        </w:pBdr>
        <w:spacing w:after="160" w:before="120"/>
        <w:ind w:left="240"/>
        <w:jc w:val="left"/>
      </w:pPr>
      <w:r>
        <w:rPr>
          <w:rFonts w:ascii="Calibri" w:cs="Calibri" w:eastAsia="Calibri" w:hAnsi="Calibri"/>
          <w:i/>
          <w:iCs/>
          <w:color w:val="2A0000"/>
          <w:sz w:val="22"/>
          <w:szCs w:val="22"/>
        </w:rPr>
        <w:t xml:space="preserve">Together, these findings identify two geographically and mechanistically distinct categories of highest-risk county — the Intermountain West drought-and-dependency corridor, and the Southeast hurricane-and-coastal-flood coast including Baptist Health’s service area — each of which requires a different preparedness response.</w:t>
      </w:r>
    </w:p>
    <w:p>
      <w:pPr>
        <w:pStyle w:val="Heading2"/>
        <w:spacing w:after="120" w:before="220"/>
      </w:pPr>
      <w:r>
        <w:rPr>
          <w:rFonts w:ascii="Calibri" w:cs="Calibri" w:eastAsia="Calibri" w:hAnsi="Calibri"/>
          <w:b/>
          <w:bCs/>
          <w:color w:val="1A1A1A"/>
          <w:sz w:val="26"/>
          <w:szCs w:val="26"/>
        </w:rPr>
        <w:t xml:space="preserve">Top 10 counties by convergent-risk index (dual-percentile)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1400"/>
        <w:gridCol w:w="1480"/>
        <w:gridCol w:w="1480"/>
      </w:tblGrid>
      <w:tr>
        <w:trPr>
          <w:tblHeader/>
        </w:trPr>
        <w:tc>
          <w:tcPr>
            <w:tcW w:type="dxa" w:w="6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w:t>
            </w:r>
          </w:p>
        </w:tc>
        <w:tc>
          <w:tcPr>
            <w:tcW w:type="dxa" w:w="26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County</w:t>
            </w:r>
          </w:p>
        </w:tc>
        <w:tc>
          <w:tcPr>
            <w:tcW w:type="dxa" w:w="18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State</w:t>
            </w:r>
          </w:p>
        </w:tc>
        <w:tc>
          <w:tcPr>
            <w:tcW w:type="dxa" w:w="14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Hazard pctile</w:t>
            </w:r>
          </w:p>
        </w:tc>
        <w:tc>
          <w:tcPr>
            <w:tcW w:type="dxa" w:w="148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Power pctile</w:t>
            </w:r>
          </w:p>
        </w:tc>
        <w:tc>
          <w:tcPr>
            <w:tcW w:type="dxa" w:w="148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Vuln. index</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San Juan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NM</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98.3</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95.6</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96.9</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El Paso</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92.0</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97.1</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94.5</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Bernalillo</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NM</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97.4</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91.0</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94.2</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Sandoval</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NM</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97.2</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91.1</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94.1</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Adams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92.0</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95.6</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93.8</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Chaves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NM</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96.4</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90.4</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93.4</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7</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Utah</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98.4</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88.2</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93.3</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Mesa</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92.6</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93.3</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92.9</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Santa Fe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NM</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95.7</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89.7</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92.7</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Weber</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91.4</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93.7</w:t>
            </w:r>
          </w:p>
        </w:tc>
        <w:tc>
          <w:tcPr>
            <w:tcW w:type="dxa" w:w="14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92.6</w:t>
            </w:r>
          </w:p>
        </w:tc>
      </w:tr>
    </w:tbl>
    <w:p>
      <w:pPr>
        <w:pStyle w:val="Heading1"/>
        <w:spacing w:after="160" w:before="300"/>
      </w:pPr>
      <w:r>
        <w:rPr>
          <w:rFonts w:ascii="Calibri" w:cs="Calibri" w:eastAsia="Calibri" w:hAnsi="Calibri"/>
          <w:b/>
          <w:bCs/>
          <w:color w:val="8B1A1A"/>
          <w:sz w:val="32"/>
          <w:szCs w:val="32"/>
        </w:rPr>
        <w:t xml:space="preserve">Policy Relevance and Deliverables</w:t>
      </w:r>
    </w:p>
    <w:p>
      <w:pPr>
        <w:spacing w:after="120" w:line="300"/>
        <w:jc w:val="both"/>
      </w:pPr>
      <w:r>
        <w:rPr>
          <w:rFonts w:ascii="Calibri" w:cs="Calibri" w:eastAsia="Calibri" w:hAnsi="Calibri"/>
          <w:sz w:val="22"/>
          <w:szCs w:val="22"/>
        </w:rPr>
        <w:t xml:space="preserve">The project’s target audience is state emergency-management agencies, rehabilitation networks, CMS, and the ASPR emPOWER program. The three deliverables are designed to be directly actionable at that policy layer:</w:t>
      </w:r>
    </w:p>
    <w:p>
      <w:pPr>
        <w:pStyle w:val="ListParagraph"/>
        <w:numPr>
          <w:ilvl w:val="0"/>
          <w:numId w:val="2"/>
        </w:numPr>
        <w:spacing w:after="80"/>
      </w:pPr>
      <w:r>
        <w:rPr>
          <w:rFonts w:ascii="Calibri" w:cs="Calibri" w:eastAsia="Calibri" w:hAnsi="Calibri"/>
          <w:sz w:val="22"/>
          <w:szCs w:val="22"/>
        </w:rPr>
        <w:t xml:space="preserve">A county-level vulnerability map naming the top-quartile counties on the convergent-risk index, suitable for publication and for use in state-level preparedness planning.</w:t>
      </w:r>
    </w:p>
    <w:p>
      <w:pPr>
        <w:pStyle w:val="ListParagraph"/>
        <w:numPr>
          <w:ilvl w:val="0"/>
          <w:numId w:val="2"/>
        </w:numPr>
        <w:spacing w:after="80"/>
      </w:pPr>
      <w:r>
        <w:rPr>
          <w:rFonts w:ascii="Calibri" w:cs="Calibri" w:eastAsia="Calibri" w:hAnsi="Calibri"/>
          <w:sz w:val="22"/>
          <w:szCs w:val="22"/>
        </w:rPr>
        <w:t xml:space="preserve">A one-page policy brief written for emergency-management and rehabilitation audiences, summarizing the two risk pathways and recommending tele-rehabilitation and grid-hardening investment priorities consistent with Alexander &amp; Alexander (2025).</w:t>
      </w:r>
    </w:p>
    <w:p>
      <w:pPr>
        <w:pStyle w:val="ListParagraph"/>
        <w:numPr>
          <w:ilvl w:val="0"/>
          <w:numId w:val="2"/>
        </w:numPr>
        <w:spacing w:after="80"/>
      </w:pPr>
      <w:r>
        <w:rPr>
          <w:rFonts w:ascii="Calibri" w:cs="Calibri" w:eastAsia="Calibri" w:hAnsi="Calibri"/>
          <w:sz w:val="22"/>
          <w:szCs w:val="22"/>
        </w:rPr>
        <w:t xml:space="preserve">A replicable analysis pipeline (public GitHub repository) that state agencies can re-run on updated CMS and FEMA data as new releases publish, without requiring a Data Use Agreement.</w:t>
      </w:r>
    </w:p>
    <w:p>
      <w:pPr>
        <w:pStyle w:val="Heading1"/>
        <w:spacing w:after="160" w:before="300"/>
      </w:pPr>
      <w:r>
        <w:rPr>
          <w:rFonts w:ascii="Calibri" w:cs="Calibri" w:eastAsia="Calibri" w:hAnsi="Calibri"/>
          <w:b/>
          <w:bCs/>
          <w:color w:val="8B1A1A"/>
          <w:sz w:val="32"/>
          <w:szCs w:val="32"/>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Phase</w:t>
            </w:r>
          </w:p>
        </w:tc>
        <w:tc>
          <w:tcPr>
            <w:tcW w:type="dxa" w:w="350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Activity</w:t>
            </w:r>
          </w:p>
        </w:tc>
        <w:tc>
          <w:tcPr>
            <w:tcW w:type="dxa" w:w="4060"/>
            <w:tcBorders>
              <w:top w:val="single" w:color="B0B0B0" w:sz="4"/>
              <w:left w:val="single" w:color="B0B0B0" w:sz="4"/>
              <w:bottom w:val="single" w:color="B0B0B0" w:sz="4"/>
              <w:right w:val="single" w:color="B0B0B0" w:sz="4"/>
            </w:tcBorders>
            <w:shd w:fill="F1E4E4" w:val="clear"/>
            <w:tcMar>
              <w:top w:type="dxa" w:w="80"/>
              <w:left w:type="dxa" w:w="120"/>
              <w:bottom w:type="dxa" w:w="80"/>
              <w:right w:type="dxa" w:w="120"/>
            </w:tcMar>
          </w:tcPr>
          <w:p>
            <w:pPr>
              <w:spacing w:after="0"/>
            </w:pPr>
            <w:r>
              <w:rPr>
                <w:rFonts w:ascii="Calibri" w:cs="Calibri" w:eastAsia="Calibri" w:hAnsi="Calibri"/>
                <w:b/>
                <w:bCs/>
                <w:color w:val="1A1A1A"/>
                <w:sz w:val="20"/>
                <w:szCs w:val="20"/>
              </w:rPr>
              <w:t xml:space="preserve">Target delivery</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Phase 1</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National county-level convergent-risk analysis (six CMS covariates + FEMA NRI composite)</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Complete — analysis-ready dataset, six choropleth maps, and one-page policy brief delivered</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Phase 2</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Sensitivity checks; cross-validation against HHS emPOWER; policy-brief publication; GitHub release</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 progress — targeted for completion this grant cycle</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Phase 3</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International extension (WHO rehabilitation access + World Bank electricity access + IPCC regional projections)</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Planned next cycle</w:t>
            </w:r>
          </w:p>
        </w:tc>
      </w:tr>
    </w:tbl>
    <w:p>
      <w:pPr>
        <w:pStyle w:val="Heading1"/>
        <w:spacing w:after="160" w:before="300"/>
      </w:pPr>
      <w:r>
        <w:rPr>
          <w:rFonts w:ascii="Calibri" w:cs="Calibri" w:eastAsia="Calibri" w:hAnsi="Calibri"/>
          <w:b/>
          <w:bCs/>
          <w:color w:val="8B1A1A"/>
          <w:sz w:val="32"/>
          <w:szCs w:val="32"/>
        </w:rPr>
        <w:t xml:space="preserve">Known Limitations</w:t>
      </w:r>
    </w:p>
    <w:p>
      <w:pPr>
        <w:pStyle w:val="ListParagraph"/>
        <w:numPr>
          <w:ilvl w:val="0"/>
          <w:numId w:val="2"/>
        </w:numPr>
        <w:spacing w:after="80"/>
      </w:pPr>
      <w:r>
        <w:rPr>
          <w:rFonts w:ascii="Calibri" w:cs="Calibri" w:eastAsia="Calibri" w:hAnsi="Calibri"/>
          <w:sz w:val="22"/>
          <w:szCs w:val="22"/>
        </w:rPr>
        <w:t xml:space="preserve">HIPAA cell suppression: 5 counties in the emPOWER dataset have suppressed beneficiary counts (cells of 1–10) per CMS de-identification policy and are excluded from the analysis.</w:t>
      </w:r>
    </w:p>
    <w:p>
      <w:pPr>
        <w:pStyle w:val="ListParagraph"/>
        <w:numPr>
          <w:ilvl w:val="0"/>
          <w:numId w:val="2"/>
        </w:numPr>
        <w:spacing w:after="80"/>
      </w:pPr>
      <w:r>
        <w:rPr>
          <w:rFonts w:ascii="Calibri" w:cs="Calibri" w:eastAsia="Calibri" w:hAnsi="Calibri"/>
          <w:sz w:val="22"/>
          <w:szCs w:val="22"/>
        </w:rPr>
        <w:t xml:space="preserve">Medicare-only coverage: the data captures Medicare fee-for-service and Medicare Advantage beneficiaries only; Medicaid-only, dual-eligible, and uninsured electricity-dependent individuals are not represented, likely underestimating total population at risk, particularly in younger disabled adults.</w:t>
      </w:r>
    </w:p>
    <w:p>
      <w:pPr>
        <w:pStyle w:val="ListParagraph"/>
        <w:numPr>
          <w:ilvl w:val="0"/>
          <w:numId w:val="2"/>
        </w:numPr>
        <w:spacing w:after="80"/>
      </w:pPr>
      <w:r>
        <w:rPr>
          <w:rFonts w:ascii="Calibri" w:cs="Calibri" w:eastAsia="Calibri" w:hAnsi="Calibri"/>
          <w:sz w:val="22"/>
          <w:szCs w:val="22"/>
        </w:rPr>
        <w:t xml:space="preserve">FEMA data gaps: 81 counties (approximately 2.5% of the national total) have insufficient data across one or more FEMA NRI hazard categories and carry a null composite hazard score; these counties appear in the dataset but are excluded from the vulnerability rankings.</w:t>
      </w:r>
    </w:p>
    <w:p>
      <w:pPr>
        <w:pStyle w:val="ListParagraph"/>
        <w:numPr>
          <w:ilvl w:val="0"/>
          <w:numId w:val="2"/>
        </w:numPr>
        <w:spacing w:after="80"/>
      </w:pPr>
      <w:r>
        <w:rPr>
          <w:rFonts w:ascii="Calibri" w:cs="Calibri" w:eastAsia="Calibri" w:hAnsi="Calibri"/>
          <w:sz w:val="22"/>
          <w:szCs w:val="22"/>
        </w:rPr>
        <w:t xml:space="preserve">Equal-weighting assumption: the convergent-risk index weights hazard exposure and power dependency equally. Empirically derived weights based on historical power-outage duration and disability-related mortality are a logical Phase 2 extension.</w:t>
      </w:r>
    </w:p>
    <w:p>
      <w:pPr>
        <w:pStyle w:val="ListParagraph"/>
        <w:numPr>
          <w:ilvl w:val="0"/>
          <w:numId w:val="2"/>
        </w:numPr>
        <w:spacing w:after="80"/>
      </w:pPr>
      <w:r>
        <w:rPr>
          <w:rFonts w:ascii="Calibri" w:cs="Calibri" w:eastAsia="Calibri" w:hAnsi="Calibri"/>
          <w:sz w:val="22"/>
          <w:szCs w:val="22"/>
        </w:rPr>
        <w:t xml:space="preserve">Ecological unit: all findings describe county-level risk. Individual-level claims require the clinical study arm and are not made from this geospatial data.</w:t>
      </w:r>
    </w:p>
    <w:p>
      <w:pPr>
        <w:pStyle w:val="Heading1"/>
        <w:spacing w:after="160" w:before="300"/>
      </w:pPr>
      <w:r>
        <w:rPr>
          <w:rFonts w:ascii="Calibri" w:cs="Calibri" w:eastAsia="Calibri" w:hAnsi="Calibri"/>
          <w:b/>
          <w:bCs/>
          <w:color w:val="8B1A1A"/>
          <w:sz w:val="32"/>
          <w:szCs w:val="32"/>
        </w:rPr>
        <w:t xml:space="preserve">Team</w:t>
      </w:r>
    </w:p>
    <w:p>
      <w:pPr>
        <w:spacing w:after="120" w:line="300"/>
        <w:jc w:val="both"/>
      </w:pPr>
      <w:r>
        <w:rPr>
          <w:rFonts w:ascii="Calibri" w:cs="Calibri" w:eastAsia="Calibri" w:hAnsi="Calibri"/>
          <w:sz w:val="22"/>
          <w:szCs w:val="22"/>
        </w:rPr>
        <w:t xml:space="preserve">Marcalee Alexander, MD — Principal Investigator. Marcus Neuroscience Institute, Baptist Health South Florida. Clinical expertise in spinal cord injury and climate-and-disability policy.</w:t>
      </w:r>
    </w:p>
    <w:p>
      <w:pPr>
        <w:spacing w:after="120" w:line="300"/>
        <w:jc w:val="both"/>
      </w:pPr>
      <w:r>
        <w:rPr>
          <w:rFonts w:ascii="Calibri" w:cs="Calibri" w:eastAsia="Calibri" w:hAnsi="Calibri"/>
          <w:sz w:val="22"/>
          <w:szCs w:val="22"/>
        </w:rPr>
        <w:t xml:space="preserve">Barrett Jackson — Data analyst. Quantitative design, Python/geospatial implementation, and policy-brief authorship.</w:t>
      </w:r>
    </w:p>
    <w:p>
      <w:pPr>
        <w:pStyle w:val="Heading1"/>
        <w:spacing w:after="160" w:before="300"/>
      </w:pPr>
      <w:r>
        <w:rPr>
          <w:rFonts w:ascii="Calibri" w:cs="Calibri" w:eastAsia="Calibri" w:hAnsi="Calibri"/>
          <w:b/>
          <w:bCs/>
          <w:color w:val="8B1A1A"/>
          <w:sz w:val="32"/>
          <w:szCs w:val="32"/>
        </w:rPr>
        <w:t xml:space="preserve">References</w:t>
      </w:r>
    </w:p>
    <w:p>
      <w:pPr>
        <w:spacing w:after="120" w:line="300"/>
        <w:jc w:val="both"/>
      </w:pPr>
      <w:r>
        <w:rPr>
          <w:rFonts w:ascii="Calibri" w:cs="Calibri" w:eastAsia="Calibri" w:hAnsi="Calibri"/>
          <w:sz w:val="22"/>
          <w:szCs w:val="22"/>
        </w:rPr>
        <w:t xml:space="preserve">Alexander M, Alexander J. The need for new paradigms to assess and respond to the impacts of climate change on disability. In: Climate Change and Disability: A Collaborative Approach to a Sustainable Future. Elsevier, 2025.</w:t>
      </w:r>
    </w:p>
    <w:p>
      <w:pPr>
        <w:spacing w:after="120" w:line="300"/>
        <w:jc w:val="both"/>
      </w:pPr>
      <w:r>
        <w:rPr>
          <w:rFonts w:ascii="Calibri" w:cs="Calibri" w:eastAsia="Calibri" w:hAnsi="Calibri"/>
          <w:sz w:val="22"/>
          <w:szCs w:val="22"/>
        </w:rPr>
        <w:t xml:space="preserve">Alexander M, et al. A bellweather for climate change and disability. Spinal Cord Series and Cases. 2019.</w:t>
      </w:r>
    </w:p>
    <w:p>
      <w:pPr>
        <w:spacing w:after="120" w:line="300"/>
        <w:jc w:val="both"/>
      </w:pPr>
      <w:r>
        <w:rPr>
          <w:rFonts w:ascii="Calibri" w:cs="Calibri" w:eastAsia="Calibri" w:hAnsi="Calibri"/>
          <w:sz w:val="22"/>
          <w:szCs w:val="22"/>
        </w:rPr>
        <w:t xml:space="preserve">Luyten J, et al. Health impact studies of climate change adaptation and mitigation measures — a scoping review. Journal of Climate Change and Health. 2023.</w:t>
      </w:r>
    </w:p>
    <w:p>
      <w:pPr>
        <w:spacing w:after="120" w:line="300"/>
        <w:jc w:val="both"/>
      </w:pPr>
      <w:r>
        <w:rPr>
          <w:rFonts w:ascii="Calibri" w:cs="Calibri" w:eastAsia="Calibri" w:hAnsi="Calibri"/>
          <w:sz w:val="22"/>
          <w:szCs w:val="22"/>
        </w:rPr>
        <w:t xml:space="preserve">Federal Emergency Management Agency. National Risk Index, version 1.20, December 2025.</w:t>
      </w:r>
    </w:p>
    <w:p>
      <w:pPr>
        <w:spacing w:after="120" w:line="300"/>
        <w:jc w:val="both"/>
      </w:pPr>
      <w:r>
        <w:rPr>
          <w:rFonts w:ascii="Calibri" w:cs="Calibri" w:eastAsia="Calibri" w:hAnsi="Calibri"/>
          <w:sz w:val="22"/>
          <w:szCs w:val="22"/>
        </w:rPr>
        <w:t xml:space="preserve">Centers for Medicare &amp; Medicaid Services. Medicare Geographic Variation Public Use File and Medicare Monthly Enrollment, December 2025.</w:t>
      </w:r>
    </w:p>
    <w:p>
      <w:pPr>
        <w:spacing w:after="120" w:line="300"/>
        <w:jc w:val="both"/>
      </w:pPr>
      <w:r>
        <w:rPr>
          <w:rFonts w:ascii="Calibri" w:cs="Calibri" w:eastAsia="Calibri" w:hAnsi="Calibri"/>
          <w:sz w:val="22"/>
          <w:szCs w:val="22"/>
        </w:rPr>
        <w:t xml:space="preserve">US Department of Health and Human Services, ASPR. emPOWER Map. Accessed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April 2026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Alexander Lab  •  Climate-Disability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8B1A1A"/>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Overview and Proposal — Electricity-Dependent Disability and Climate Hazard Convergence</dc:title>
  <dc:creator>Alexander Lab</dc:creator>
  <cp:lastModifiedBy>Un-named</cp:lastModifiedBy>
  <cp:revision>1</cp:revision>
  <dcterms:created xsi:type="dcterms:W3CDTF">2026-04-26T04:36:57.414Z</dcterms:created>
  <dcterms:modified xsi:type="dcterms:W3CDTF">2026-04-26T04:36:57.414Z</dcterms:modified>
</cp:coreProperties>
</file>

<file path=docProps/custom.xml><?xml version="1.0" encoding="utf-8"?>
<Properties xmlns="http://schemas.openxmlformats.org/officeDocument/2006/custom-properties" xmlns:vt="http://schemas.openxmlformats.org/officeDocument/2006/docPropsVTypes"/>
</file>