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01 — Vision &amp; Principles</w:t>
      </w:r>
    </w:p>
    <w:p>
      <w:pPr>
        <w:pStyle w:val="FirstParagraph"/>
      </w:pPr>
      <w:r>
        <w:t xml:space="preserve">Audience: PM, all team members</w:t>
      </w:r>
      <w:r>
        <w:t xml:space="preserve"> </w:t>
      </w:r>
      <w:r>
        <w:t xml:space="preserve">Status: Stable</w:t>
      </w:r>
      <w:r>
        <w:t xml:space="preserve"> </w:t>
      </w:r>
      <w:r>
        <w:t xml:space="preserve">Sources: chat2.md §Brehon-law mapping, §core principle, §final system summary; chat1.md §0 crate plan (for scope framing)</w:t>
      </w:r>
    </w:p>
    <w:p>
      <w:pPr>
        <w:pStyle w:val="Heading1"/>
      </w:pPr>
      <w:r>
        <w:t xml:space="preserve">1. Problem statement</w:t>
      </w:r>
    </w:p>
    <w:p>
      <w:pPr>
        <w:pStyle w:val="FirstParagraph"/>
      </w:pPr>
      <w:r>
        <w:t xml:space="preserve">Existing online-community platforms concentrate moderation power in a small number of admins/moderators whose decisions are opaque, reversible only at their discretion, and brittle at scale. Grassroots organisations — activist groups, mutual-aid networks, cooperatives, movement platforms — need a space for discussion and coordination that is: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Federated</w:t>
      </w:r>
      <w:r>
        <w:t xml:space="preserve"> </w:t>
      </w:r>
      <w:r>
        <w:t xml:space="preserve">so no single host controls the whole network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Procedurally legitimate</w:t>
      </w:r>
      <w:r>
        <w:t xml:space="preserve"> </w:t>
      </w:r>
      <w:r>
        <w:t xml:space="preserve">so moderation decisions can be trusted by members and outside observers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Resistant to capture</w:t>
      </w:r>
      <w:r>
        <w:t xml:space="preserve"> </w:t>
      </w:r>
      <w:r>
        <w:t xml:space="preserve">by bad-faith minorities (brigading, sybil attacks) and by would-be elites (cliques, admin overreach)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Restorative</w:t>
      </w:r>
      <w:r>
        <w:t xml:space="preserve"> </w:t>
      </w:r>
      <w:r>
        <w:t xml:space="preserve">rather than punitive, so members can rejoin after mistakes</w:t>
      </w:r>
    </w:p>
    <w:p>
      <w:pPr>
        <w:pStyle w:val="Heading1"/>
      </w:pPr>
      <w:r>
        <w:t xml:space="preserve">2. Target users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Grassroots organisations</w:t>
      </w:r>
      <w:r>
        <w:t xml:space="preserve"> </w:t>
      </w:r>
      <w:r>
        <w:t xml:space="preserve">running their own community instance (the</w:t>
      </w:r>
      <w:r>
        <w:t xml:space="preserve"> </w:t>
      </w:r>
      <w:r>
        <w:t xml:space="preserve">“túath”</w:t>
      </w:r>
      <w:r>
        <w:t xml:space="preserve"> </w:t>
      </w:r>
      <w:r>
        <w:t xml:space="preserve">— one Lemmy instance = one self-governing community cluster)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Members</w:t>
      </w:r>
      <w:r>
        <w:t xml:space="preserve"> </w:t>
      </w:r>
      <w:r>
        <w:t xml:space="preserve">participating in one or more communities and potentially serving on juries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Federation operators</w:t>
      </w:r>
      <w:r>
        <w:t xml:space="preserve"> </w:t>
      </w:r>
      <w:r>
        <w:t xml:space="preserve">running instances that peer with others under shared-but-overrideable norms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External observers</w:t>
      </w:r>
      <w:r>
        <w:t xml:space="preserve"> </w:t>
      </w:r>
      <w:r>
        <w:t xml:space="preserve">(journalists, researchers, members-of-members) who want to audit moderation outcomes</w:t>
      </w:r>
    </w:p>
    <w:p>
      <w:pPr>
        <w:pStyle w:val="Heading1"/>
      </w:pPr>
      <w:r>
        <w:t xml:space="preserve">3. Core principle</w:t>
      </w:r>
    </w:p>
    <w:p>
      <w:pPr>
        <w:pStyle w:val="BlockText"/>
      </w:pPr>
      <w:r>
        <w:rPr>
          <w:b/>
          <w:bCs/>
        </w:rPr>
        <w:t xml:space="preserve">Justice is not enforced by a state, but by social trust, reputation, and mutual obligation.</w:t>
      </w:r>
    </w:p>
    <w:p>
      <w:pPr>
        <w:pStyle w:val="FirstParagraph"/>
      </w:pPr>
      <w:r>
        <w:t xml:space="preserve">This is the philosophical anchor drawn from early Irish Brehon law. There are no police and no prisons in the system; enforcement is a combination of reputation loss, graduated exclusion, and restitution. Identity is anchored in relationships (sponsorship), so bad behaviour ripples through the network rather than living in an anonymous account.</w:t>
      </w:r>
    </w:p>
    <w:p>
      <w:pPr>
        <w:pStyle w:val="BodyText"/>
      </w:pPr>
      <w:r>
        <w:t xml:space="preserve">Four non-negotiable anchor rules follow from this: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Trust is granted by people, not the system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Trust always carries risk</w:t>
      </w:r>
      <w:r>
        <w:t xml:space="preserve"> </w:t>
      </w:r>
      <w:r>
        <w:t xml:space="preserve">(both for the trusted and for the person extending trust)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Influence must be earned slowly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Bad actions propagate through relationships</w:t>
      </w:r>
    </w:p>
    <w:p>
      <w:pPr>
        <w:pStyle w:val="FirstParagraph"/>
      </w:pPr>
      <w:r>
        <w:t xml:space="preserve">Everything in the domain model, data model, and delivery plan enforces these.</w:t>
      </w:r>
    </w:p>
    <w:p>
      <w:pPr>
        <w:pStyle w:val="Heading1"/>
      </w:pPr>
      <w:r>
        <w:t xml:space="preserve">4. The nine Brehon principles mapped to platform mechanics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4"/>
        <w:gridCol w:w="2545"/>
        <w:gridCol w:w="2687"/>
        <w:gridCol w:w="2262"/>
      </w:tblGrid>
      <w:tr>
        <w:trPr>
          <w:tblHeader w:val="on"/>
        </w:trPr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  <w:shd w:val="clear" w:color="auto" w:fill="E8E8E8"/>
          </w:tcPr>
          <w:p>
            <w:pPr>
              <w:pStyle w:val="NoSpacing"/>
            </w:pPr>
            <w:r>
              <w:t xml:space="preserve">#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  <w:shd w:val="clear" w:color="auto" w:fill="E8E8E8"/>
          </w:tcPr>
          <w:p>
            <w:pPr>
              <w:pStyle w:val="NoSpacing"/>
            </w:pPr>
            <w:r>
              <w:t xml:space="preserve">Brehon principle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  <w:shd w:val="clear" w:color="auto" w:fill="E8E8E8"/>
          </w:tcPr>
          <w:p>
            <w:pPr>
              <w:pStyle w:val="NoSpacing"/>
            </w:pPr>
            <w:r>
              <w:t xml:space="preserve">Platform mechanic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  <w:shd w:val="clear" w:color="auto" w:fill="E8E8E8"/>
          </w:tcPr>
          <w:p>
            <w:pPr>
              <w:pStyle w:val="NoSpacing"/>
            </w:pPr>
            <w:r>
              <w:t xml:space="preserve">Why it matters</w:t>
            </w:r>
          </w:p>
        </w:tc>
      </w:tr>
      <w:tr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1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rPr>
                <w:b/>
                <w:bCs/>
              </w:rPr>
              <w:t xml:space="preserve">Honor price</w:t>
            </w:r>
            <w:r>
              <w:t xml:space="preserve"> </w:t>
            </w:r>
            <w:r>
              <w:t xml:space="preserve">— every person had a</w:t>
            </w:r>
            <w:r>
              <w:t xml:space="preserve"> </w:t>
            </w:r>
            <w:r>
              <w:t xml:space="preserve">“status value”</w:t>
            </w:r>
            <w:r>
              <w:t xml:space="preserve"> </w:t>
            </w:r>
            <w:r>
              <w:t xml:space="preserve">they could lose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rPr>
                <w:b/>
                <w:bCs/>
              </w:rPr>
              <w:t xml:space="preserve">Reputation as stake at risk.</w:t>
            </w:r>
            <w:r>
              <w:t xml:space="preserve"> </w:t>
            </w:r>
            <w:r>
              <w:t xml:space="preserve">Users accumulate social capital and lose weighted portions when they act in bad faith. High-trust users suffer</w:t>
            </w:r>
            <w:r>
              <w:t xml:space="preserve"> </w:t>
            </w:r>
            <w:r>
              <w:rPr>
                <w:i/>
                <w:iCs/>
              </w:rPr>
              <w:t xml:space="preserve">bigger</w:t>
            </w:r>
            <w:r>
              <w:t xml:space="preserve"> </w:t>
            </w:r>
            <w:r>
              <w:t xml:space="preserve">consequences when wrong.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Prevents elite abuse — the more influence you earn, the more you have to lose</w:t>
            </w:r>
          </w:p>
        </w:tc>
      </w:tr>
      <w:tr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2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rPr>
                <w:b/>
                <w:bCs/>
              </w:rPr>
              <w:t xml:space="preserve">Sureties</w:t>
            </w:r>
            <w:r>
              <w:t xml:space="preserve"> </w:t>
            </w:r>
            <w:r>
              <w:t xml:space="preserve">— guarantors backed individuals’ legal standing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rPr>
                <w:b/>
                <w:bCs/>
              </w:rPr>
              <w:t xml:space="preserve">Sponsorship / vouching system.</w:t>
            </w:r>
            <w:r>
              <w:t xml:space="preserve"> </w:t>
            </w:r>
            <w:r>
              <w:t xml:space="preserve">New users join via sponsorship. If a user is sanctioned, their sponsors take a proportional reputation hit.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Creates accountability chains; defends against fake-account farms; builds organic trust networks</w:t>
            </w:r>
          </w:p>
        </w:tc>
      </w:tr>
      <w:tr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3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rPr>
                <w:b/>
                <w:bCs/>
              </w:rPr>
              <w:t xml:space="preserve">Kin groups (fine)</w:t>
            </w:r>
            <w:r>
              <w:t xml:space="preserve"> </w:t>
            </w:r>
            <w:r>
              <w:t xml:space="preserve">— layered loyalties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rPr>
                <w:b/>
                <w:bCs/>
              </w:rPr>
              <w:t xml:space="preserve">Nested communities / trust circles.</w:t>
            </w:r>
            <w:r>
              <w:t xml:space="preserve"> </w:t>
            </w:r>
            <w:r>
              <w:t xml:space="preserve">Users belong to a local community (primary trust) and optional federated alliances (secondary). Moderation starts local and only escalates outward when needed.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Prevents global mob dynamics; keeps decisions close to context</w:t>
            </w:r>
          </w:p>
        </w:tc>
      </w:tr>
      <w:tr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4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rPr>
                <w:b/>
                <w:bCs/>
              </w:rPr>
              <w:t xml:space="preserve">Brehons</w:t>
            </w:r>
            <w:r>
              <w:t xml:space="preserve"> </w:t>
            </w:r>
            <w:r>
              <w:t xml:space="preserve">— experts who interpret law, not rulers who enforce it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rPr>
                <w:b/>
                <w:bCs/>
              </w:rPr>
              <w:t xml:space="preserve">Weighted juries (not elites).</w:t>
            </w:r>
            <w:r>
              <w:t xml:space="preserve"> </w:t>
            </w:r>
            <w:r>
              <w:t xml:space="preserve">Jury members are randomly selected from an eligible pool, with experienced jurors carrying</w:t>
            </w:r>
            <w:r>
              <w:t xml:space="preserve"> </w:t>
            </w:r>
            <w:r>
              <w:rPr>
                <w:i/>
                <w:iCs/>
              </w:rPr>
              <w:t xml:space="preserve">slightly</w:t>
            </w:r>
            <w:r>
              <w:t xml:space="preserve"> </w:t>
            </w:r>
            <w:r>
              <w:t xml:space="preserve">higher weight — never absolute authority.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Expertise without centralisation; no permanent judicial class</w:t>
            </w:r>
          </w:p>
        </w:tc>
      </w:tr>
      <w:tr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5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rPr>
                <w:b/>
                <w:bCs/>
              </w:rPr>
              <w:t xml:space="preserve">Restitution over punishment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rPr>
                <w:b/>
                <w:bCs/>
              </w:rPr>
              <w:t xml:space="preserve">Restorative actions</w:t>
            </w:r>
            <w:r>
              <w:t xml:space="preserve"> </w:t>
            </w:r>
            <w:r>
              <w:t xml:space="preserve">— apology, content correction, temporary visibility limits, community service (e.g. moderation duty) — applied before bans.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Keeps people inside the system rather than ejecting them</w:t>
            </w:r>
          </w:p>
        </w:tc>
      </w:tr>
      <w:tr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6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rPr>
                <w:b/>
                <w:bCs/>
              </w:rPr>
              <w:t xml:space="preserve">Public, known laws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rPr>
                <w:b/>
                <w:bCs/>
              </w:rPr>
              <w:t xml:space="preserve">Explicit, versioned rule sets</w:t>
            </w:r>
            <w:r>
              <w:t xml:space="preserve"> </w:t>
            </w:r>
            <w:r>
              <w:t xml:space="preserve">per community. Every moderation case cites the rule used and the interpretation applied.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Eliminates the</w:t>
            </w:r>
            <w:r>
              <w:t xml:space="preserve"> </w:t>
            </w:r>
            <w:r>
              <w:t xml:space="preserve">“hidden rules”</w:t>
            </w:r>
            <w:r>
              <w:t xml:space="preserve"> </w:t>
            </w:r>
            <w:r>
              <w:t xml:space="preserve">problem</w:t>
            </w:r>
          </w:p>
        </w:tc>
      </w:tr>
      <w:tr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7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rPr>
                <w:b/>
                <w:bCs/>
              </w:rPr>
              <w:t xml:space="preserve">Collective enforcement</w:t>
            </w:r>
            <w:r>
              <w:t xml:space="preserve"> </w:t>
            </w:r>
            <w:r>
              <w:t xml:space="preserve">— no central police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rPr>
                <w:b/>
                <w:bCs/>
              </w:rPr>
              <w:t xml:space="preserve">Soft-enforcement ladder:</w:t>
            </w:r>
            <w:r>
              <w:t xml:space="preserve"> </w:t>
            </w:r>
            <w:r>
              <w:t xml:space="preserve">label → reduced reach → temporary restriction → community exclusion → federation-level isolation. Mirrors</w:t>
            </w:r>
            <w:r>
              <w:t xml:space="preserve"> </w:t>
            </w:r>
            <w:r>
              <w:t xml:space="preserve">“you’re no longer trusted to trade with.”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Graduated, proportional, reversible</w:t>
            </w:r>
          </w:p>
        </w:tc>
      </w:tr>
      <w:tr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8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rPr>
                <w:b/>
                <w:bCs/>
              </w:rPr>
              <w:t xml:space="preserve">Inter-tribal law (túatha)</w:t>
            </w:r>
            <w:r>
              <w:t xml:space="preserve"> </w:t>
            </w:r>
            <w:r>
              <w:t xml:space="preserve">— tribes had own rules but recognised shared norms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rPr>
                <w:b/>
                <w:bCs/>
              </w:rPr>
              <w:t xml:space="preserve">Federated trust agreements</w:t>
            </w:r>
            <w:r>
              <w:t xml:space="preserve"> </w:t>
            </w:r>
            <w:r>
              <w:t xml:space="preserve">between instances. Shared standards and mutual recognition of sanctions, with per-community override.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Formalises what Mastodon-style federation leaves ad-hoc</w:t>
            </w:r>
          </w:p>
        </w:tc>
      </w:tr>
      <w:tr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9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rPr>
                <w:b/>
                <w:bCs/>
              </w:rPr>
              <w:t xml:space="preserve">Status loss as deterrent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rPr>
                <w:b/>
                <w:bCs/>
              </w:rPr>
              <w:t xml:space="preserve">Visible trust signals</w:t>
            </w:r>
            <w:r>
              <w:t xml:space="preserve"> </w:t>
            </w:r>
            <w:r>
              <w:t xml:space="preserve">instead of hidden scores:</w:t>
            </w:r>
            <w:r>
              <w:t xml:space="preserve"> </w:t>
            </w:r>
            <w:r>
              <w:t xml:space="preserve">“trusted juror”</w:t>
            </w:r>
            <w:r>
              <w:t xml:space="preserve">,</w:t>
            </w:r>
            <w:r>
              <w:t xml:space="preserve"> </w:t>
            </w:r>
            <w:r>
              <w:t xml:space="preserve">“reliable reporter”</w:t>
            </w:r>
            <w:r>
              <w:t xml:space="preserve">,</w:t>
            </w:r>
            <w:r>
              <w:t xml:space="preserve"> </w:t>
            </w:r>
            <w:r>
              <w:t xml:space="preserve">“under sanction”</w:t>
            </w:r>
            <w:r>
              <w:t xml:space="preserve">.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Social consequences, not hidden algorithms</w:t>
            </w:r>
          </w:p>
        </w:tc>
      </w:tr>
    </w:tbl>
    <w:p>
      <w:pPr>
        <w:pStyle w:val="Heading1"/>
      </w:pPr>
      <w:r>
        <w:t xml:space="preserve">5. Baseline policy parameters</w:t>
      </w:r>
    </w:p>
    <w:p>
      <w:pPr>
        <w:pStyle w:val="FirstParagraph"/>
      </w:pPr>
      <w:r>
        <w:t xml:space="preserve">These are the v0 numbers the team should implement first. They are tuneable; they are not guesses. See 02-domain-model.md for the conceptual model and 05-mvp-and-delivery-plan.md for when each gets wired up.</w:t>
      </w:r>
    </w:p>
    <w:p>
      <w:pPr>
        <w:pStyle w:val="Heading2"/>
      </w:pPr>
      <w:r>
        <w:t xml:space="preserve">5.1 Onboarding</w:t>
      </w:r>
    </w:p>
    <w:p>
      <w:pPr>
        <w:pStyle w:val="Compact"/>
        <w:numPr>
          <w:ilvl w:val="0"/>
          <w:numId w:val="1004"/>
        </w:numPr>
      </w:pPr>
      <w:r>
        <w:t xml:space="preserve">New user must satisfy one of: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Option A (primary): Sponsored entry</w:t>
      </w:r>
      <w:r>
        <w:t xml:space="preserve"> </w:t>
      </w:r>
      <w:r>
        <w:t xml:space="preserve">— 2 sponsors required; each sponsor must be a Member for at least 30 days and not currently under sanction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Option B (fallback): Time-based entry</w:t>
      </w:r>
      <w:r>
        <w:t xml:space="preserve"> </w:t>
      </w:r>
      <w:r>
        <w:t xml:space="preserve">— limited-privilege account that gains capabilities over time</w:t>
      </w:r>
    </w:p>
    <w:p>
      <w:pPr>
        <w:pStyle w:val="Compact"/>
        <w:numPr>
          <w:ilvl w:val="0"/>
          <w:numId w:val="1004"/>
        </w:numPr>
      </w:pPr>
      <w:r>
        <w:t xml:space="preserve">Max active endorsements per sponsor:</w:t>
      </w:r>
      <w:r>
        <w:t xml:space="preserve"> </w:t>
      </w:r>
      <w:r>
        <w:rPr>
          <w:b/>
          <w:bCs/>
        </w:rPr>
        <w:t xml:space="preserve">5</w:t>
      </w:r>
    </w:p>
    <w:p>
      <w:pPr>
        <w:pStyle w:val="Compact"/>
        <w:numPr>
          <w:ilvl w:val="0"/>
          <w:numId w:val="1004"/>
        </w:numPr>
      </w:pPr>
      <w:r>
        <w:t xml:space="preserve">Cooldown between endorsements:</w:t>
      </w:r>
      <w:r>
        <w:t xml:space="preserve"> </w:t>
      </w:r>
      <w:r>
        <w:rPr>
          <w:b/>
          <w:bCs/>
        </w:rPr>
        <w:t xml:space="preserve">48 hours</w:t>
      </w:r>
    </w:p>
    <w:p>
      <w:pPr>
        <w:pStyle w:val="Compact"/>
        <w:numPr>
          <w:ilvl w:val="0"/>
          <w:numId w:val="1004"/>
        </w:numPr>
      </w:pPr>
      <w:r>
        <w:t xml:space="preserve">Sponsor must have clean recent history and sufficient reputation to sponsor</w:t>
      </w:r>
    </w:p>
    <w:p>
      <w:pPr>
        <w:pStyle w:val="Heading2"/>
      </w:pPr>
      <w:r>
        <w:t xml:space="preserve">5.2 Sponsor liability (when sponsee misbehaves)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  <w:shd w:val="clear" w:color="auto" w:fill="E8E8E8"/>
          </w:tcPr>
          <w:p>
            <w:pPr>
              <w:pStyle w:val="NoSpacing"/>
            </w:pPr>
            <w:r>
              <w:t xml:space="preserve">Sponsee violation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  <w:shd w:val="clear" w:color="auto" w:fill="E8E8E8"/>
          </w:tcPr>
          <w:p>
            <w:pPr>
              <w:pStyle w:val="NoSpacing"/>
            </w:pPr>
            <w:r>
              <w:t xml:space="preserve">Sponsor reputation impact</w:t>
            </w:r>
          </w:p>
        </w:tc>
      </w:tr>
      <w:tr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Minor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−1%</w:t>
            </w:r>
          </w:p>
        </w:tc>
      </w:tr>
      <w:tr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Moderate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−5%</w:t>
            </w:r>
          </w:p>
        </w:tc>
      </w:tr>
      <w:tr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Severe (ban-level)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−10% to −20%</w:t>
            </w:r>
          </w:p>
        </w:tc>
      </w:tr>
    </w:tbl>
    <w:p>
      <w:pPr>
        <w:pStyle w:val="BodyText"/>
      </w:pPr>
      <w:r>
        <w:t xml:space="preserve">Impact is</w:t>
      </w:r>
      <w:r>
        <w:t xml:space="preserve"> </w:t>
      </w:r>
      <w:r>
        <w:rPr>
          <w:b/>
          <w:bCs/>
        </w:rPr>
        <w:t xml:space="preserve">split across sponsors</w:t>
      </w:r>
      <w:r>
        <w:t xml:space="preserve">. Sponsors may revoke endorsement early to reduce their exposure. Repeated bad sponsorship disables the ability to sponsor further.</w:t>
      </w:r>
    </w:p>
    <w:p>
      <w:pPr>
        <w:pStyle w:val="Heading2"/>
      </w:pPr>
      <w:r>
        <w:t xml:space="preserve">5.3 Reputation dimensions (four; no single score)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  <w:shd w:val="clear" w:color="auto" w:fill="E8E8E8"/>
          </w:tcPr>
          <w:p>
            <w:pPr>
              <w:pStyle w:val="NoSpacing"/>
            </w:pPr>
            <w:r>
              <w:t xml:space="preserve">Dimension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  <w:shd w:val="clear" w:color="auto" w:fill="E8E8E8"/>
          </w:tcPr>
          <w:p>
            <w:pPr>
              <w:pStyle w:val="NoSpacing"/>
            </w:pPr>
            <w:r>
              <w:t xml:space="preserve">Purpose</w:t>
            </w:r>
          </w:p>
        </w:tc>
      </w:tr>
      <w:tr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Reporting accuracy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Trust in flagging</w:t>
            </w:r>
          </w:p>
        </w:tc>
      </w:tr>
      <w:tr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Jury reliability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Trust in decisions</w:t>
            </w:r>
          </w:p>
        </w:tc>
      </w:tr>
      <w:tr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Participation consistency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Engagement quality</w:t>
            </w:r>
          </w:p>
        </w:tc>
      </w:tr>
      <w:tr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Endorsement strength (sponsorship quality)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Trust in vouching</w:t>
            </w:r>
          </w:p>
        </w:tc>
      </w:tr>
    </w:tbl>
    <w:p>
      <w:pPr>
        <w:pStyle w:val="BodyText"/>
      </w:pPr>
      <w:r>
        <w:t xml:space="preserve">Reputation is</w:t>
      </w:r>
      <w:r>
        <w:t xml:space="preserve"> </w:t>
      </w:r>
      <w:r>
        <w:rPr>
          <w:b/>
          <w:bCs/>
        </w:rPr>
        <w:t xml:space="preserve">event-sourced</w:t>
      </w:r>
      <w:r>
        <w:t xml:space="preserve">: every action writes an event, snapshots are recomputed. Positive reputation decays slowly (≈ −10% per 90 days). Negative reputation decays slower or requires corrective action. No permanent elites; no permanent outcasts.</w:t>
      </w:r>
    </w:p>
    <w:p>
      <w:pPr>
        <w:pStyle w:val="Heading2"/>
      </w:pPr>
      <w:r>
        <w:t xml:space="preserve">5.4 Capability thresholds (abilities, not scores)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  <w:shd w:val="clear" w:color="auto" w:fill="E8E8E8"/>
          </w:tcPr>
          <w:p>
            <w:pPr>
              <w:pStyle w:val="NoSpacing"/>
            </w:pPr>
            <w:r>
              <w:t xml:space="preserve">Capability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  <w:shd w:val="clear" w:color="auto" w:fill="E8E8E8"/>
          </w:tcPr>
          <w:p>
            <w:pPr>
              <w:pStyle w:val="NoSpacing"/>
            </w:pPr>
            <w:r>
              <w:t xml:space="preserve">Requirement</w:t>
            </w:r>
          </w:p>
        </w:tc>
      </w:tr>
      <w:tr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Report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Basic membership</w:t>
            </w:r>
          </w:p>
        </w:tc>
      </w:tr>
      <w:tr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Weighted report (higher flagging weight)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High reporting accuracy</w:t>
            </w:r>
          </w:p>
        </w:tc>
      </w:tr>
      <w:tr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Jury eligibility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High jury reliability + member for ≥ 60 days</w:t>
            </w:r>
          </w:p>
        </w:tc>
      </w:tr>
      <w:tr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Sponsor others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High endorsement strength</w:t>
            </w:r>
          </w:p>
        </w:tc>
      </w:tr>
    </w:tbl>
    <w:p>
      <w:pPr>
        <w:pStyle w:val="Heading2"/>
      </w:pPr>
      <w:r>
        <w:t xml:space="preserve">5.5 Moderation escalation ladder (7 levels)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  <w:shd w:val="clear" w:color="auto" w:fill="E8E8E8"/>
          </w:tcPr>
          <w:p>
            <w:pPr>
              <w:pStyle w:val="NoSpacing"/>
            </w:pPr>
            <w:r>
              <w:t xml:space="preserve">Level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  <w:shd w:val="clear" w:color="auto" w:fill="E8E8E8"/>
          </w:tcPr>
          <w:p>
            <w:pPr>
              <w:pStyle w:val="NoSpacing"/>
            </w:pPr>
            <w:r>
              <w:t xml:space="preserve">Action</w:t>
            </w:r>
          </w:p>
        </w:tc>
      </w:tr>
      <w:tr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0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No action</w:t>
            </w:r>
          </w:p>
        </w:tc>
      </w:tr>
      <w:tr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1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Label (</w:t>
            </w:r>
            <w:r>
              <w:t xml:space="preserve">“under review”</w:t>
            </w:r>
            <w:r>
              <w:t xml:space="preserve">)</w:t>
            </w:r>
          </w:p>
        </w:tc>
      </w:tr>
      <w:tr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2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Limited visibility</w:t>
            </w:r>
          </w:p>
        </w:tc>
      </w:tr>
      <w:tr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3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Temporary restriction</w:t>
            </w:r>
          </w:p>
        </w:tc>
      </w:tr>
      <w:tr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4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Jury case</w:t>
            </w:r>
          </w:p>
        </w:tc>
      </w:tr>
      <w:tr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5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Community exclusion</w:t>
            </w:r>
          </w:p>
        </w:tc>
      </w:tr>
      <w:tr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6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Federation signal</w:t>
            </w:r>
          </w:p>
        </w:tc>
      </w:tr>
    </w:tbl>
    <w:p>
      <w:pPr>
        <w:pStyle w:val="Heading2"/>
      </w:pPr>
      <w:r>
        <w:t xml:space="preserve">5.6 Jury parameters (v1 target — MVP uses simplified set; see 05-mvp-and-delivery-plan.md)</w:t>
      </w:r>
    </w:p>
    <w:p>
      <w:pPr>
        <w:pStyle w:val="Compact"/>
        <w:numPr>
          <w:ilvl w:val="0"/>
          <w:numId w:val="1006"/>
        </w:numPr>
      </w:pPr>
      <w:r>
        <w:t xml:space="preserve">Jury size:</w:t>
      </w:r>
      <w:r>
        <w:t xml:space="preserve"> </w:t>
      </w:r>
      <w:r>
        <w:rPr>
          <w:b/>
          <w:bCs/>
        </w:rPr>
        <w:t xml:space="preserve">7</w:t>
      </w:r>
      <w:r>
        <w:t xml:space="preserve"> </w:t>
      </w:r>
      <w:r>
        <w:t xml:space="preserve">(MVP: 5, quorum 3)</w:t>
      </w:r>
    </w:p>
    <w:p>
      <w:pPr>
        <w:pStyle w:val="Compact"/>
        <w:numPr>
          <w:ilvl w:val="0"/>
          <w:numId w:val="1006"/>
        </w:numPr>
      </w:pPr>
      <w:r>
        <w:t xml:space="preserve">Eligibility: member ≥ 60 days, no active sanctions, sufficient jury reliability + participation</w:t>
      </w:r>
    </w:p>
    <w:p>
      <w:pPr>
        <w:pStyle w:val="Compact"/>
        <w:numPr>
          <w:ilvl w:val="0"/>
          <w:numId w:val="1006"/>
        </w:numPr>
      </w:pPr>
      <w:r>
        <w:t xml:space="preserve">Selection: random from eligible pool, weighted by reputation, with diversity constraints (no same-sponsor-cluster majority; community diversity where possible)</w:t>
      </w:r>
    </w:p>
    <w:p>
      <w:pPr>
        <w:pStyle w:val="Compact"/>
        <w:numPr>
          <w:ilvl w:val="0"/>
          <w:numId w:val="1006"/>
        </w:numPr>
      </w:pPr>
      <w:r>
        <w:t xml:space="preserve">Voting thresholds by case severity: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  <w:shd w:val="clear" w:color="auto" w:fill="E8E8E8"/>
          </w:tcPr>
          <w:p>
            <w:pPr>
              <w:pStyle w:val="NoSpacing"/>
            </w:pPr>
            <w:r>
              <w:t xml:space="preserve">Case type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  <w:shd w:val="clear" w:color="auto" w:fill="E8E8E8"/>
          </w:tcPr>
          <w:p>
            <w:pPr>
              <w:pStyle w:val="NoSpacing"/>
            </w:pPr>
            <w:r>
              <w:t xml:space="preserve">Rule</w:t>
            </w:r>
          </w:p>
        </w:tc>
      </w:tr>
      <w:tr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Minor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Simple majority</w:t>
            </w:r>
          </w:p>
        </w:tc>
      </w:tr>
      <w:tr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Moderate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60%</w:t>
            </w:r>
          </w:p>
        </w:tc>
      </w:tr>
      <w:tr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Severe</w:t>
            </w:r>
          </w:p>
        </w:tc>
        <w:tc>
          <w:tcPr>
            <w:tcBorders>
              <w:top w:sz="4" w:val="single" w:color="000000" w:space="0"/>
              <w:bottom w:sz="4" w:val="single" w:color="000000" w:space="0"/>
              <w:start w:sz="4" w:val="single" w:color="000000" w:space="0"/>
              <w:end w:sz="4" w:val="single" w:color="000000" w:space="0"/>
            </w:tcBorders>
          </w:tcPr>
          <w:p>
            <w:pPr>
              <w:pStyle w:val="NoSpacing"/>
            </w:pPr>
            <w:r>
              <w:t xml:space="preserve">75% supermajority</w:t>
            </w:r>
          </w:p>
        </w:tc>
      </w:tr>
    </w:tbl>
    <w:p>
      <w:pPr>
        <w:pStyle w:val="Heading2"/>
      </w:pPr>
      <w:r>
        <w:t xml:space="preserve">5.7 Appeals</w:t>
      </w:r>
    </w:p>
    <w:p>
      <w:pPr>
        <w:pStyle w:val="Compact"/>
        <w:numPr>
          <w:ilvl w:val="0"/>
          <w:numId w:val="1007"/>
        </w:numPr>
      </w:pPr>
      <w:r>
        <w:t xml:space="preserve">One guaranteed appeal per case</w:t>
      </w:r>
    </w:p>
    <w:p>
      <w:pPr>
        <w:pStyle w:val="Compact"/>
        <w:numPr>
          <w:ilvl w:val="0"/>
          <w:numId w:val="1007"/>
        </w:numPr>
      </w:pPr>
      <w:r>
        <w:t xml:space="preserve">Appeal heard by a</w:t>
      </w:r>
      <w:r>
        <w:t xml:space="preserve"> </w:t>
      </w:r>
      <w:r>
        <w:rPr>
          <w:b/>
          <w:bCs/>
        </w:rPr>
        <w:t xml:space="preserve">new, larger jury</w:t>
      </w:r>
    </w:p>
    <w:p>
      <w:pPr>
        <w:pStyle w:val="Compact"/>
        <w:numPr>
          <w:ilvl w:val="0"/>
          <w:numId w:val="1007"/>
        </w:numPr>
      </w:pPr>
      <w:r>
        <w:t xml:space="preserve">Previous jurors are excluded from the appeal panel</w:t>
      </w:r>
    </w:p>
    <w:p>
      <w:pPr>
        <w:pStyle w:val="Compact"/>
        <w:numPr>
          <w:ilvl w:val="0"/>
          <w:numId w:val="1007"/>
        </w:numPr>
      </w:pPr>
      <w:r>
        <w:t xml:space="preserve">If the appeal overturns the original decision, the original jurors lose reputation on the Jury Reliability dimension</w:t>
      </w:r>
    </w:p>
    <w:p>
      <w:pPr>
        <w:pStyle w:val="Heading1"/>
      </w:pPr>
      <w:r>
        <w:t xml:space="preserve">6. Non-goals</w:t>
      </w:r>
    </w:p>
    <w:p>
      <w:pPr>
        <w:pStyle w:val="FirstParagraph"/>
      </w:pPr>
      <w:r>
        <w:t xml:space="preserve">What this platform explicitly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try to be. These are committed decisions — see 99-decisions-and-open-questions.md for ADRs.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Not a token-based governance system.</w:t>
      </w:r>
      <w:r>
        <w:t xml:space="preserve"> </w:t>
      </w:r>
      <w:r>
        <w:t xml:space="preserve">No on-chain voting, no</w:t>
      </w:r>
      <w:r>
        <w:t xml:space="preserve"> </w:t>
      </w:r>
      <w:r>
        <w:t xml:space="preserve">“more tokens = more power”</w:t>
      </w:r>
      <w:r>
        <w:t xml:space="preserve">, no governance tokens. Token-weighted governance is incompatible with the Brehon principle that influence is earned slowly through relationships, not bought.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Not a blockchain-of-everything.</w:t>
      </w:r>
      <w:r>
        <w:t xml:space="preserve"> </w:t>
      </w:r>
      <w:r>
        <w:t xml:space="preserve">Blockchain is used only as</w:t>
      </w:r>
      <w:r>
        <w:t xml:space="preserve"> </w:t>
      </w:r>
      <w:r>
        <w:t xml:space="preserve">“public memory”</w:t>
      </w:r>
      <w:r>
        <w:t xml:space="preserve"> </w:t>
      </w:r>
      <w:r>
        <w:t xml:space="preserve">— append-only hashes of case decisions, rule changes, and federation sanctions for auditability. Identity, reputation, voting, and core logic all stay off-chain. See 07-operations-and-federation.md.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Not a replacement for traditional moderator tooling in one pass.</w:t>
      </w:r>
      <w:r>
        <w:t xml:space="preserve"> </w:t>
      </w:r>
      <w:r>
        <w:t xml:space="preserve">Existing Lemmy moderation pathways remain available as a compatibility layer during transition; jury-based decisions progressively gate severe actions.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Not permanent bans by default.</w:t>
      </w:r>
      <w:r>
        <w:t xml:space="preserve"> </w:t>
      </w:r>
      <w:r>
        <w:t xml:space="preserve">Reintegration paths exist for every sanction below the highest tier. Exclusion is a tool, not a reflex.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Not a single reputation score.</w:t>
      </w:r>
      <w:r>
        <w:t xml:space="preserve"> </w:t>
      </w:r>
      <w:r>
        <w:t xml:space="preserve">Reputation is multi-dimensional and exposed as capabilities, not as a leaderboard number.</w:t>
      </w:r>
    </w:p>
    <w:p>
      <w:pPr>
        <w:pStyle w:val="Heading1"/>
      </w:pPr>
      <w:r>
        <w:t xml:space="preserve">7. Success criteria</w:t>
      </w:r>
    </w:p>
    <w:p>
      <w:pPr>
        <w:pStyle w:val="FirstParagraph"/>
      </w:pPr>
      <w:r>
        <w:t xml:space="preserve">A v1 of this platform is considered successful when:</w:t>
      </w:r>
    </w:p>
    <w:p>
      <w:pPr>
        <w:pStyle w:val="Compact"/>
        <w:numPr>
          <w:ilvl w:val="0"/>
          <w:numId w:val="1009"/>
        </w:numPr>
      </w:pPr>
      <w:r>
        <w:t xml:space="preserve">A user can be reported, a case opened, a jury assembled, a decision reached, and a public log published —</w:t>
      </w:r>
      <w:r>
        <w:t xml:space="preserve"> </w:t>
      </w:r>
      <w:r>
        <w:rPr>
          <w:b/>
          <w:bCs/>
        </w:rPr>
        <w:t xml:space="preserve">end-to-end without direct admin action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public moderation log is readable by any member and shows, for every case: rule cited, decision, rationale (redacted), and appeal status.</w:t>
      </w:r>
    </w:p>
    <w:p>
      <w:pPr>
        <w:pStyle w:val="Compact"/>
        <w:numPr>
          <w:ilvl w:val="0"/>
          <w:numId w:val="1009"/>
        </w:numPr>
      </w:pPr>
      <w:r>
        <w:t xml:space="preserve">A new account cannot post, report, or sponsor until it has either two sponsors or has aged through the time-based fallback.</w:t>
      </w:r>
    </w:p>
    <w:p>
      <w:pPr>
        <w:pStyle w:val="Compact"/>
        <w:numPr>
          <w:ilvl w:val="0"/>
          <w:numId w:val="1009"/>
        </w:numPr>
      </w:pPr>
      <w:r>
        <w:t xml:space="preserve">A sponsor whose sponsee is sanctioned visibly loses reputation.</w:t>
      </w:r>
    </w:p>
    <w:p>
      <w:pPr>
        <w:pStyle w:val="Compact"/>
        <w:numPr>
          <w:ilvl w:val="0"/>
          <w:numId w:val="1009"/>
        </w:numPr>
      </w:pPr>
      <w:r>
        <w:t xml:space="preserve">At least one remote instance can federate moderation signals (sanction notice) and the receiving instance can apply, ignore, or quarantine them per local policy.</w:t>
      </w:r>
    </w:p>
    <w:p>
      <w:pPr>
        <w:pStyle w:val="Compact"/>
        <w:numPr>
          <w:ilvl w:val="0"/>
          <w:numId w:val="1009"/>
        </w:numPr>
      </w:pPr>
      <w:r>
        <w:t xml:space="preserve">An overturned appeal demonstrably reduces the original jurors’ Jury Reliability score.</w:t>
      </w:r>
    </w:p>
    <w:p>
      <w:pPr>
        <w:pStyle w:val="FirstParagraph"/>
      </w:pPr>
      <w:r>
        <w:t xml:space="preserve">These criteria are what 05-mvp-and-delivery-plan.md exists to deliver.</w:t>
      </w:r>
    </w:p>
    <w:p>
      <w:pPr>
        <w:pStyle w:val="Heading1"/>
      </w:pPr>
      <w:r>
        <w:t xml:space="preserve">8. Key tension to watch</w:t>
      </w:r>
    </w:p>
    <w:p>
      <w:pPr>
        <w:pStyle w:val="BlockText"/>
      </w:pPr>
      <w:r>
        <w:t xml:space="preserve">Brehon law worked because</w:t>
      </w:r>
      <w:r>
        <w:t xml:space="preserve"> </w:t>
      </w:r>
      <w:r>
        <w:rPr>
          <w:b/>
          <w:bCs/>
        </w:rPr>
        <w:t xml:space="preserve">people were embedded in relationships</w:t>
      </w:r>
      <w:r>
        <w:t xml:space="preserve">. Online systems fail because</w:t>
      </w:r>
      <w:r>
        <w:t xml:space="preserve"> </w:t>
      </w:r>
      <w:r>
        <w:rPr>
          <w:b/>
          <w:bCs/>
        </w:rPr>
        <w:t xml:space="preserve">identity is cheap and relationships are shallow</w:t>
      </w:r>
      <w:r>
        <w:t xml:space="preserve">.</w:t>
      </w:r>
    </w:p>
    <w:p>
      <w:pPr>
        <w:pStyle w:val="FirstParagraph"/>
      </w:pPr>
      <w:r>
        <w:t xml:space="preserve">The system must therefore:</w:t>
      </w:r>
    </w:p>
    <w:p>
      <w:pPr>
        <w:pStyle w:val="Compact"/>
        <w:numPr>
          <w:ilvl w:val="0"/>
          <w:numId w:val="1010"/>
        </w:numPr>
      </w:pPr>
      <w:r>
        <w:t xml:space="preserve">Make identity</w:t>
      </w:r>
      <w:r>
        <w:t xml:space="preserve"> </w:t>
      </w:r>
      <w:r>
        <w:rPr>
          <w:b/>
          <w:bCs/>
        </w:rPr>
        <w:t xml:space="preserve">costly to abandon</w:t>
      </w:r>
      <w:r>
        <w:t xml:space="preserve"> </w:t>
      </w:r>
      <w:r>
        <w:t xml:space="preserve">(sponsorship chains, reputation accumulation, visible trust signals)</w:t>
      </w:r>
    </w:p>
    <w:p>
      <w:pPr>
        <w:pStyle w:val="Compact"/>
        <w:numPr>
          <w:ilvl w:val="0"/>
          <w:numId w:val="1010"/>
        </w:numPr>
      </w:pPr>
      <w:r>
        <w:t xml:space="preserve">Make trust</w:t>
      </w:r>
      <w:r>
        <w:t xml:space="preserve"> </w:t>
      </w:r>
      <w:r>
        <w:rPr>
          <w:b/>
          <w:bCs/>
        </w:rPr>
        <w:t xml:space="preserve">slow to build</w:t>
      </w:r>
      <w:r>
        <w:t xml:space="preserve"> </w:t>
      </w:r>
      <w:r>
        <w:t xml:space="preserve">(time gates, dimensioned reputation, decay)</w:t>
      </w:r>
    </w:p>
    <w:p>
      <w:pPr>
        <w:pStyle w:val="Compact"/>
        <w:numPr>
          <w:ilvl w:val="0"/>
          <w:numId w:val="1010"/>
        </w:numPr>
      </w:pPr>
      <w:r>
        <w:t xml:space="preserve">Make reputation</w:t>
      </w:r>
      <w:r>
        <w:t xml:space="preserve"> </w:t>
      </w:r>
      <w:r>
        <w:rPr>
          <w:b/>
          <w:bCs/>
        </w:rPr>
        <w:t xml:space="preserve">worth protecting</w:t>
      </w:r>
      <w:r>
        <w:t xml:space="preserve"> </w:t>
      </w:r>
      <w:r>
        <w:t xml:space="preserve">(capabilities unlock with it, and sponsors share the risk)</w:t>
      </w:r>
    </w:p>
    <w:p>
      <w:pPr>
        <w:pStyle w:val="FirstParagraph"/>
      </w:pPr>
      <w:r>
        <w:t xml:space="preserve">Every design decision downstream — data model, jury algorithm, sanction ladder — is a knob on one of these three dials.</w:t>
      </w:r>
    </w:p>
    <w:p>
      <w:pPr>
        <w:pStyle w:val="Heading1"/>
      </w:pPr>
      <w:r>
        <w:t xml:space="preserve">9. One-line takeaway</w:t>
      </w:r>
    </w:p>
    <w:p>
      <w:pPr>
        <w:pStyle w:val="BlockText"/>
      </w:pPr>
      <w:r>
        <w:rPr>
          <w:b/>
          <w:bCs/>
        </w:rPr>
        <w:t xml:space="preserve">Trust is not given by the system — it is extended by other people, and risk is shared.</w:t>
      </w:r>
    </w:p>
    <w:sectPr w:rsidR="00DC2F36">
      <w:pgSz w:h="16838" w:w="11906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CFAEA3E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2200CB8A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00A99411"/>
    <w:multiLevelType w:val="multilevel"/>
    <w:tmpl w:val="92F09BD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3">
    <w:nsid w:val="0D216E48"/>
    <w:multiLevelType w:val="hybridMultilevel"/>
    <w:tmpl w:val="44084A7E"/>
    <w:lvl w:ilvl="0" w:tplc="5F6E942E">
      <w:start w:val="4"/>
      <w:numFmt w:val="bullet"/>
      <w:lvlText w:val="-"/>
      <w:lvlJc w:val="left"/>
      <w:pPr>
        <w:ind w:hanging="360" w:left="720"/>
      </w:pPr>
      <w:rPr>
        <w:rFonts w:ascii="Aptos" w:cstheme="minorBidi" w:eastAsiaTheme="minorHAnsi" w:hAnsi="Aptos" w:hint="default"/>
      </w:rPr>
    </w:lvl>
    <w:lvl w:ilvl="1" w:tentative="1" w:tplc="1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1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1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1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1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1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1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1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4483060A"/>
    <w:multiLevelType w:val="hybridMultilevel"/>
    <w:tmpl w:val="C630BB5C"/>
    <w:lvl w:ilvl="0" w:tplc="81CCE8D2">
      <w:start w:val="1"/>
      <w:numFmt w:val="decimal"/>
      <w:lvlText w:val="%1."/>
      <w:lvlJc w:val="left"/>
      <w:pPr>
        <w:ind w:hanging="360" w:left="360"/>
      </w:pPr>
    </w:lvl>
    <w:lvl w:ilvl="1" w:tentative="1" w:tplc="08090019">
      <w:start w:val="1"/>
      <w:numFmt w:val="lowerLetter"/>
      <w:lvlText w:val="%2."/>
      <w:lvlJc w:val="left"/>
      <w:pPr>
        <w:ind w:hanging="360" w:left="1080"/>
      </w:pPr>
    </w:lvl>
    <w:lvl w:ilvl="2" w:tentative="1" w:tplc="0809001B">
      <w:start w:val="1"/>
      <w:numFmt w:val="lowerRoman"/>
      <w:lvlText w:val="%3."/>
      <w:lvlJc w:val="right"/>
      <w:pPr>
        <w:ind w:hanging="180" w:left="1800"/>
      </w:pPr>
    </w:lvl>
    <w:lvl w:ilvl="3" w:tentative="1" w:tplc="0809000F">
      <w:start w:val="1"/>
      <w:numFmt w:val="decimal"/>
      <w:lvlText w:val="%4."/>
      <w:lvlJc w:val="left"/>
      <w:pPr>
        <w:ind w:hanging="360" w:left="2520"/>
      </w:pPr>
    </w:lvl>
    <w:lvl w:ilvl="4" w:tentative="1" w:tplc="08090019">
      <w:start w:val="1"/>
      <w:numFmt w:val="lowerLetter"/>
      <w:lvlText w:val="%5."/>
      <w:lvlJc w:val="left"/>
      <w:pPr>
        <w:ind w:hanging="360" w:left="3240"/>
      </w:pPr>
    </w:lvl>
    <w:lvl w:ilvl="5" w:tentative="1" w:tplc="0809001B">
      <w:start w:val="1"/>
      <w:numFmt w:val="lowerRoman"/>
      <w:lvlText w:val="%6."/>
      <w:lvlJc w:val="right"/>
      <w:pPr>
        <w:ind w:hanging="180" w:left="3960"/>
      </w:pPr>
    </w:lvl>
    <w:lvl w:ilvl="6" w:tentative="1" w:tplc="0809000F">
      <w:start w:val="1"/>
      <w:numFmt w:val="decimal"/>
      <w:lvlText w:val="%7."/>
      <w:lvlJc w:val="left"/>
      <w:pPr>
        <w:ind w:hanging="360" w:left="4680"/>
      </w:pPr>
    </w:lvl>
    <w:lvl w:ilvl="7" w:tentative="1" w:tplc="08090019">
      <w:start w:val="1"/>
      <w:numFmt w:val="lowerLetter"/>
      <w:lvlText w:val="%8."/>
      <w:lvlJc w:val="left"/>
      <w:pPr>
        <w:ind w:hanging="360" w:left="5400"/>
      </w:pPr>
    </w:lvl>
    <w:lvl w:ilvl="8" w:tentative="1" w:tplc="0809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5">
    <w:nsid w:val="4A8C15F6"/>
    <w:multiLevelType w:val="hybridMultilevel"/>
    <w:tmpl w:val="DC924934"/>
    <w:lvl w:ilvl="0" w:tplc="18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18090019">
      <w:start w:val="1"/>
      <w:numFmt w:val="lowerLetter"/>
      <w:lvlText w:val="%2."/>
      <w:lvlJc w:val="left"/>
      <w:pPr>
        <w:ind w:hanging="360" w:left="1440"/>
      </w:pPr>
    </w:lvl>
    <w:lvl w:ilvl="2" w:tentative="1" w:tplc="1809001B">
      <w:start w:val="1"/>
      <w:numFmt w:val="lowerRoman"/>
      <w:lvlText w:val="%3."/>
      <w:lvlJc w:val="right"/>
      <w:pPr>
        <w:ind w:hanging="180" w:left="2160"/>
      </w:pPr>
    </w:lvl>
    <w:lvl w:ilvl="3" w:tentative="1" w:tplc="1809000F">
      <w:start w:val="1"/>
      <w:numFmt w:val="decimal"/>
      <w:lvlText w:val="%4."/>
      <w:lvlJc w:val="left"/>
      <w:pPr>
        <w:ind w:hanging="360" w:left="2880"/>
      </w:pPr>
    </w:lvl>
    <w:lvl w:ilvl="4" w:tentative="1" w:tplc="18090019">
      <w:start w:val="1"/>
      <w:numFmt w:val="lowerLetter"/>
      <w:lvlText w:val="%5."/>
      <w:lvlJc w:val="left"/>
      <w:pPr>
        <w:ind w:hanging="360" w:left="3600"/>
      </w:pPr>
    </w:lvl>
    <w:lvl w:ilvl="5" w:tentative="1" w:tplc="1809001B">
      <w:start w:val="1"/>
      <w:numFmt w:val="lowerRoman"/>
      <w:lvlText w:val="%6."/>
      <w:lvlJc w:val="right"/>
      <w:pPr>
        <w:ind w:hanging="180" w:left="4320"/>
      </w:pPr>
    </w:lvl>
    <w:lvl w:ilvl="6" w:tentative="1" w:tplc="1809000F">
      <w:start w:val="1"/>
      <w:numFmt w:val="decimal"/>
      <w:lvlText w:val="%7."/>
      <w:lvlJc w:val="left"/>
      <w:pPr>
        <w:ind w:hanging="360" w:left="5040"/>
      </w:pPr>
    </w:lvl>
    <w:lvl w:ilvl="7" w:tentative="1" w:tplc="18090019">
      <w:start w:val="1"/>
      <w:numFmt w:val="lowerLetter"/>
      <w:lvlText w:val="%8."/>
      <w:lvlJc w:val="left"/>
      <w:pPr>
        <w:ind w:hanging="360" w:left="5760"/>
      </w:pPr>
    </w:lvl>
    <w:lvl w:ilvl="8" w:tentative="1" w:tplc="18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083260138" w:numId="1">
    <w:abstractNumId w:val="5"/>
  </w:num>
  <w:num w16cid:durableId="764496458" w:numId="2">
    <w:abstractNumId w:val="3"/>
  </w:num>
  <w:num w16cid:durableId="1269002455" w:numId="3">
    <w:abstractNumId w:val="0"/>
  </w:num>
  <w:num w16cid:durableId="15245711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0363184" w:numId="5">
    <w:abstractNumId w:val="1"/>
  </w:num>
  <w:num w16cid:durableId="1880508611" w:numId="6">
    <w:abstractNumId w:val="0"/>
  </w:num>
  <w:num w16cid:durableId="539320080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364941818" w:numId="8">
    <w:abstractNumId w:val="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98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778"/>
    <w:rsid w:val="001C5931"/>
    <w:rsid w:val="001D1B91"/>
    <w:rsid w:val="00240B03"/>
    <w:rsid w:val="005E268E"/>
    <w:rsid w:val="00610A0C"/>
    <w:rsid w:val="006A700D"/>
    <w:rsid w:val="00703D24"/>
    <w:rsid w:val="00775786"/>
    <w:rsid w:val="00865A3D"/>
    <w:rsid w:val="00917FD1"/>
    <w:rsid w:val="00971778"/>
    <w:rsid w:val="00A77E52"/>
    <w:rsid w:val="00BE0E0B"/>
    <w:rsid w:val="00DC2F36"/>
  </w:rsids>
  <w:themeFontLang w:val="en-IE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IE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Pr>
      <w:rFonts w:ascii="Calibri" w:hAnsi="Calibri"/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240B03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28"/>
      <w:szCs w:val="36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240B03"/>
    <w:pPr>
      <w:keepNext/>
      <w:keepLines/>
      <w:spacing w:after="24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4"/>
      <w:szCs w:val="28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971778"/>
    <w:pPr>
      <w:keepNext/>
      <w:keepLines/>
      <w:spacing w:after="24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971778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971778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971778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971778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971778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971778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240B03"/>
    <w:rPr>
      <w:rFonts w:asciiTheme="majorHAnsi" w:cstheme="majorBidi" w:eastAsiaTheme="majorEastAsia" w:hAnsiTheme="majorHAnsi"/>
      <w:color w:themeColor="accent1" w:themeShade="BF" w:val="0F4761"/>
      <w:sz w:val="28"/>
      <w:szCs w:val="36"/>
    </w:rPr>
  </w:style>
  <w:style w:customStyle="1" w:styleId="Heading2Char" w:type="character">
    <w:name w:val="Heading 2 Char"/>
    <w:basedOn w:val="DefaultParagraphFont"/>
    <w:link w:val="Heading2"/>
    <w:uiPriority w:val="9"/>
    <w:rsid w:val="00240B03"/>
    <w:rPr>
      <w:rFonts w:asciiTheme="majorHAnsi" w:cstheme="majorBidi" w:eastAsiaTheme="majorEastAsia" w:hAnsiTheme="majorHAnsi"/>
      <w:color w:themeColor="accent1" w:themeShade="BF" w:val="0F4761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971778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971778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971778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971778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971778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971778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971778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971778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971778"/>
    <w:rPr>
      <w:rFonts w:asciiTheme="majorHAnsi" w:cstheme="majorBidi" w:eastAsiaTheme="majorEastAsia" w:hAnsiTheme="majorHAnsi"/>
      <w:spacing w:val="-10"/>
      <w:kern w:val="28"/>
      <w:sz w:val="32"/>
      <w:szCs w:val="32"/>
    </w:rPr>
  </w:style>
  <w:style w:styleId="Subtitle" w:type="paragraph">
    <w:name w:val="Subtitle"/>
    <w:basedOn w:val="Normal"/>
    <w:next w:val="Normal"/>
    <w:link w:val="SubtitleChar"/>
    <w:uiPriority w:val="11"/>
    <w:qFormat/>
    <w:rsid w:val="0097177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97177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971778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971778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971778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971778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971778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971778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971778"/>
    <w:rPr>
      <w:b/>
      <w:bCs/>
      <w:smallCaps/>
      <w:color w:themeColor="accent1" w:themeShade="BF" w:val="0F4761"/>
      <w:spacing w:val="5"/>
    </w:rPr>
  </w:style>
  <w:style w:customStyle="1" w:styleId="SourceCode" w:type="paragraph">
    <w:name w:val="Source Code"/>
    <w:basedOn w:val="Normal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customStyle="1" w:styleId="NoSpacing1" w:type="paragraph">
    <w:name w:val="No Spacing1"/>
    <w:basedOn w:val="Normal"/>
    <w:pPr>
      <w:spacing w:after="0" w:line="240" w:lineRule="auto"/>
    </w:pPr>
  </w:style>
  <w:style w:customStyle="1" w:styleId="KeywordTok0" w:type="character">
    <w:name w:val="KeywordTok"/>
    <w:rPr>
      <w:b/>
      <w:color w:val="007020"/>
    </w:rPr>
  </w:style>
  <w:style w:customStyle="1" w:styleId="DataTypeTok0" w:type="character">
    <w:name w:val="DataTypeTok"/>
    <w:rPr>
      <w:color w:val="902000"/>
    </w:rPr>
  </w:style>
  <w:style w:customStyle="1" w:styleId="DecValTok0" w:type="character">
    <w:name w:val="DecValTok"/>
    <w:rPr>
      <w:color w:val="40A070"/>
    </w:rPr>
  </w:style>
  <w:style w:customStyle="1" w:styleId="BaseNTok0" w:type="character">
    <w:name w:val="BaseNTok"/>
    <w:rPr>
      <w:color w:val="40A070"/>
    </w:rPr>
  </w:style>
  <w:style w:customStyle="1" w:styleId="FloatTok0" w:type="character">
    <w:name w:val="FloatTok"/>
    <w:rPr>
      <w:color w:val="40A070"/>
    </w:rPr>
  </w:style>
  <w:style w:customStyle="1" w:styleId="ConstantTok0" w:type="character">
    <w:name w:val="ConstantTok"/>
    <w:rPr>
      <w:color w:val="880000"/>
    </w:rPr>
  </w:style>
  <w:style w:customStyle="1" w:styleId="CharTok0" w:type="character">
    <w:name w:val="CharTok"/>
    <w:rPr>
      <w:color w:val="4070A0"/>
    </w:rPr>
  </w:style>
  <w:style w:customStyle="1" w:styleId="SpecialCharTok0" w:type="character">
    <w:name w:val="SpecialCharTok"/>
    <w:rPr>
      <w:color w:val="4070A0"/>
    </w:rPr>
  </w:style>
  <w:style w:customStyle="1" w:styleId="StringTok0" w:type="character">
    <w:name w:val="StringTok"/>
    <w:rPr>
      <w:color w:val="4070A0"/>
    </w:rPr>
  </w:style>
  <w:style w:customStyle="1" w:styleId="VerbatimStringTok0" w:type="character">
    <w:name w:val="VerbatimStringTok"/>
    <w:rPr>
      <w:color w:val="4070A0"/>
    </w:rPr>
  </w:style>
  <w:style w:customStyle="1" w:styleId="SpecialStringTok0" w:type="character">
    <w:name w:val="SpecialStringTok"/>
    <w:rPr>
      <w:color w:val="BB6688"/>
    </w:rPr>
  </w:style>
  <w:style w:customStyle="1" w:styleId="ImportTok0" w:type="character">
    <w:name w:val="ImportTok"/>
    <w:rPr>
      <w:b/>
      <w:color w:val="008000"/>
    </w:rPr>
  </w:style>
  <w:style w:customStyle="1" w:styleId="CommentTok0" w:type="character">
    <w:name w:val="CommentTok"/>
    <w:rPr>
      <w:i/>
      <w:color w:val="60A0B0"/>
    </w:rPr>
  </w:style>
  <w:style w:customStyle="1" w:styleId="DocumentationTok0" w:type="character">
    <w:name w:val="DocumentationTok"/>
    <w:rPr>
      <w:i/>
      <w:color w:val="BA2121"/>
    </w:rPr>
  </w:style>
  <w:style w:customStyle="1" w:styleId="AnnotationTok0" w:type="character">
    <w:name w:val="AnnotationTok"/>
    <w:rPr>
      <w:b/>
      <w:i/>
      <w:color w:val="60A0B0"/>
    </w:rPr>
  </w:style>
  <w:style w:customStyle="1" w:styleId="CommentVarTok0" w:type="character">
    <w:name w:val="CommentVarTok"/>
    <w:rPr>
      <w:b/>
      <w:i/>
      <w:color w:val="60A0B0"/>
    </w:rPr>
  </w:style>
  <w:style w:customStyle="1" w:styleId="OtherTok0" w:type="character">
    <w:name w:val="OtherTok"/>
    <w:rPr>
      <w:color w:val="007020"/>
    </w:rPr>
  </w:style>
  <w:style w:customStyle="1" w:styleId="FunctionTok0" w:type="character">
    <w:name w:val="FunctionTok"/>
    <w:rPr>
      <w:color w:val="06287E"/>
    </w:rPr>
  </w:style>
  <w:style w:customStyle="1" w:styleId="VariableTok0" w:type="character">
    <w:name w:val="VariableTok"/>
    <w:rPr>
      <w:color w:val="19177C"/>
    </w:rPr>
  </w:style>
  <w:style w:customStyle="1" w:styleId="ControlFlowTok0" w:type="character">
    <w:name w:val="ControlFlowTok"/>
    <w:rPr>
      <w:b/>
      <w:color w:val="007020"/>
    </w:rPr>
  </w:style>
  <w:style w:customStyle="1" w:styleId="OperatorTok0" w:type="character">
    <w:name w:val="OperatorTok"/>
    <w:rPr>
      <w:color w:val="666666"/>
    </w:rPr>
  </w:style>
  <w:style w:customStyle="1" w:styleId="BuiltInTok0" w:type="character">
    <w:name w:val="BuiltInTok"/>
    <w:rPr>
      <w:color w:val="008000"/>
    </w:rPr>
  </w:style>
  <w:style w:customStyle="1" w:styleId="ExtensionTok0" w:type="character">
    <w:name w:val="ExtensionTok"/>
  </w:style>
  <w:style w:customStyle="1" w:styleId="PreprocessorTok0" w:type="character">
    <w:name w:val="PreprocessorTok"/>
    <w:rPr>
      <w:color w:val="BC7A00"/>
    </w:rPr>
  </w:style>
  <w:style w:customStyle="1" w:styleId="AttributeTok0" w:type="character">
    <w:name w:val="AttributeTok"/>
    <w:rPr>
      <w:color w:val="7D9029"/>
    </w:rPr>
  </w:style>
  <w:style w:customStyle="1" w:styleId="RegionMarkerTok0" w:type="character">
    <w:name w:val="RegionMarkerTok"/>
  </w:style>
  <w:style w:customStyle="1" w:styleId="InformationTok0" w:type="character">
    <w:name w:val="InformationTok"/>
    <w:rPr>
      <w:b/>
      <w:i/>
      <w:color w:val="60A0B0"/>
    </w:rPr>
  </w:style>
  <w:style w:customStyle="1" w:styleId="WarningTok0" w:type="character">
    <w:name w:val="WarningTok"/>
    <w:rPr>
      <w:b/>
      <w:i/>
      <w:color w:val="60A0B0"/>
    </w:rPr>
  </w:style>
  <w:style w:customStyle="1" w:styleId="AlertTok0" w:type="character">
    <w:name w:val="AlertTok"/>
    <w:rPr>
      <w:b/>
      <w:color w:val="FF0000"/>
    </w:rPr>
  </w:style>
  <w:style w:customStyle="1" w:styleId="ErrorTok0" w:type="character">
    <w:name w:val="ErrorTok"/>
    <w:rPr>
      <w:b/>
      <w:color w:val="FF0000"/>
    </w:rPr>
  </w:style>
  <w:style w:customStyle="1" w:styleId="NormalTok0" w:type="character">
    <w:name w:val="NormalTok"/>
  </w:style>
  <w:style w:customStyle="1" w:styleId="NoSpacing2" w:type="paragraph">
    <w:name w:val="No Spacing2"/>
    <w:basedOn w:val="Normal"/>
    <w:pPr>
      <w:spacing w:after="0" w:line="240" w:lineRule="auto"/>
    </w:pPr>
  </w:style>
  <w:style w:styleId="NoSpacing" w:type="paragraph">
    <w:name w:val="No Spacing"/>
    <w:uiPriority w:val="1"/>
    <w:qFormat/>
    <w:rsid w:val="00240B03"/>
    <w:pPr>
      <w:spacing w:after="0" w:line="240" w:lineRule="auto"/>
    </w:pPr>
    <w:rPr>
      <w:rFonts w:ascii="Calibri" w:hAnsi="Calibri"/>
      <w:sz w:val="22"/>
    </w:rPr>
  </w:style>
  <w:style w:customStyle="1" w:styleId="tablekey" w:type="paragraph">
    <w:name w:val="table key"/>
    <w:basedOn w:val="NoSpacing"/>
    <w:qFormat/>
    <w:rsid w:val="00240B03"/>
    <w:pPr>
      <w:spacing w:after="240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2420</Words>
  <Characters>15030</Characters>
  <Application>Microsoft Office Word</Application>
  <DocSecurity>0</DocSecurity>
  <Lines>238</Lines>
  <Paragraphs>82</Paragraphs>
  <ScaleCrop>false</ScaleCrop>
  <Company>University College Cork</Company>
  <LinksUpToDate>false</LinksUpToDate>
  <CharactersWithSpaces>17368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2026-04-14T19:31:58Z</dcterms:created>
  <dcterms:modified xsi:type="dcterms:W3CDTF">2026-04-14T19:31:58Z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