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Trust and Identity in Online Systems</w:t>
      </w:r>
    </w:p>
    <w:p>
      <w:pPr>
        <w:pStyle w:val="FirstParagraph"/>
      </w:pPr>
      <w:r>
        <w:t xml:space="preserve">Law worked because</w:t>
      </w:r>
      <w:r>
        <w:t xml:space="preserve"> </w:t>
      </w:r>
      <w:r>
        <w:rPr>
          <w:b/>
          <w:bCs/>
        </w:rPr>
        <w:t xml:space="preserve">people were embedded in relationships</w:t>
      </w:r>
      <w:r>
        <w:t xml:space="preserve">. Online systems fail because</w:t>
      </w:r>
      <w:r>
        <w:t xml:space="preserve"> </w:t>
      </w:r>
      <w:r>
        <w:rPr>
          <w:b/>
          <w:bCs/>
        </w:rPr>
        <w:t xml:space="preserve">identity is cheap and relationships are shallow</w:t>
      </w:r>
      <w:r>
        <w:t xml:space="preserve">.</w:t>
      </w:r>
    </w:p>
    <w:p>
      <w:pPr>
        <w:pStyle w:val="BodyText"/>
      </w:pPr>
      <w:r>
        <w:t xml:space="preserve">The system must therefore:</w:t>
      </w:r>
    </w:p>
    <w:p>
      <w:pPr>
        <w:pStyle w:val="Compact"/>
        <w:numPr>
          <w:ilvl w:val="0"/>
          <w:numId w:val="1001"/>
        </w:numPr>
      </w:pPr>
      <w:r>
        <w:t xml:space="preserve">Make identity</w:t>
      </w:r>
      <w:r>
        <w:t xml:space="preserve"> </w:t>
      </w:r>
      <w:r>
        <w:rPr>
          <w:b/>
          <w:bCs/>
        </w:rPr>
        <w:t xml:space="preserve">costly to abandon</w:t>
      </w:r>
      <w:r>
        <w:t xml:space="preserve"> </w:t>
      </w:r>
      <w:r>
        <w:t xml:space="preserve">(sponsorship chains, reputation accumulation, visible trust signals)</w:t>
      </w:r>
    </w:p>
    <w:p>
      <w:pPr>
        <w:pStyle w:val="Compact"/>
        <w:numPr>
          <w:ilvl w:val="0"/>
          <w:numId w:val="1001"/>
        </w:numPr>
      </w:pPr>
      <w:r>
        <w:t xml:space="preserve">Make trust</w:t>
      </w:r>
      <w:r>
        <w:t xml:space="preserve"> </w:t>
      </w:r>
      <w:r>
        <w:rPr>
          <w:b/>
          <w:bCs/>
        </w:rPr>
        <w:t xml:space="preserve">slow to build</w:t>
      </w:r>
      <w:r>
        <w:t xml:space="preserve"> </w:t>
      </w:r>
      <w:r>
        <w:t xml:space="preserve">(time gates, dimensioned reputation, decay)</w:t>
      </w:r>
    </w:p>
    <w:p>
      <w:pPr>
        <w:pStyle w:val="Compact"/>
        <w:numPr>
          <w:ilvl w:val="0"/>
          <w:numId w:val="1001"/>
        </w:numPr>
      </w:pPr>
      <w:r>
        <w:t xml:space="preserve">Make reputation</w:t>
      </w:r>
      <w:r>
        <w:t xml:space="preserve"> </w:t>
      </w:r>
      <w:r>
        <w:rPr>
          <w:b/>
          <w:bCs/>
        </w:rPr>
        <w:t xml:space="preserve">worth protecting</w:t>
      </w:r>
      <w:r>
        <w:t xml:space="preserve"> </w:t>
      </w:r>
      <w:r>
        <w:t xml:space="preserve">(capabilities unlock with it, and sponsors share the risk)</w:t>
      </w:r>
    </w:p>
    <w:p>
      <w:pPr>
        <w:pStyle w:val="FirstParagraph"/>
      </w:pPr>
      <w:r>
        <w:t xml:space="preserve">Every design decision downstream — data model, jury algorithm, sanction ladder — is a knob on one of these three dials.</w:t>
      </w:r>
    </w:p>
    <w:p>
      <w:pPr>
        <w:pStyle w:val="Heading1"/>
      </w:pPr>
      <w:r>
        <w:t xml:space="preserve">One-line takeaway</w:t>
      </w:r>
    </w:p>
    <w:p>
      <w:pPr>
        <w:pStyle w:val="BlockText"/>
      </w:pPr>
      <w:r>
        <w:rPr>
          <w:b/>
          <w:bCs/>
        </w:rPr>
        <w:t xml:space="preserve">Trust is not given by the system — it is extended by other people, and risk is shared.</w:t>
      </w:r>
    </w:p>
    <w:sectPr w:rsidR="00DC2F36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CFAEA3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2200CB8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92F09B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D216E48"/>
    <w:multiLevelType w:val="hybridMultilevel"/>
    <w:tmpl w:val="44084A7E"/>
    <w:lvl w:ilvl="0" w:tplc="5F6E942E">
      <w:start w:val="4"/>
      <w:numFmt w:val="bullet"/>
      <w:lvlText w:val="-"/>
      <w:lvlJc w:val="left"/>
      <w:pPr>
        <w:ind w:hanging="360" w:left="720"/>
      </w:pPr>
      <w:rPr>
        <w:rFonts w:ascii="Aptos" w:cstheme="minorBidi" w:eastAsiaTheme="minorHAnsi" w:hAnsi="Aptos" w:hint="default"/>
      </w:rPr>
    </w:lvl>
    <w:lvl w:ilvl="1" w:tentative="1" w:tplc="1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4483060A"/>
    <w:multiLevelType w:val="hybridMultilevel"/>
    <w:tmpl w:val="C630BB5C"/>
    <w:lvl w:ilvl="0" w:tplc="81CCE8D2">
      <w:start w:val="1"/>
      <w:numFmt w:val="decimal"/>
      <w:lvlText w:val="%1."/>
      <w:lvlJc w:val="left"/>
      <w:pPr>
        <w:ind w:hanging="360" w:left="360"/>
      </w:pPr>
    </w:lvl>
    <w:lvl w:ilvl="1" w:tentative="1" w:tplc="08090019">
      <w:start w:val="1"/>
      <w:numFmt w:val="lowerLetter"/>
      <w:lvlText w:val="%2."/>
      <w:lvlJc w:val="left"/>
      <w:pPr>
        <w:ind w:hanging="360" w:left="1080"/>
      </w:pPr>
    </w:lvl>
    <w:lvl w:ilvl="2" w:tentative="1" w:tplc="0809001B">
      <w:start w:val="1"/>
      <w:numFmt w:val="lowerRoman"/>
      <w:lvlText w:val="%3."/>
      <w:lvlJc w:val="right"/>
      <w:pPr>
        <w:ind w:hanging="180" w:left="1800"/>
      </w:pPr>
    </w:lvl>
    <w:lvl w:ilvl="3" w:tentative="1" w:tplc="0809000F">
      <w:start w:val="1"/>
      <w:numFmt w:val="decimal"/>
      <w:lvlText w:val="%4."/>
      <w:lvlJc w:val="left"/>
      <w:pPr>
        <w:ind w:hanging="360" w:left="2520"/>
      </w:pPr>
    </w:lvl>
    <w:lvl w:ilvl="4" w:tentative="1" w:tplc="08090019">
      <w:start w:val="1"/>
      <w:numFmt w:val="lowerLetter"/>
      <w:lvlText w:val="%5."/>
      <w:lvlJc w:val="left"/>
      <w:pPr>
        <w:ind w:hanging="360" w:left="3240"/>
      </w:pPr>
    </w:lvl>
    <w:lvl w:ilvl="5" w:tentative="1" w:tplc="0809001B">
      <w:start w:val="1"/>
      <w:numFmt w:val="lowerRoman"/>
      <w:lvlText w:val="%6."/>
      <w:lvlJc w:val="right"/>
      <w:pPr>
        <w:ind w:hanging="180" w:left="3960"/>
      </w:pPr>
    </w:lvl>
    <w:lvl w:ilvl="6" w:tentative="1" w:tplc="0809000F">
      <w:start w:val="1"/>
      <w:numFmt w:val="decimal"/>
      <w:lvlText w:val="%7."/>
      <w:lvlJc w:val="left"/>
      <w:pPr>
        <w:ind w:hanging="360" w:left="4680"/>
      </w:pPr>
    </w:lvl>
    <w:lvl w:ilvl="7" w:tentative="1" w:tplc="08090019">
      <w:start w:val="1"/>
      <w:numFmt w:val="lowerLetter"/>
      <w:lvlText w:val="%8."/>
      <w:lvlJc w:val="left"/>
      <w:pPr>
        <w:ind w:hanging="360" w:left="5400"/>
      </w:pPr>
    </w:lvl>
    <w:lvl w:ilvl="8" w:tentative="1" w:tplc="08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5">
    <w:nsid w:val="4A8C15F6"/>
    <w:multiLevelType w:val="hybridMultilevel"/>
    <w:tmpl w:val="DC924934"/>
    <w:lvl w:ilvl="0" w:tplc="18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18090019">
      <w:start w:val="1"/>
      <w:numFmt w:val="lowerLetter"/>
      <w:lvlText w:val="%2."/>
      <w:lvlJc w:val="left"/>
      <w:pPr>
        <w:ind w:hanging="360" w:left="1440"/>
      </w:pPr>
    </w:lvl>
    <w:lvl w:ilvl="2" w:tentative="1" w:tplc="1809001B">
      <w:start w:val="1"/>
      <w:numFmt w:val="lowerRoman"/>
      <w:lvlText w:val="%3."/>
      <w:lvlJc w:val="right"/>
      <w:pPr>
        <w:ind w:hanging="180" w:left="2160"/>
      </w:pPr>
    </w:lvl>
    <w:lvl w:ilvl="3" w:tentative="1" w:tplc="1809000F">
      <w:start w:val="1"/>
      <w:numFmt w:val="decimal"/>
      <w:lvlText w:val="%4."/>
      <w:lvlJc w:val="left"/>
      <w:pPr>
        <w:ind w:hanging="360" w:left="2880"/>
      </w:pPr>
    </w:lvl>
    <w:lvl w:ilvl="4" w:tentative="1" w:tplc="18090019">
      <w:start w:val="1"/>
      <w:numFmt w:val="lowerLetter"/>
      <w:lvlText w:val="%5."/>
      <w:lvlJc w:val="left"/>
      <w:pPr>
        <w:ind w:hanging="360" w:left="3600"/>
      </w:pPr>
    </w:lvl>
    <w:lvl w:ilvl="5" w:tentative="1" w:tplc="1809001B">
      <w:start w:val="1"/>
      <w:numFmt w:val="lowerRoman"/>
      <w:lvlText w:val="%6."/>
      <w:lvlJc w:val="right"/>
      <w:pPr>
        <w:ind w:hanging="180" w:left="4320"/>
      </w:pPr>
    </w:lvl>
    <w:lvl w:ilvl="6" w:tentative="1" w:tplc="1809000F">
      <w:start w:val="1"/>
      <w:numFmt w:val="decimal"/>
      <w:lvlText w:val="%7."/>
      <w:lvlJc w:val="left"/>
      <w:pPr>
        <w:ind w:hanging="360" w:left="5040"/>
      </w:pPr>
    </w:lvl>
    <w:lvl w:ilvl="7" w:tentative="1" w:tplc="18090019">
      <w:start w:val="1"/>
      <w:numFmt w:val="lowerLetter"/>
      <w:lvlText w:val="%8."/>
      <w:lvlJc w:val="left"/>
      <w:pPr>
        <w:ind w:hanging="360" w:left="5760"/>
      </w:pPr>
    </w:lvl>
    <w:lvl w:ilvl="8" w:tentative="1" w:tplc="18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83260138" w:numId="1">
    <w:abstractNumId w:val="5"/>
  </w:num>
  <w:num w16cid:durableId="764496458" w:numId="2">
    <w:abstractNumId w:val="3"/>
  </w:num>
  <w:num w16cid:durableId="1269002455" w:numId="3">
    <w:abstractNumId w:val="0"/>
  </w:num>
  <w:num w16cid:durableId="15245711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0363184" w:numId="5">
    <w:abstractNumId w:val="1"/>
  </w:num>
  <w:num w16cid:durableId="1880508611" w:numId="6">
    <w:abstractNumId w:val="0"/>
  </w:num>
  <w:num w16cid:durableId="539320080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4941818" w:numId="8">
    <w:abstractNumId w:val="4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78"/>
    <w:rsid w:val="001C5931"/>
    <w:rsid w:val="001D1B91"/>
    <w:rsid w:val="00240B03"/>
    <w:rsid w:val="005E268E"/>
    <w:rsid w:val="00610A0C"/>
    <w:rsid w:val="006A700D"/>
    <w:rsid w:val="00703D24"/>
    <w:rsid w:val="00775786"/>
    <w:rsid w:val="00865A3D"/>
    <w:rsid w:val="00917FD1"/>
    <w:rsid w:val="00971778"/>
    <w:rsid w:val="00A77E52"/>
    <w:rsid w:val="00BE0E0B"/>
    <w:rsid w:val="00DC2F36"/>
  </w:rsids>
  <w:themeFontLang w:val="en-I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IE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rFonts w:ascii="Calibri" w:hAnsi="Calibri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0B0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0B03"/>
    <w:pPr>
      <w:keepNext/>
      <w:keepLines/>
      <w:spacing w:after="24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8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971778"/>
    <w:pPr>
      <w:keepNext/>
      <w:keepLines/>
      <w:spacing w:after="24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971778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971778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971778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971778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971778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971778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40B03"/>
    <w:rPr>
      <w:rFonts w:asciiTheme="majorHAnsi" w:cstheme="majorBidi" w:eastAsiaTheme="majorEastAsia" w:hAnsiTheme="majorHAnsi"/>
      <w:color w:themeColor="accent1" w:themeShade="BF" w:val="0F4761"/>
      <w:sz w:val="28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rsid w:val="00240B03"/>
    <w:rPr>
      <w:rFonts w:asciiTheme="majorHAnsi" w:cstheme="majorBidi" w:eastAsiaTheme="majorEastAsia" w:hAnsiTheme="majorHAnsi"/>
      <w:color w:themeColor="accent1" w:themeShade="BF" w:val="0F4761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971778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971778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971778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971778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971778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971778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971778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971778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71778"/>
    <w:rPr>
      <w:rFonts w:asciiTheme="majorHAnsi" w:cstheme="majorBidi" w:eastAsiaTheme="majorEastAsia" w:hAnsiTheme="majorHAnsi"/>
      <w:spacing w:val="-10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97177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7177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971778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971778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971778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971778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71778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71778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971778"/>
    <w:rPr>
      <w:b/>
      <w:bCs/>
      <w:smallCaps/>
      <w:color w:themeColor="accent1" w:themeShade="BF" w:val="0F4761"/>
      <w:spacing w:val="5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NoSpacing1" w:type="paragraph">
    <w:name w:val="No Spacing1"/>
    <w:basedOn w:val="Normal"/>
    <w:pPr>
      <w:spacing w:after="0" w:line="240" w:lineRule="auto"/>
    </w:pPr>
  </w:style>
  <w:style w:customStyle="1" w:styleId="KeywordTok0" w:type="character">
    <w:name w:val="KeywordTok"/>
    <w:rPr>
      <w:b/>
      <w:color w:val="007020"/>
    </w:rPr>
  </w:style>
  <w:style w:customStyle="1" w:styleId="DataTypeTok0" w:type="character">
    <w:name w:val="DataTypeTok"/>
    <w:rPr>
      <w:color w:val="902000"/>
    </w:rPr>
  </w:style>
  <w:style w:customStyle="1" w:styleId="DecValTok0" w:type="character">
    <w:name w:val="DecValTok"/>
    <w:rPr>
      <w:color w:val="40A070"/>
    </w:rPr>
  </w:style>
  <w:style w:customStyle="1" w:styleId="BaseNTok0" w:type="character">
    <w:name w:val="BaseNTok"/>
    <w:rPr>
      <w:color w:val="40A070"/>
    </w:rPr>
  </w:style>
  <w:style w:customStyle="1" w:styleId="FloatTok0" w:type="character">
    <w:name w:val="FloatTok"/>
    <w:rPr>
      <w:color w:val="40A070"/>
    </w:rPr>
  </w:style>
  <w:style w:customStyle="1" w:styleId="ConstantTok0" w:type="character">
    <w:name w:val="ConstantTok"/>
    <w:rPr>
      <w:color w:val="880000"/>
    </w:rPr>
  </w:style>
  <w:style w:customStyle="1" w:styleId="CharTok0" w:type="character">
    <w:name w:val="CharTok"/>
    <w:rPr>
      <w:color w:val="4070A0"/>
    </w:rPr>
  </w:style>
  <w:style w:customStyle="1" w:styleId="SpecialCharTok0" w:type="character">
    <w:name w:val="SpecialCharTok"/>
    <w:rPr>
      <w:color w:val="4070A0"/>
    </w:rPr>
  </w:style>
  <w:style w:customStyle="1" w:styleId="StringTok0" w:type="character">
    <w:name w:val="StringTok"/>
    <w:rPr>
      <w:color w:val="4070A0"/>
    </w:rPr>
  </w:style>
  <w:style w:customStyle="1" w:styleId="VerbatimStringTok0" w:type="character">
    <w:name w:val="VerbatimStringTok"/>
    <w:rPr>
      <w:color w:val="4070A0"/>
    </w:rPr>
  </w:style>
  <w:style w:customStyle="1" w:styleId="SpecialStringTok0" w:type="character">
    <w:name w:val="SpecialStringTok"/>
    <w:rPr>
      <w:color w:val="BB6688"/>
    </w:rPr>
  </w:style>
  <w:style w:customStyle="1" w:styleId="ImportTok0" w:type="character">
    <w:name w:val="ImportTok"/>
    <w:rPr>
      <w:b/>
      <w:color w:val="008000"/>
    </w:rPr>
  </w:style>
  <w:style w:customStyle="1" w:styleId="CommentTok0" w:type="character">
    <w:name w:val="CommentTok"/>
    <w:rPr>
      <w:i/>
      <w:color w:val="60A0B0"/>
    </w:rPr>
  </w:style>
  <w:style w:customStyle="1" w:styleId="DocumentationTok0" w:type="character">
    <w:name w:val="DocumentationTok"/>
    <w:rPr>
      <w:i/>
      <w:color w:val="BA2121"/>
    </w:rPr>
  </w:style>
  <w:style w:customStyle="1" w:styleId="AnnotationTok0" w:type="character">
    <w:name w:val="AnnotationTok"/>
    <w:rPr>
      <w:b/>
      <w:i/>
      <w:color w:val="60A0B0"/>
    </w:rPr>
  </w:style>
  <w:style w:customStyle="1" w:styleId="CommentVarTok0" w:type="character">
    <w:name w:val="CommentVarTok"/>
    <w:rPr>
      <w:b/>
      <w:i/>
      <w:color w:val="60A0B0"/>
    </w:rPr>
  </w:style>
  <w:style w:customStyle="1" w:styleId="OtherTok0" w:type="character">
    <w:name w:val="OtherTok"/>
    <w:rPr>
      <w:color w:val="007020"/>
    </w:rPr>
  </w:style>
  <w:style w:customStyle="1" w:styleId="FunctionTok0" w:type="character">
    <w:name w:val="FunctionTok"/>
    <w:rPr>
      <w:color w:val="06287E"/>
    </w:rPr>
  </w:style>
  <w:style w:customStyle="1" w:styleId="VariableTok0" w:type="character">
    <w:name w:val="VariableTok"/>
    <w:rPr>
      <w:color w:val="19177C"/>
    </w:rPr>
  </w:style>
  <w:style w:customStyle="1" w:styleId="ControlFlowTok0" w:type="character">
    <w:name w:val="ControlFlowTok"/>
    <w:rPr>
      <w:b/>
      <w:color w:val="007020"/>
    </w:rPr>
  </w:style>
  <w:style w:customStyle="1" w:styleId="OperatorTok0" w:type="character">
    <w:name w:val="OperatorTok"/>
    <w:rPr>
      <w:color w:val="666666"/>
    </w:rPr>
  </w:style>
  <w:style w:customStyle="1" w:styleId="BuiltInTok0" w:type="character">
    <w:name w:val="BuiltInTok"/>
    <w:rPr>
      <w:color w:val="008000"/>
    </w:rPr>
  </w:style>
  <w:style w:customStyle="1" w:styleId="ExtensionTok0" w:type="character">
    <w:name w:val="ExtensionTok"/>
  </w:style>
  <w:style w:customStyle="1" w:styleId="PreprocessorTok0" w:type="character">
    <w:name w:val="PreprocessorTok"/>
    <w:rPr>
      <w:color w:val="BC7A00"/>
    </w:rPr>
  </w:style>
  <w:style w:customStyle="1" w:styleId="AttributeTok0" w:type="character">
    <w:name w:val="AttributeTok"/>
    <w:rPr>
      <w:color w:val="7D9029"/>
    </w:rPr>
  </w:style>
  <w:style w:customStyle="1" w:styleId="RegionMarkerTok0" w:type="character">
    <w:name w:val="RegionMarkerTok"/>
  </w:style>
  <w:style w:customStyle="1" w:styleId="InformationTok0" w:type="character">
    <w:name w:val="InformationTok"/>
    <w:rPr>
      <w:b/>
      <w:i/>
      <w:color w:val="60A0B0"/>
    </w:rPr>
  </w:style>
  <w:style w:customStyle="1" w:styleId="WarningTok0" w:type="character">
    <w:name w:val="WarningTok"/>
    <w:rPr>
      <w:b/>
      <w:i/>
      <w:color w:val="60A0B0"/>
    </w:rPr>
  </w:style>
  <w:style w:customStyle="1" w:styleId="AlertTok0" w:type="character">
    <w:name w:val="AlertTok"/>
    <w:rPr>
      <w:b/>
      <w:color w:val="FF0000"/>
    </w:rPr>
  </w:style>
  <w:style w:customStyle="1" w:styleId="ErrorTok0" w:type="character">
    <w:name w:val="ErrorTok"/>
    <w:rPr>
      <w:b/>
      <w:color w:val="FF0000"/>
    </w:rPr>
  </w:style>
  <w:style w:customStyle="1" w:styleId="NormalTok0" w:type="character">
    <w:name w:val="NormalTok"/>
  </w:style>
  <w:style w:customStyle="1" w:styleId="NoSpacing2" w:type="paragraph">
    <w:name w:val="No Spacing2"/>
    <w:basedOn w:val="Normal"/>
    <w:pPr>
      <w:spacing w:after="0" w:line="240" w:lineRule="auto"/>
    </w:pPr>
  </w:style>
  <w:style w:styleId="NoSpacing" w:type="paragraph">
    <w:name w:val="No Spacing"/>
    <w:uiPriority w:val="1"/>
    <w:qFormat/>
    <w:rsid w:val="00240B03"/>
    <w:pPr>
      <w:spacing w:after="0" w:line="240" w:lineRule="auto"/>
    </w:pPr>
    <w:rPr>
      <w:rFonts w:ascii="Calibri" w:hAnsi="Calibri"/>
      <w:sz w:val="22"/>
    </w:rPr>
  </w:style>
  <w:style w:customStyle="1" w:styleId="tablekey" w:type="paragraph">
    <w:name w:val="table key"/>
    <w:basedOn w:val="NoSpacing"/>
    <w:qFormat/>
    <w:rsid w:val="00240B03"/>
    <w:pPr>
      <w:spacing w:after="24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2420</Words>
  <Characters>15030</Characters>
  <Application>Microsoft Office Word</Application>
  <DocSecurity>0</DocSecurity>
  <Lines>238</Lines>
  <Paragraphs>82</Paragraphs>
  <ScaleCrop>false</ScaleCrop>
  <Company>University College Cork</Company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2026-04-14T19:21:17Z</dcterms:created>
  <dcterms:modified xsi:type="dcterms:W3CDTF">2026-04-14T19:21:17Z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