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4C58C7" w14:textId="11AA0FB3" w:rsidR="00C91495" w:rsidRPr="00A61375" w:rsidRDefault="00190CF2" w:rsidP="00D249B2">
      <w:pPr>
        <w:jc w:val="center"/>
        <w:rPr>
          <w:rFonts w:ascii="Noto Sans" w:hAnsi="Noto Sans" w:cs="Noto Sans"/>
          <w:b/>
          <w:bCs/>
          <w:color w:val="00B0F0"/>
          <w:sz w:val="32"/>
          <w:szCs w:val="32"/>
        </w:rPr>
      </w:pPr>
      <w:r>
        <w:rPr>
          <w:rFonts w:ascii="Noto Sans" w:hAnsi="Noto Sans" w:cs="Noto Sans"/>
          <w:b/>
          <w:bCs/>
          <w:color w:val="00B0F0"/>
          <w:sz w:val="32"/>
          <w:szCs w:val="32"/>
        </w:rPr>
        <w:t xml:space="preserve">Research Plan: Home-Grown School Feeding in </w:t>
      </w:r>
      <w:proofErr w:type="spellStart"/>
      <w:r>
        <w:rPr>
          <w:rFonts w:ascii="Noto Sans" w:hAnsi="Noto Sans" w:cs="Noto Sans"/>
          <w:b/>
          <w:bCs/>
          <w:color w:val="00B0F0"/>
          <w:sz w:val="32"/>
          <w:szCs w:val="32"/>
        </w:rPr>
        <w:t>Nyanda</w:t>
      </w:r>
      <w:proofErr w:type="spellEnd"/>
    </w:p>
    <w:p w14:paraId="37E7D320" w14:textId="6F28AA8E" w:rsidR="009359CF" w:rsidRPr="006D4036" w:rsidRDefault="004A2425" w:rsidP="002C4215">
      <w:pPr>
        <w:jc w:val="both"/>
        <w:rPr>
          <w:rFonts w:ascii="Noto Sans" w:hAnsi="Noto Sans" w:cs="Noto Sans"/>
          <w:sz w:val="18"/>
          <w:szCs w:val="18"/>
        </w:rPr>
      </w:pPr>
      <w:r w:rsidRPr="006D4036">
        <w:rPr>
          <w:rFonts w:ascii="Noto Sans" w:hAnsi="Noto Sans" w:cs="Noto Sans"/>
          <w:sz w:val="18"/>
          <w:szCs w:val="18"/>
        </w:rPr>
        <w:t xml:space="preserve">As presented in the policy </w:t>
      </w:r>
      <w:r w:rsidR="00A83D1C" w:rsidRPr="006D4036">
        <w:rPr>
          <w:rFonts w:ascii="Noto Sans" w:hAnsi="Noto Sans" w:cs="Noto Sans"/>
          <w:sz w:val="18"/>
          <w:szCs w:val="18"/>
        </w:rPr>
        <w:t xml:space="preserve">recommendation document, the </w:t>
      </w:r>
      <w:r w:rsidRPr="006D4036">
        <w:rPr>
          <w:rFonts w:ascii="Noto Sans" w:hAnsi="Noto Sans" w:cs="Noto Sans"/>
          <w:sz w:val="18"/>
          <w:szCs w:val="18"/>
        </w:rPr>
        <w:t xml:space="preserve">home-grown school feeding program has </w:t>
      </w:r>
      <w:r w:rsidR="00A83D1C" w:rsidRPr="006D4036">
        <w:rPr>
          <w:rFonts w:ascii="Noto Sans" w:hAnsi="Noto Sans" w:cs="Noto Sans"/>
          <w:sz w:val="18"/>
          <w:szCs w:val="18"/>
        </w:rPr>
        <w:t xml:space="preserve">great potential to reduce inequities in </w:t>
      </w:r>
      <w:proofErr w:type="spellStart"/>
      <w:r w:rsidR="00A83D1C" w:rsidRPr="006D4036">
        <w:rPr>
          <w:rFonts w:ascii="Noto Sans" w:hAnsi="Noto Sans" w:cs="Noto Sans"/>
          <w:sz w:val="18"/>
          <w:szCs w:val="18"/>
        </w:rPr>
        <w:t>Nyanda</w:t>
      </w:r>
      <w:proofErr w:type="spellEnd"/>
      <w:r w:rsidR="00A83D1C" w:rsidRPr="006D4036">
        <w:rPr>
          <w:rFonts w:ascii="Noto Sans" w:hAnsi="Noto Sans" w:cs="Noto Sans"/>
          <w:sz w:val="18"/>
          <w:szCs w:val="18"/>
        </w:rPr>
        <w:t xml:space="preserve">. </w:t>
      </w:r>
      <w:r w:rsidR="009359CF" w:rsidRPr="006D4036">
        <w:rPr>
          <w:rFonts w:ascii="Noto Sans" w:hAnsi="Noto Sans" w:cs="Noto Sans"/>
          <w:sz w:val="18"/>
          <w:szCs w:val="18"/>
        </w:rPr>
        <w:t xml:space="preserve">The proposed research setup is a randomized controlled trial which </w:t>
      </w:r>
      <w:proofErr w:type="gramStart"/>
      <w:r w:rsidR="004D2F49" w:rsidRPr="006D4036">
        <w:rPr>
          <w:rFonts w:ascii="Noto Sans" w:hAnsi="Noto Sans" w:cs="Noto Sans"/>
          <w:sz w:val="18"/>
          <w:szCs w:val="18"/>
        </w:rPr>
        <w:t>allows</w:t>
      </w:r>
      <w:proofErr w:type="gramEnd"/>
      <w:r w:rsidR="004D2F49" w:rsidRPr="006D4036">
        <w:rPr>
          <w:rFonts w:ascii="Noto Sans" w:hAnsi="Noto Sans" w:cs="Noto Sans"/>
          <w:sz w:val="18"/>
          <w:szCs w:val="18"/>
        </w:rPr>
        <w:t xml:space="preserve"> </w:t>
      </w:r>
      <w:r w:rsidR="009359CF" w:rsidRPr="006D4036">
        <w:rPr>
          <w:rFonts w:ascii="Noto Sans" w:hAnsi="Noto Sans" w:cs="Noto Sans"/>
          <w:sz w:val="18"/>
          <w:szCs w:val="18"/>
        </w:rPr>
        <w:t xml:space="preserve">to identify </w:t>
      </w:r>
      <w:r w:rsidR="00477C20" w:rsidRPr="006D4036">
        <w:rPr>
          <w:rFonts w:ascii="Noto Sans" w:hAnsi="Noto Sans" w:cs="Noto Sans"/>
          <w:sz w:val="18"/>
          <w:szCs w:val="18"/>
        </w:rPr>
        <w:t xml:space="preserve">and quantify </w:t>
      </w:r>
      <w:r w:rsidR="009359CF" w:rsidRPr="006D4036">
        <w:rPr>
          <w:rFonts w:ascii="Noto Sans" w:hAnsi="Noto Sans" w:cs="Noto Sans"/>
          <w:sz w:val="18"/>
          <w:szCs w:val="18"/>
        </w:rPr>
        <w:t xml:space="preserve">the causal effect of the intervention on </w:t>
      </w:r>
      <w:r w:rsidR="00477C20" w:rsidRPr="006D4036">
        <w:rPr>
          <w:rFonts w:ascii="Noto Sans" w:hAnsi="Noto Sans" w:cs="Noto Sans"/>
          <w:sz w:val="18"/>
          <w:szCs w:val="18"/>
        </w:rPr>
        <w:t xml:space="preserve">beneficiaries. </w:t>
      </w:r>
      <w:r w:rsidR="004D2F49" w:rsidRPr="006D4036">
        <w:rPr>
          <w:rFonts w:ascii="Noto Sans" w:hAnsi="Noto Sans" w:cs="Noto Sans"/>
          <w:sz w:val="18"/>
          <w:szCs w:val="18"/>
        </w:rPr>
        <w:t xml:space="preserve">The design approach consists </w:t>
      </w:r>
      <w:r w:rsidR="00BE47A5" w:rsidRPr="006D4036">
        <w:rPr>
          <w:rFonts w:ascii="Noto Sans" w:hAnsi="Noto Sans" w:cs="Noto Sans"/>
          <w:sz w:val="18"/>
          <w:szCs w:val="18"/>
        </w:rPr>
        <w:t>of an initial</w:t>
      </w:r>
      <w:r w:rsidR="004D2F49" w:rsidRPr="006D4036">
        <w:rPr>
          <w:rFonts w:ascii="Noto Sans" w:hAnsi="Noto Sans" w:cs="Noto Sans"/>
          <w:sz w:val="18"/>
          <w:szCs w:val="18"/>
        </w:rPr>
        <w:t xml:space="preserve"> mapping </w:t>
      </w:r>
      <w:r w:rsidR="00BE47A5" w:rsidRPr="006D4036">
        <w:rPr>
          <w:rFonts w:ascii="Noto Sans" w:hAnsi="Noto Sans" w:cs="Noto Sans"/>
          <w:sz w:val="18"/>
          <w:szCs w:val="18"/>
        </w:rPr>
        <w:t xml:space="preserve">exercise of </w:t>
      </w:r>
      <w:r w:rsidR="004D2F49" w:rsidRPr="006D4036">
        <w:rPr>
          <w:rFonts w:ascii="Noto Sans" w:hAnsi="Noto Sans" w:cs="Noto Sans"/>
          <w:sz w:val="18"/>
          <w:szCs w:val="18"/>
        </w:rPr>
        <w:t xml:space="preserve">all schools in </w:t>
      </w:r>
      <w:proofErr w:type="spellStart"/>
      <w:r w:rsidR="004D2F49" w:rsidRPr="006D4036">
        <w:rPr>
          <w:rFonts w:ascii="Noto Sans" w:hAnsi="Noto Sans" w:cs="Noto Sans"/>
          <w:sz w:val="18"/>
          <w:szCs w:val="18"/>
        </w:rPr>
        <w:t>Nyanda</w:t>
      </w:r>
      <w:proofErr w:type="spellEnd"/>
      <w:r w:rsidR="004D2F49" w:rsidRPr="006D4036">
        <w:rPr>
          <w:rFonts w:ascii="Noto Sans" w:hAnsi="Noto Sans" w:cs="Noto Sans"/>
          <w:sz w:val="18"/>
          <w:szCs w:val="18"/>
        </w:rPr>
        <w:t xml:space="preserve"> </w:t>
      </w:r>
      <w:r w:rsidR="00BE47A5" w:rsidRPr="006D4036">
        <w:rPr>
          <w:rFonts w:ascii="Noto Sans" w:hAnsi="Noto Sans" w:cs="Noto Sans"/>
          <w:sz w:val="18"/>
          <w:szCs w:val="18"/>
        </w:rPr>
        <w:t xml:space="preserve">with the help of the Ministry of Education. This </w:t>
      </w:r>
      <w:proofErr w:type="gramStart"/>
      <w:r w:rsidR="00BE47A5" w:rsidRPr="006D4036">
        <w:rPr>
          <w:rFonts w:ascii="Noto Sans" w:hAnsi="Noto Sans" w:cs="Noto Sans"/>
          <w:sz w:val="18"/>
          <w:szCs w:val="18"/>
        </w:rPr>
        <w:t>allow</w:t>
      </w:r>
      <w:r w:rsidR="00782C7A" w:rsidRPr="006D4036">
        <w:rPr>
          <w:rFonts w:ascii="Noto Sans" w:hAnsi="Noto Sans" w:cs="Noto Sans"/>
          <w:sz w:val="18"/>
          <w:szCs w:val="18"/>
        </w:rPr>
        <w:t>s</w:t>
      </w:r>
      <w:proofErr w:type="gramEnd"/>
      <w:r w:rsidR="00BE47A5" w:rsidRPr="006D4036">
        <w:rPr>
          <w:rFonts w:ascii="Noto Sans" w:hAnsi="Noto Sans" w:cs="Noto Sans"/>
          <w:sz w:val="18"/>
          <w:szCs w:val="18"/>
        </w:rPr>
        <w:t xml:space="preserve"> to </w:t>
      </w:r>
      <w:r w:rsidR="004A03E6" w:rsidRPr="006D4036">
        <w:rPr>
          <w:rFonts w:ascii="Noto Sans" w:hAnsi="Noto Sans" w:cs="Noto Sans"/>
          <w:sz w:val="18"/>
          <w:szCs w:val="18"/>
        </w:rPr>
        <w:t xml:space="preserve">create a full dataset of schools divided by rural residence, whether they receive or have received school feeding in the recent past, </w:t>
      </w:r>
      <w:r w:rsidR="00782C7A" w:rsidRPr="006D4036">
        <w:rPr>
          <w:rFonts w:ascii="Noto Sans" w:hAnsi="Noto Sans" w:cs="Noto Sans"/>
          <w:sz w:val="18"/>
          <w:szCs w:val="18"/>
        </w:rPr>
        <w:t xml:space="preserve">and </w:t>
      </w:r>
      <w:r w:rsidR="006C35CA" w:rsidRPr="006D4036">
        <w:rPr>
          <w:rFonts w:ascii="Noto Sans" w:hAnsi="Noto Sans" w:cs="Noto Sans"/>
          <w:sz w:val="18"/>
          <w:szCs w:val="18"/>
        </w:rPr>
        <w:t xml:space="preserve">the </w:t>
      </w:r>
      <w:r w:rsidR="003D0E91">
        <w:rPr>
          <w:rFonts w:ascii="Noto Sans" w:hAnsi="Noto Sans" w:cs="Noto Sans"/>
          <w:sz w:val="18"/>
          <w:szCs w:val="18"/>
        </w:rPr>
        <w:t>mapping</w:t>
      </w:r>
      <w:r w:rsidR="006C35CA" w:rsidRPr="006D4036">
        <w:rPr>
          <w:rFonts w:ascii="Noto Sans" w:hAnsi="Noto Sans" w:cs="Noto Sans"/>
          <w:sz w:val="18"/>
          <w:szCs w:val="18"/>
        </w:rPr>
        <w:t xml:space="preserve"> of other key school characteristics (access to cooking facilities, cooks, latrine,</w:t>
      </w:r>
      <w:r w:rsidR="00E54E69" w:rsidRPr="006D4036">
        <w:rPr>
          <w:rFonts w:ascii="Noto Sans" w:hAnsi="Noto Sans" w:cs="Noto Sans"/>
          <w:sz w:val="18"/>
          <w:szCs w:val="18"/>
        </w:rPr>
        <w:t xml:space="preserve"> storage facilities, etc.).</w:t>
      </w:r>
    </w:p>
    <w:p w14:paraId="7787CDD2" w14:textId="78C4E800" w:rsidR="00E54E69" w:rsidRPr="006D4036" w:rsidRDefault="00E54E69" w:rsidP="002C4215">
      <w:pPr>
        <w:jc w:val="both"/>
        <w:rPr>
          <w:rFonts w:ascii="Noto Sans" w:hAnsi="Noto Sans" w:cs="Noto Sans"/>
          <w:sz w:val="18"/>
          <w:szCs w:val="18"/>
        </w:rPr>
      </w:pPr>
      <w:r w:rsidRPr="006D4036">
        <w:rPr>
          <w:rFonts w:ascii="Noto Sans" w:hAnsi="Noto Sans" w:cs="Noto Sans"/>
          <w:sz w:val="18"/>
          <w:szCs w:val="18"/>
        </w:rPr>
        <w:t>Ideally</w:t>
      </w:r>
      <w:r w:rsidR="0031082D">
        <w:rPr>
          <w:rFonts w:ascii="Noto Sans" w:hAnsi="Noto Sans" w:cs="Noto Sans"/>
          <w:sz w:val="18"/>
          <w:szCs w:val="18"/>
        </w:rPr>
        <w:t>,</w:t>
      </w:r>
      <w:r w:rsidRPr="006D4036">
        <w:rPr>
          <w:rFonts w:ascii="Noto Sans" w:hAnsi="Noto Sans" w:cs="Noto Sans"/>
          <w:sz w:val="18"/>
          <w:szCs w:val="18"/>
        </w:rPr>
        <w:t xml:space="preserve"> the research design will be implemented on a smaller cohort of school divided into two distinct groups, a control group not receiving school feeding, and a treatment group receiving</w:t>
      </w:r>
      <w:r w:rsidR="00BF2DF4" w:rsidRPr="006D4036">
        <w:rPr>
          <w:rFonts w:ascii="Noto Sans" w:hAnsi="Noto Sans" w:cs="Noto Sans"/>
          <w:sz w:val="18"/>
          <w:szCs w:val="18"/>
        </w:rPr>
        <w:t xml:space="preserve"> school feeding</w:t>
      </w:r>
      <w:r w:rsidRPr="006D4036">
        <w:rPr>
          <w:rFonts w:ascii="Noto Sans" w:hAnsi="Noto Sans" w:cs="Noto Sans"/>
          <w:sz w:val="18"/>
          <w:szCs w:val="18"/>
        </w:rPr>
        <w:t xml:space="preserve">. The target beneficiaries </w:t>
      </w:r>
      <w:r w:rsidR="00BF2DF4" w:rsidRPr="006D4036">
        <w:rPr>
          <w:rFonts w:ascii="Noto Sans" w:hAnsi="Noto Sans" w:cs="Noto Sans"/>
          <w:sz w:val="18"/>
          <w:szCs w:val="18"/>
        </w:rPr>
        <w:t xml:space="preserve">will </w:t>
      </w:r>
      <w:r w:rsidRPr="006D4036">
        <w:rPr>
          <w:rFonts w:ascii="Noto Sans" w:hAnsi="Noto Sans" w:cs="Noto Sans"/>
          <w:sz w:val="18"/>
          <w:szCs w:val="18"/>
        </w:rPr>
        <w:t xml:space="preserve">be </w:t>
      </w:r>
      <w:r w:rsidR="0042620D" w:rsidRPr="006D4036">
        <w:rPr>
          <w:rFonts w:ascii="Noto Sans" w:hAnsi="Noto Sans" w:cs="Noto Sans"/>
          <w:sz w:val="18"/>
          <w:szCs w:val="18"/>
        </w:rPr>
        <w:t>students</w:t>
      </w:r>
      <w:r w:rsidRPr="006D4036">
        <w:rPr>
          <w:rFonts w:ascii="Noto Sans" w:hAnsi="Noto Sans" w:cs="Noto Sans"/>
          <w:sz w:val="18"/>
          <w:szCs w:val="18"/>
        </w:rPr>
        <w:t xml:space="preserve"> in grade 3</w:t>
      </w:r>
      <w:r w:rsidR="00BF2DF4" w:rsidRPr="006D4036">
        <w:rPr>
          <w:rFonts w:ascii="Noto Sans" w:hAnsi="Noto Sans" w:cs="Noto Sans"/>
          <w:sz w:val="18"/>
          <w:szCs w:val="18"/>
        </w:rPr>
        <w:t>,</w:t>
      </w:r>
      <w:r w:rsidR="0042620D" w:rsidRPr="006D4036">
        <w:rPr>
          <w:rFonts w:ascii="Noto Sans" w:hAnsi="Noto Sans" w:cs="Noto Sans"/>
          <w:sz w:val="18"/>
          <w:szCs w:val="18"/>
        </w:rPr>
        <w:t xml:space="preserve"> as they are often considered </w:t>
      </w:r>
      <w:r w:rsidR="00BF2DF4" w:rsidRPr="006D4036">
        <w:rPr>
          <w:rFonts w:ascii="Noto Sans" w:hAnsi="Noto Sans" w:cs="Noto Sans"/>
          <w:sz w:val="18"/>
          <w:szCs w:val="18"/>
        </w:rPr>
        <w:t xml:space="preserve">at </w:t>
      </w:r>
      <w:r w:rsidR="0042620D" w:rsidRPr="006D4036">
        <w:rPr>
          <w:rFonts w:ascii="Noto Sans" w:hAnsi="Noto Sans" w:cs="Noto Sans"/>
          <w:sz w:val="18"/>
          <w:szCs w:val="18"/>
        </w:rPr>
        <w:t xml:space="preserve">a turning point in their educational </w:t>
      </w:r>
      <w:r w:rsidR="00E70743" w:rsidRPr="006D4036">
        <w:rPr>
          <w:rFonts w:ascii="Noto Sans" w:hAnsi="Noto Sans" w:cs="Noto Sans"/>
          <w:sz w:val="18"/>
          <w:szCs w:val="18"/>
        </w:rPr>
        <w:t>journey</w:t>
      </w:r>
      <w:r w:rsidR="00AB0A88" w:rsidRPr="006D4036">
        <w:rPr>
          <w:rFonts w:ascii="Noto Sans" w:hAnsi="Noto Sans" w:cs="Noto Sans"/>
          <w:sz w:val="18"/>
          <w:szCs w:val="18"/>
        </w:rPr>
        <w:t xml:space="preserve"> and the ability to capture the minimum detectable effect of the intervention is higher.</w:t>
      </w:r>
    </w:p>
    <w:p w14:paraId="47A9D965" w14:textId="29AF6EE4" w:rsidR="00CC21EA" w:rsidRPr="006D4036" w:rsidRDefault="00CC21EA" w:rsidP="002C4215">
      <w:pPr>
        <w:jc w:val="both"/>
        <w:rPr>
          <w:rFonts w:ascii="Noto Sans" w:hAnsi="Noto Sans" w:cs="Noto Sans"/>
          <w:sz w:val="18"/>
          <w:szCs w:val="18"/>
        </w:rPr>
      </w:pPr>
      <w:r w:rsidRPr="006D4036">
        <w:rPr>
          <w:rFonts w:ascii="Noto Sans" w:hAnsi="Noto Sans" w:cs="Noto Sans"/>
          <w:sz w:val="18"/>
          <w:szCs w:val="18"/>
        </w:rPr>
        <w:t xml:space="preserve">The intervention will last for 2 years to capture for longer term effects of the program. All </w:t>
      </w:r>
      <w:r w:rsidR="00A10AC3" w:rsidRPr="006D4036">
        <w:rPr>
          <w:rFonts w:ascii="Noto Sans" w:hAnsi="Noto Sans" w:cs="Noto Sans"/>
          <w:sz w:val="18"/>
          <w:szCs w:val="18"/>
        </w:rPr>
        <w:t xml:space="preserve">students in the treatment school </w:t>
      </w:r>
      <w:r w:rsidRPr="006D4036">
        <w:rPr>
          <w:rFonts w:ascii="Noto Sans" w:hAnsi="Noto Sans" w:cs="Noto Sans"/>
          <w:sz w:val="18"/>
          <w:szCs w:val="18"/>
        </w:rPr>
        <w:t xml:space="preserve">will receive the </w:t>
      </w:r>
      <w:r w:rsidR="00A10AC3" w:rsidRPr="006D4036">
        <w:rPr>
          <w:rFonts w:ascii="Noto Sans" w:hAnsi="Noto Sans" w:cs="Noto Sans"/>
          <w:sz w:val="18"/>
          <w:szCs w:val="18"/>
        </w:rPr>
        <w:t xml:space="preserve">school meal but only grade 3 students will be </w:t>
      </w:r>
      <w:r w:rsidR="002C7CF3" w:rsidRPr="006D4036">
        <w:rPr>
          <w:rFonts w:ascii="Noto Sans" w:hAnsi="Noto Sans" w:cs="Noto Sans"/>
          <w:sz w:val="18"/>
          <w:szCs w:val="18"/>
        </w:rPr>
        <w:t xml:space="preserve">observed throughout the years </w:t>
      </w:r>
      <w:r w:rsidR="000F2B55" w:rsidRPr="006D4036">
        <w:rPr>
          <w:rFonts w:ascii="Noto Sans" w:hAnsi="Noto Sans" w:cs="Noto Sans"/>
          <w:sz w:val="18"/>
          <w:szCs w:val="18"/>
        </w:rPr>
        <w:t>to assess</w:t>
      </w:r>
      <w:r w:rsidR="002C7CF3" w:rsidRPr="006D4036">
        <w:rPr>
          <w:rFonts w:ascii="Noto Sans" w:hAnsi="Noto Sans" w:cs="Noto Sans"/>
          <w:sz w:val="18"/>
          <w:szCs w:val="18"/>
        </w:rPr>
        <w:t xml:space="preserve"> the impact of the program.</w:t>
      </w:r>
      <w:r w:rsidR="00EA6898" w:rsidRPr="006D4036">
        <w:rPr>
          <w:rFonts w:ascii="Noto Sans" w:hAnsi="Noto Sans" w:cs="Noto Sans"/>
          <w:sz w:val="18"/>
          <w:szCs w:val="18"/>
        </w:rPr>
        <w:t xml:space="preserve"> </w:t>
      </w:r>
    </w:p>
    <w:p w14:paraId="441113E4" w14:textId="5F4E0B8F" w:rsidR="007E1622" w:rsidRPr="006D4036" w:rsidRDefault="00EA6898" w:rsidP="007E1622">
      <w:pPr>
        <w:jc w:val="both"/>
        <w:rPr>
          <w:rFonts w:ascii="Noto Sans" w:hAnsi="Noto Sans" w:cs="Noto Sans"/>
          <w:sz w:val="18"/>
          <w:szCs w:val="18"/>
        </w:rPr>
      </w:pPr>
      <w:r w:rsidRPr="006D4036">
        <w:rPr>
          <w:rFonts w:ascii="Noto Sans" w:hAnsi="Noto Sans" w:cs="Noto Sans"/>
          <w:sz w:val="18"/>
          <w:szCs w:val="18"/>
        </w:rPr>
        <w:t xml:space="preserve">The expectation is that </w:t>
      </w:r>
      <w:r w:rsidR="007242F2">
        <w:rPr>
          <w:rFonts w:ascii="Noto Sans" w:hAnsi="Noto Sans" w:cs="Noto Sans"/>
          <w:sz w:val="18"/>
          <w:szCs w:val="18"/>
        </w:rPr>
        <w:t xml:space="preserve">school meals will create </w:t>
      </w:r>
      <w:r w:rsidR="00802C38">
        <w:rPr>
          <w:rFonts w:ascii="Noto Sans" w:hAnsi="Noto Sans" w:cs="Noto Sans"/>
          <w:sz w:val="18"/>
          <w:szCs w:val="18"/>
        </w:rPr>
        <w:t xml:space="preserve">strong </w:t>
      </w:r>
      <w:r w:rsidR="007242F2">
        <w:rPr>
          <w:rFonts w:ascii="Noto Sans" w:hAnsi="Noto Sans" w:cs="Noto Sans"/>
          <w:sz w:val="18"/>
          <w:szCs w:val="18"/>
        </w:rPr>
        <w:t>incentives to increase attendance</w:t>
      </w:r>
      <w:r w:rsidR="00EF5068" w:rsidRPr="006D4036">
        <w:rPr>
          <w:rFonts w:ascii="Noto Sans" w:hAnsi="Noto Sans" w:cs="Noto Sans"/>
          <w:sz w:val="18"/>
          <w:szCs w:val="18"/>
        </w:rPr>
        <w:t>,</w:t>
      </w:r>
      <w:r w:rsidR="00802C38">
        <w:rPr>
          <w:rFonts w:ascii="Noto Sans" w:hAnsi="Noto Sans" w:cs="Noto Sans"/>
          <w:sz w:val="18"/>
          <w:szCs w:val="18"/>
        </w:rPr>
        <w:t xml:space="preserve"> leading to</w:t>
      </w:r>
      <w:r w:rsidR="00EF5068" w:rsidRPr="006D4036">
        <w:rPr>
          <w:rFonts w:ascii="Noto Sans" w:hAnsi="Noto Sans" w:cs="Noto Sans"/>
          <w:sz w:val="18"/>
          <w:szCs w:val="18"/>
        </w:rPr>
        <w:t xml:space="preserve"> greater nutritional status,</w:t>
      </w:r>
      <w:r w:rsidR="00B6690E" w:rsidRPr="006D4036">
        <w:rPr>
          <w:rFonts w:ascii="Noto Sans" w:hAnsi="Noto Sans" w:cs="Noto Sans"/>
          <w:sz w:val="18"/>
          <w:szCs w:val="18"/>
        </w:rPr>
        <w:t xml:space="preserve"> </w:t>
      </w:r>
      <w:r w:rsidR="00945E27">
        <w:rPr>
          <w:rFonts w:ascii="Noto Sans" w:hAnsi="Noto Sans" w:cs="Noto Sans"/>
          <w:sz w:val="18"/>
          <w:szCs w:val="18"/>
        </w:rPr>
        <w:t xml:space="preserve">lower </w:t>
      </w:r>
      <w:r w:rsidR="00B6690E" w:rsidRPr="006D4036">
        <w:rPr>
          <w:rFonts w:ascii="Noto Sans" w:hAnsi="Noto Sans" w:cs="Noto Sans"/>
          <w:sz w:val="18"/>
          <w:szCs w:val="18"/>
        </w:rPr>
        <w:t xml:space="preserve">drop-out rates, </w:t>
      </w:r>
      <w:r w:rsidR="001A780F" w:rsidRPr="006D4036">
        <w:rPr>
          <w:rFonts w:ascii="Noto Sans" w:hAnsi="Noto Sans" w:cs="Noto Sans"/>
          <w:sz w:val="18"/>
          <w:szCs w:val="18"/>
        </w:rPr>
        <w:t xml:space="preserve">better health status, and </w:t>
      </w:r>
      <w:r w:rsidR="007E1622" w:rsidRPr="006D4036">
        <w:rPr>
          <w:rFonts w:ascii="Noto Sans" w:hAnsi="Noto Sans" w:cs="Noto Sans"/>
          <w:sz w:val="18"/>
          <w:szCs w:val="18"/>
        </w:rPr>
        <w:t xml:space="preserve">compounding all these effects </w:t>
      </w:r>
      <w:r w:rsidR="001A780F" w:rsidRPr="006D4036">
        <w:rPr>
          <w:rFonts w:ascii="Noto Sans" w:hAnsi="Noto Sans" w:cs="Noto Sans"/>
          <w:sz w:val="18"/>
          <w:szCs w:val="18"/>
        </w:rPr>
        <w:t>better school perform</w:t>
      </w:r>
      <w:r w:rsidR="007E1622" w:rsidRPr="006D4036">
        <w:rPr>
          <w:rFonts w:ascii="Noto Sans" w:hAnsi="Noto Sans" w:cs="Noto Sans"/>
          <w:sz w:val="18"/>
          <w:szCs w:val="18"/>
        </w:rPr>
        <w:t>ance</w:t>
      </w:r>
      <w:r w:rsidR="001A780F" w:rsidRPr="006D4036">
        <w:rPr>
          <w:rFonts w:ascii="Noto Sans" w:hAnsi="Noto Sans" w:cs="Noto Sans"/>
          <w:sz w:val="18"/>
          <w:szCs w:val="18"/>
        </w:rPr>
        <w:t>.</w:t>
      </w:r>
    </w:p>
    <w:p w14:paraId="02A21198" w14:textId="0563C7DC" w:rsidR="007E1622" w:rsidRPr="006D4036" w:rsidRDefault="00101EAE" w:rsidP="007E1622">
      <w:pPr>
        <w:jc w:val="both"/>
        <w:rPr>
          <w:rFonts w:ascii="Noto Sans" w:hAnsi="Noto Sans" w:cs="Noto Sans"/>
          <w:sz w:val="18"/>
          <w:szCs w:val="18"/>
        </w:rPr>
      </w:pPr>
      <w:r w:rsidRPr="006D4036">
        <w:rPr>
          <w:rFonts w:ascii="Noto Sans" w:hAnsi="Noto Sans" w:cs="Noto Sans"/>
          <w:sz w:val="18"/>
          <w:szCs w:val="18"/>
        </w:rPr>
        <w:t xml:space="preserve">There are </w:t>
      </w:r>
      <w:r w:rsidR="000D2B94" w:rsidRPr="006D4036">
        <w:rPr>
          <w:rFonts w:ascii="Noto Sans" w:hAnsi="Noto Sans" w:cs="Noto Sans"/>
          <w:sz w:val="18"/>
          <w:szCs w:val="18"/>
        </w:rPr>
        <w:t>two</w:t>
      </w:r>
      <w:r w:rsidRPr="006D4036">
        <w:rPr>
          <w:rFonts w:ascii="Noto Sans" w:hAnsi="Noto Sans" w:cs="Noto Sans"/>
          <w:sz w:val="18"/>
          <w:szCs w:val="18"/>
        </w:rPr>
        <w:t xml:space="preserve"> potential funding opportunities </w:t>
      </w:r>
      <w:r w:rsidR="00137CCF" w:rsidRPr="006D4036">
        <w:rPr>
          <w:rFonts w:ascii="Noto Sans" w:hAnsi="Noto Sans" w:cs="Noto Sans"/>
          <w:sz w:val="18"/>
          <w:szCs w:val="18"/>
        </w:rPr>
        <w:t xml:space="preserve">and one partnership </w:t>
      </w:r>
      <w:r w:rsidR="00754237" w:rsidRPr="006D4036">
        <w:rPr>
          <w:rFonts w:ascii="Noto Sans" w:hAnsi="Noto Sans" w:cs="Noto Sans"/>
          <w:sz w:val="18"/>
          <w:szCs w:val="18"/>
        </w:rPr>
        <w:t xml:space="preserve">identified </w:t>
      </w:r>
      <w:r w:rsidR="00137CCF" w:rsidRPr="006D4036">
        <w:rPr>
          <w:rFonts w:ascii="Noto Sans" w:hAnsi="Noto Sans" w:cs="Noto Sans"/>
          <w:sz w:val="18"/>
          <w:szCs w:val="18"/>
        </w:rPr>
        <w:t xml:space="preserve">to </w:t>
      </w:r>
      <w:r w:rsidRPr="006D4036">
        <w:rPr>
          <w:rFonts w:ascii="Noto Sans" w:hAnsi="Noto Sans" w:cs="Noto Sans"/>
          <w:sz w:val="18"/>
          <w:szCs w:val="18"/>
        </w:rPr>
        <w:t xml:space="preserve">finance </w:t>
      </w:r>
      <w:r w:rsidR="00754237" w:rsidRPr="006D4036">
        <w:rPr>
          <w:rFonts w:ascii="Noto Sans" w:hAnsi="Noto Sans" w:cs="Noto Sans"/>
          <w:sz w:val="18"/>
          <w:szCs w:val="18"/>
        </w:rPr>
        <w:t xml:space="preserve">or support further </w:t>
      </w:r>
      <w:r w:rsidR="00F23498" w:rsidRPr="006D4036">
        <w:rPr>
          <w:rFonts w:ascii="Noto Sans" w:hAnsi="Noto Sans" w:cs="Noto Sans"/>
          <w:sz w:val="18"/>
          <w:szCs w:val="18"/>
        </w:rPr>
        <w:t>research</w:t>
      </w:r>
      <w:r w:rsidRPr="006D4036">
        <w:rPr>
          <w:rFonts w:ascii="Noto Sans" w:hAnsi="Noto Sans" w:cs="Noto Sans"/>
          <w:sz w:val="18"/>
          <w:szCs w:val="18"/>
        </w:rPr>
        <w:t xml:space="preserve"> on </w:t>
      </w:r>
      <w:r w:rsidR="00683DB4" w:rsidRPr="006D4036">
        <w:rPr>
          <w:rFonts w:ascii="Noto Sans" w:hAnsi="Noto Sans" w:cs="Noto Sans"/>
          <w:sz w:val="18"/>
          <w:szCs w:val="18"/>
        </w:rPr>
        <w:t xml:space="preserve">the home-grown school feeding program in </w:t>
      </w:r>
      <w:proofErr w:type="spellStart"/>
      <w:r w:rsidR="00683DB4" w:rsidRPr="006D4036">
        <w:rPr>
          <w:rFonts w:ascii="Noto Sans" w:hAnsi="Noto Sans" w:cs="Noto Sans"/>
          <w:sz w:val="18"/>
          <w:szCs w:val="18"/>
        </w:rPr>
        <w:t>Nyanda</w:t>
      </w:r>
      <w:proofErr w:type="spellEnd"/>
      <w:r w:rsidR="00683DB4" w:rsidRPr="006D4036">
        <w:rPr>
          <w:rFonts w:ascii="Noto Sans" w:hAnsi="Noto Sans" w:cs="Noto Sans"/>
          <w:sz w:val="18"/>
          <w:szCs w:val="18"/>
        </w:rPr>
        <w:t>.</w:t>
      </w:r>
    </w:p>
    <w:p w14:paraId="507808BE" w14:textId="13AD723D" w:rsidR="00A46E66" w:rsidRPr="006D4036" w:rsidRDefault="00683DB4" w:rsidP="00A46E66">
      <w:pPr>
        <w:pStyle w:val="ListParagraph"/>
        <w:numPr>
          <w:ilvl w:val="0"/>
          <w:numId w:val="4"/>
        </w:numPr>
        <w:jc w:val="both"/>
        <w:rPr>
          <w:rFonts w:ascii="Noto Sans" w:hAnsi="Noto Sans" w:cs="Noto Sans"/>
          <w:sz w:val="18"/>
          <w:szCs w:val="18"/>
        </w:rPr>
      </w:pPr>
      <w:hyperlink r:id="rId8" w:history="1">
        <w:r w:rsidRPr="006D4036">
          <w:rPr>
            <w:rStyle w:val="Hyperlink"/>
            <w:rFonts w:ascii="Noto Sans" w:hAnsi="Noto Sans" w:cs="Noto Sans"/>
            <w:sz w:val="18"/>
            <w:szCs w:val="18"/>
          </w:rPr>
          <w:t>Rockefeller Foundation's Sustainable Financing Initiative</w:t>
        </w:r>
      </w:hyperlink>
    </w:p>
    <w:p w14:paraId="3E0017FC" w14:textId="2C3DF026" w:rsidR="00A46E66" w:rsidRPr="006D4036" w:rsidRDefault="00A46E66" w:rsidP="00A46E66">
      <w:pPr>
        <w:pStyle w:val="ListParagraph"/>
        <w:numPr>
          <w:ilvl w:val="0"/>
          <w:numId w:val="4"/>
        </w:numPr>
        <w:jc w:val="both"/>
        <w:rPr>
          <w:rFonts w:ascii="Noto Sans" w:hAnsi="Noto Sans" w:cs="Noto Sans"/>
          <w:sz w:val="18"/>
          <w:szCs w:val="18"/>
        </w:rPr>
      </w:pPr>
      <w:hyperlink r:id="rId9" w:history="1">
        <w:r w:rsidRPr="006D4036">
          <w:rPr>
            <w:rStyle w:val="Hyperlink"/>
            <w:sz w:val="22"/>
            <w:szCs w:val="22"/>
          </w:rPr>
          <w:t>KIX</w:t>
        </w:r>
      </w:hyperlink>
      <w:r w:rsidRPr="006D4036">
        <w:rPr>
          <w:sz w:val="22"/>
          <w:szCs w:val="22"/>
        </w:rPr>
        <w:t xml:space="preserve"> and the Global Partnership for Education</w:t>
      </w:r>
    </w:p>
    <w:p w14:paraId="3F1FB464" w14:textId="01A9612A" w:rsidR="00106FBF" w:rsidRPr="006D4036" w:rsidRDefault="00A46E66" w:rsidP="00754237">
      <w:pPr>
        <w:pStyle w:val="ListParagraph"/>
        <w:numPr>
          <w:ilvl w:val="0"/>
          <w:numId w:val="4"/>
        </w:numPr>
        <w:jc w:val="both"/>
        <w:rPr>
          <w:rFonts w:ascii="Noto Sans" w:hAnsi="Noto Sans" w:cs="Noto Sans"/>
          <w:sz w:val="18"/>
          <w:szCs w:val="18"/>
        </w:rPr>
      </w:pPr>
      <w:r w:rsidRPr="006D4036">
        <w:rPr>
          <w:sz w:val="22"/>
          <w:szCs w:val="22"/>
        </w:rPr>
        <w:t xml:space="preserve">Partnership with the World Food </w:t>
      </w:r>
      <w:r w:rsidR="00754237" w:rsidRPr="006D4036">
        <w:rPr>
          <w:sz w:val="22"/>
          <w:szCs w:val="22"/>
        </w:rPr>
        <w:t>Programme</w:t>
      </w:r>
    </w:p>
    <w:tbl>
      <w:tblPr>
        <w:tblStyle w:val="TableGrid"/>
        <w:tblW w:w="9558" w:type="dxa"/>
        <w:tblLayout w:type="fixed"/>
        <w:tblLook w:val="04A0" w:firstRow="1" w:lastRow="0" w:firstColumn="1" w:lastColumn="0" w:noHBand="0" w:noVBand="1"/>
      </w:tblPr>
      <w:tblGrid>
        <w:gridCol w:w="1615"/>
        <w:gridCol w:w="5310"/>
        <w:gridCol w:w="1620"/>
        <w:gridCol w:w="1013"/>
      </w:tblGrid>
      <w:tr w:rsidR="001200E7" w:rsidRPr="006D4036" w14:paraId="1C08B654" w14:textId="77777777" w:rsidTr="006D4036">
        <w:trPr>
          <w:trHeight w:val="168"/>
        </w:trPr>
        <w:tc>
          <w:tcPr>
            <w:tcW w:w="1615" w:type="dxa"/>
          </w:tcPr>
          <w:p w14:paraId="407E9559" w14:textId="32E74A13" w:rsidR="001200E7" w:rsidRPr="006D4036" w:rsidRDefault="001200E7" w:rsidP="002C5B50">
            <w:pPr>
              <w:jc w:val="both"/>
              <w:rPr>
                <w:rFonts w:ascii="Noto Sans" w:hAnsi="Noto Sans" w:cs="Noto Sans"/>
                <w:b/>
                <w:bCs/>
                <w:sz w:val="18"/>
                <w:szCs w:val="18"/>
              </w:rPr>
            </w:pPr>
            <w:r w:rsidRPr="006D4036">
              <w:rPr>
                <w:rFonts w:ascii="Noto Sans" w:hAnsi="Noto Sans" w:cs="Noto Sans"/>
                <w:b/>
                <w:bCs/>
                <w:sz w:val="18"/>
                <w:szCs w:val="18"/>
              </w:rPr>
              <w:t>Milestones</w:t>
            </w:r>
          </w:p>
        </w:tc>
        <w:tc>
          <w:tcPr>
            <w:tcW w:w="5310" w:type="dxa"/>
          </w:tcPr>
          <w:p w14:paraId="533452F8" w14:textId="5D6BCCBC" w:rsidR="001200E7" w:rsidRPr="006D4036" w:rsidRDefault="004C6EE9" w:rsidP="002C5B50">
            <w:pPr>
              <w:jc w:val="both"/>
              <w:rPr>
                <w:rFonts w:ascii="Noto Sans" w:hAnsi="Noto Sans" w:cs="Noto Sans"/>
                <w:b/>
                <w:bCs/>
                <w:sz w:val="18"/>
                <w:szCs w:val="18"/>
              </w:rPr>
            </w:pPr>
            <w:r w:rsidRPr="006D4036">
              <w:rPr>
                <w:rFonts w:ascii="Noto Sans" w:hAnsi="Noto Sans" w:cs="Noto Sans"/>
                <w:b/>
                <w:bCs/>
                <w:sz w:val="18"/>
                <w:szCs w:val="18"/>
              </w:rPr>
              <w:t>Activities</w:t>
            </w:r>
          </w:p>
        </w:tc>
        <w:tc>
          <w:tcPr>
            <w:tcW w:w="1620" w:type="dxa"/>
          </w:tcPr>
          <w:p w14:paraId="195FD38E" w14:textId="0276D6AC" w:rsidR="001200E7" w:rsidRPr="006D4036" w:rsidRDefault="004C6EE9" w:rsidP="002C5B50">
            <w:pPr>
              <w:jc w:val="both"/>
              <w:rPr>
                <w:rFonts w:ascii="Noto Sans" w:hAnsi="Noto Sans" w:cs="Noto Sans"/>
                <w:b/>
                <w:bCs/>
                <w:sz w:val="18"/>
                <w:szCs w:val="18"/>
              </w:rPr>
            </w:pPr>
            <w:r w:rsidRPr="006D4036">
              <w:rPr>
                <w:rFonts w:ascii="Noto Sans" w:hAnsi="Noto Sans" w:cs="Noto Sans"/>
                <w:b/>
                <w:bCs/>
                <w:sz w:val="18"/>
                <w:szCs w:val="18"/>
              </w:rPr>
              <w:t>Timeline</w:t>
            </w:r>
          </w:p>
        </w:tc>
        <w:tc>
          <w:tcPr>
            <w:tcW w:w="1013" w:type="dxa"/>
          </w:tcPr>
          <w:p w14:paraId="0C43B1CD" w14:textId="069CE0F2" w:rsidR="001200E7" w:rsidRPr="006D4036" w:rsidRDefault="004C6EE9" w:rsidP="002C5B50">
            <w:pPr>
              <w:jc w:val="both"/>
              <w:rPr>
                <w:rFonts w:ascii="Noto Sans" w:hAnsi="Noto Sans" w:cs="Noto Sans"/>
                <w:b/>
                <w:bCs/>
                <w:sz w:val="18"/>
                <w:szCs w:val="18"/>
              </w:rPr>
            </w:pPr>
            <w:r w:rsidRPr="006D4036">
              <w:rPr>
                <w:rFonts w:ascii="Noto Sans" w:hAnsi="Noto Sans" w:cs="Noto Sans"/>
                <w:b/>
                <w:bCs/>
                <w:sz w:val="18"/>
                <w:szCs w:val="18"/>
              </w:rPr>
              <w:t>budget</w:t>
            </w:r>
          </w:p>
        </w:tc>
      </w:tr>
      <w:tr w:rsidR="001200E7" w:rsidRPr="006D4036" w14:paraId="3B735C1E" w14:textId="77777777" w:rsidTr="000F2B55">
        <w:trPr>
          <w:trHeight w:val="1349"/>
        </w:trPr>
        <w:tc>
          <w:tcPr>
            <w:tcW w:w="1615" w:type="dxa"/>
          </w:tcPr>
          <w:p w14:paraId="1547787B" w14:textId="7C4F2CB2" w:rsidR="001200E7" w:rsidRPr="006D4036" w:rsidRDefault="00641BCB" w:rsidP="00F82244">
            <w:pPr>
              <w:rPr>
                <w:rFonts w:ascii="Noto Sans" w:hAnsi="Noto Sans" w:cs="Noto Sans"/>
                <w:sz w:val="18"/>
                <w:szCs w:val="18"/>
              </w:rPr>
            </w:pPr>
            <w:r w:rsidRPr="006D4036">
              <w:rPr>
                <w:rFonts w:ascii="Noto Sans" w:hAnsi="Noto Sans" w:cs="Noto Sans"/>
                <w:sz w:val="18"/>
                <w:szCs w:val="18"/>
              </w:rPr>
              <w:t xml:space="preserve">Listing </w:t>
            </w:r>
            <w:proofErr w:type="spellStart"/>
            <w:r w:rsidR="004C6EE9" w:rsidRPr="006D4036">
              <w:rPr>
                <w:rFonts w:ascii="Noto Sans" w:hAnsi="Noto Sans" w:cs="Noto Sans"/>
                <w:sz w:val="18"/>
                <w:szCs w:val="18"/>
              </w:rPr>
              <w:t>c</w:t>
            </w:r>
            <w:r w:rsidR="000F2B55">
              <w:rPr>
                <w:rFonts w:ascii="Noto Sans" w:hAnsi="Noto Sans" w:cs="Noto Sans"/>
                <w:sz w:val="18"/>
                <w:szCs w:val="18"/>
              </w:rPr>
              <w:t>exercise</w:t>
            </w:r>
            <w:proofErr w:type="spellEnd"/>
          </w:p>
        </w:tc>
        <w:tc>
          <w:tcPr>
            <w:tcW w:w="5310" w:type="dxa"/>
          </w:tcPr>
          <w:p w14:paraId="77EA6E8B" w14:textId="77777777" w:rsidR="001200E7" w:rsidRPr="006D4036" w:rsidRDefault="00915E04" w:rsidP="004619F4">
            <w:pPr>
              <w:pStyle w:val="ListParagraph"/>
              <w:numPr>
                <w:ilvl w:val="0"/>
                <w:numId w:val="5"/>
              </w:numPr>
              <w:rPr>
                <w:rFonts w:ascii="Noto Sans" w:hAnsi="Noto Sans" w:cs="Noto Sans"/>
                <w:sz w:val="18"/>
                <w:szCs w:val="18"/>
              </w:rPr>
            </w:pPr>
            <w:r w:rsidRPr="006D4036">
              <w:rPr>
                <w:rFonts w:ascii="Noto Sans" w:hAnsi="Noto Sans" w:cs="Noto Sans"/>
                <w:sz w:val="18"/>
                <w:szCs w:val="18"/>
              </w:rPr>
              <w:t xml:space="preserve">Generate a dataset of school feeding in </w:t>
            </w:r>
            <w:proofErr w:type="spellStart"/>
            <w:r w:rsidRPr="006D4036">
              <w:rPr>
                <w:rFonts w:ascii="Noto Sans" w:hAnsi="Noto Sans" w:cs="Noto Sans"/>
                <w:sz w:val="18"/>
                <w:szCs w:val="18"/>
              </w:rPr>
              <w:t>Nyanda</w:t>
            </w:r>
            <w:proofErr w:type="spellEnd"/>
          </w:p>
          <w:p w14:paraId="200E4330" w14:textId="77777777" w:rsidR="00915E04" w:rsidRPr="006D4036" w:rsidRDefault="00915E04" w:rsidP="004619F4">
            <w:pPr>
              <w:pStyle w:val="ListParagraph"/>
              <w:numPr>
                <w:ilvl w:val="0"/>
                <w:numId w:val="5"/>
              </w:numPr>
              <w:rPr>
                <w:rFonts w:ascii="Noto Sans" w:hAnsi="Noto Sans" w:cs="Noto Sans"/>
                <w:sz w:val="18"/>
                <w:szCs w:val="18"/>
              </w:rPr>
            </w:pPr>
            <w:r w:rsidRPr="006D4036">
              <w:rPr>
                <w:rFonts w:ascii="Noto Sans" w:hAnsi="Noto Sans" w:cs="Noto Sans"/>
                <w:sz w:val="18"/>
                <w:szCs w:val="18"/>
              </w:rPr>
              <w:t xml:space="preserve">Select </w:t>
            </w:r>
            <w:r w:rsidR="0052320F" w:rsidRPr="006D4036">
              <w:rPr>
                <w:rFonts w:ascii="Noto Sans" w:hAnsi="Noto Sans" w:cs="Noto Sans"/>
                <w:sz w:val="18"/>
                <w:szCs w:val="18"/>
              </w:rPr>
              <w:t xml:space="preserve">approximately 100 rural </w:t>
            </w:r>
            <w:r w:rsidRPr="006D4036">
              <w:rPr>
                <w:rFonts w:ascii="Noto Sans" w:hAnsi="Noto Sans" w:cs="Noto Sans"/>
                <w:sz w:val="18"/>
                <w:szCs w:val="18"/>
              </w:rPr>
              <w:t xml:space="preserve">schools </w:t>
            </w:r>
          </w:p>
          <w:p w14:paraId="05E633BD" w14:textId="624EC3CC" w:rsidR="0052320F" w:rsidRPr="006D4036" w:rsidRDefault="0052320F" w:rsidP="004619F4">
            <w:pPr>
              <w:pStyle w:val="ListParagraph"/>
              <w:numPr>
                <w:ilvl w:val="0"/>
                <w:numId w:val="5"/>
              </w:numPr>
              <w:rPr>
                <w:rFonts w:ascii="Noto Sans" w:hAnsi="Noto Sans" w:cs="Noto Sans"/>
                <w:sz w:val="18"/>
                <w:szCs w:val="18"/>
              </w:rPr>
            </w:pPr>
            <w:r w:rsidRPr="006D4036">
              <w:rPr>
                <w:rFonts w:ascii="Noto Sans" w:hAnsi="Noto Sans" w:cs="Noto Sans"/>
                <w:sz w:val="18"/>
                <w:szCs w:val="18"/>
              </w:rPr>
              <w:t>Complete a listing exercise</w:t>
            </w:r>
            <w:r w:rsidR="009F5A39" w:rsidRPr="006D4036">
              <w:rPr>
                <w:rFonts w:ascii="Noto Sans" w:hAnsi="Noto Sans" w:cs="Noto Sans"/>
                <w:sz w:val="18"/>
                <w:szCs w:val="18"/>
              </w:rPr>
              <w:t xml:space="preserve"> </w:t>
            </w:r>
          </w:p>
          <w:p w14:paraId="3DA9A123" w14:textId="77777777" w:rsidR="00F82244" w:rsidRPr="006D4036" w:rsidRDefault="00F82244" w:rsidP="004619F4">
            <w:pPr>
              <w:pStyle w:val="ListParagraph"/>
              <w:numPr>
                <w:ilvl w:val="0"/>
                <w:numId w:val="5"/>
              </w:numPr>
              <w:rPr>
                <w:rFonts w:ascii="Noto Sans" w:hAnsi="Noto Sans" w:cs="Noto Sans"/>
                <w:sz w:val="18"/>
                <w:szCs w:val="18"/>
              </w:rPr>
            </w:pPr>
            <w:r w:rsidRPr="006D4036">
              <w:rPr>
                <w:rFonts w:ascii="Noto Sans" w:hAnsi="Noto Sans" w:cs="Noto Sans"/>
                <w:sz w:val="18"/>
                <w:szCs w:val="18"/>
              </w:rPr>
              <w:t>Partner engagement</w:t>
            </w:r>
          </w:p>
          <w:p w14:paraId="757AA9C9" w14:textId="77777777" w:rsidR="000A2996" w:rsidRPr="006D4036" w:rsidRDefault="000A2996" w:rsidP="004619F4">
            <w:pPr>
              <w:pStyle w:val="ListParagraph"/>
              <w:numPr>
                <w:ilvl w:val="0"/>
                <w:numId w:val="5"/>
              </w:numPr>
              <w:rPr>
                <w:rFonts w:ascii="Noto Sans" w:hAnsi="Noto Sans" w:cs="Noto Sans"/>
                <w:sz w:val="18"/>
                <w:szCs w:val="18"/>
              </w:rPr>
            </w:pPr>
            <w:r w:rsidRPr="006D4036">
              <w:rPr>
                <w:rFonts w:ascii="Noto Sans" w:hAnsi="Noto Sans" w:cs="Noto Sans"/>
                <w:sz w:val="18"/>
                <w:szCs w:val="18"/>
              </w:rPr>
              <w:t>Pre-analysis plan</w:t>
            </w:r>
          </w:p>
          <w:p w14:paraId="71E5B07E" w14:textId="38158641" w:rsidR="000A2996" w:rsidRPr="006D4036" w:rsidRDefault="000A2996" w:rsidP="004619F4">
            <w:pPr>
              <w:pStyle w:val="ListParagraph"/>
              <w:numPr>
                <w:ilvl w:val="0"/>
                <w:numId w:val="5"/>
              </w:numPr>
              <w:rPr>
                <w:rFonts w:ascii="Noto Sans" w:hAnsi="Noto Sans" w:cs="Noto Sans"/>
                <w:sz w:val="18"/>
                <w:szCs w:val="18"/>
              </w:rPr>
            </w:pPr>
            <w:r w:rsidRPr="006D4036">
              <w:rPr>
                <w:rFonts w:ascii="Noto Sans" w:hAnsi="Noto Sans" w:cs="Noto Sans"/>
                <w:sz w:val="18"/>
                <w:szCs w:val="18"/>
              </w:rPr>
              <w:t>Inception report</w:t>
            </w:r>
          </w:p>
        </w:tc>
        <w:tc>
          <w:tcPr>
            <w:tcW w:w="1620" w:type="dxa"/>
          </w:tcPr>
          <w:p w14:paraId="13B0B941" w14:textId="2F699FFE" w:rsidR="001200E7" w:rsidRPr="006D4036" w:rsidRDefault="003B6AAE" w:rsidP="002C5B50">
            <w:pPr>
              <w:jc w:val="both"/>
              <w:rPr>
                <w:rFonts w:ascii="Noto Sans" w:hAnsi="Noto Sans" w:cs="Noto Sans"/>
                <w:sz w:val="18"/>
                <w:szCs w:val="18"/>
              </w:rPr>
            </w:pPr>
            <w:r w:rsidRPr="006D4036">
              <w:rPr>
                <w:rFonts w:ascii="Noto Sans" w:hAnsi="Noto Sans" w:cs="Noto Sans"/>
                <w:sz w:val="18"/>
                <w:szCs w:val="18"/>
              </w:rPr>
              <w:t>2</w:t>
            </w:r>
            <w:r w:rsidR="00696C08" w:rsidRPr="006D4036">
              <w:rPr>
                <w:rFonts w:ascii="Noto Sans" w:hAnsi="Noto Sans" w:cs="Noto Sans"/>
                <w:sz w:val="18"/>
                <w:szCs w:val="18"/>
              </w:rPr>
              <w:t xml:space="preserve"> months</w:t>
            </w:r>
          </w:p>
        </w:tc>
        <w:tc>
          <w:tcPr>
            <w:tcW w:w="1013" w:type="dxa"/>
          </w:tcPr>
          <w:p w14:paraId="7DBFA03E" w14:textId="38A33D20" w:rsidR="001200E7" w:rsidRPr="006D4036" w:rsidRDefault="00D27FB9" w:rsidP="002C5B50">
            <w:pPr>
              <w:jc w:val="both"/>
              <w:rPr>
                <w:rFonts w:ascii="Noto Sans" w:hAnsi="Noto Sans" w:cs="Noto Sans"/>
                <w:sz w:val="18"/>
                <w:szCs w:val="18"/>
              </w:rPr>
            </w:pPr>
            <w:r w:rsidRPr="006D4036">
              <w:rPr>
                <w:rFonts w:ascii="Noto Sans" w:hAnsi="Noto Sans" w:cs="Noto Sans"/>
                <w:sz w:val="18"/>
                <w:szCs w:val="18"/>
              </w:rPr>
              <w:t>3</w:t>
            </w:r>
            <w:r w:rsidR="009F5A39" w:rsidRPr="006D4036">
              <w:rPr>
                <w:rFonts w:ascii="Noto Sans" w:hAnsi="Noto Sans" w:cs="Noto Sans"/>
                <w:sz w:val="18"/>
                <w:szCs w:val="18"/>
              </w:rPr>
              <w:t>0,000</w:t>
            </w:r>
            <w:r w:rsidR="00500759" w:rsidRPr="006D4036">
              <w:rPr>
                <w:rFonts w:ascii="Noto Sans" w:hAnsi="Noto Sans" w:cs="Noto Sans"/>
                <w:sz w:val="18"/>
                <w:szCs w:val="18"/>
              </w:rPr>
              <w:t xml:space="preserve"> US$</w:t>
            </w:r>
          </w:p>
        </w:tc>
      </w:tr>
      <w:tr w:rsidR="001200E7" w:rsidRPr="006D4036" w14:paraId="48204451" w14:textId="77777777" w:rsidTr="006D4036">
        <w:trPr>
          <w:trHeight w:val="89"/>
        </w:trPr>
        <w:tc>
          <w:tcPr>
            <w:tcW w:w="1615" w:type="dxa"/>
          </w:tcPr>
          <w:p w14:paraId="53A1AC76" w14:textId="5B148797" w:rsidR="001200E7" w:rsidRPr="006D4036" w:rsidRDefault="00D24A78" w:rsidP="00F82244">
            <w:pPr>
              <w:rPr>
                <w:rFonts w:ascii="Noto Sans" w:hAnsi="Noto Sans" w:cs="Noto Sans"/>
                <w:sz w:val="18"/>
                <w:szCs w:val="18"/>
              </w:rPr>
            </w:pPr>
            <w:r w:rsidRPr="006D4036">
              <w:rPr>
                <w:rFonts w:ascii="Noto Sans" w:hAnsi="Noto Sans" w:cs="Noto Sans"/>
                <w:sz w:val="18"/>
                <w:szCs w:val="18"/>
              </w:rPr>
              <w:t>Students baseline</w:t>
            </w:r>
          </w:p>
        </w:tc>
        <w:tc>
          <w:tcPr>
            <w:tcW w:w="5310" w:type="dxa"/>
          </w:tcPr>
          <w:p w14:paraId="3AFA0C2D" w14:textId="23DA7FBF" w:rsidR="004619F4" w:rsidRPr="006D4036" w:rsidRDefault="004619F4" w:rsidP="004619F4">
            <w:pPr>
              <w:pStyle w:val="ListParagraph"/>
              <w:numPr>
                <w:ilvl w:val="0"/>
                <w:numId w:val="5"/>
              </w:numPr>
              <w:rPr>
                <w:rFonts w:ascii="Noto Sans" w:hAnsi="Noto Sans" w:cs="Noto Sans"/>
                <w:sz w:val="18"/>
                <w:szCs w:val="18"/>
              </w:rPr>
            </w:pPr>
            <w:r w:rsidRPr="006D4036">
              <w:rPr>
                <w:rFonts w:ascii="Noto Sans" w:hAnsi="Noto Sans" w:cs="Noto Sans"/>
                <w:sz w:val="18"/>
                <w:szCs w:val="18"/>
              </w:rPr>
              <w:t>Select survey firm for data collection activity</w:t>
            </w:r>
          </w:p>
          <w:p w14:paraId="66759217" w14:textId="25C806E2" w:rsidR="004619F4" w:rsidRPr="006D4036" w:rsidRDefault="004619F4" w:rsidP="004619F4">
            <w:pPr>
              <w:pStyle w:val="ListParagraph"/>
              <w:numPr>
                <w:ilvl w:val="0"/>
                <w:numId w:val="5"/>
              </w:numPr>
              <w:rPr>
                <w:rFonts w:ascii="Noto Sans" w:hAnsi="Noto Sans" w:cs="Noto Sans"/>
                <w:sz w:val="18"/>
                <w:szCs w:val="18"/>
              </w:rPr>
            </w:pPr>
            <w:r w:rsidRPr="006D4036">
              <w:rPr>
                <w:rFonts w:ascii="Noto Sans" w:hAnsi="Noto Sans" w:cs="Noto Sans"/>
                <w:sz w:val="18"/>
                <w:szCs w:val="18"/>
              </w:rPr>
              <w:t>Develop the instruments and the data quality checks</w:t>
            </w:r>
          </w:p>
          <w:p w14:paraId="0CB7C799" w14:textId="7AF54908" w:rsidR="004619F4" w:rsidRPr="006D4036" w:rsidRDefault="004619F4" w:rsidP="004619F4">
            <w:pPr>
              <w:pStyle w:val="ListParagraph"/>
              <w:numPr>
                <w:ilvl w:val="0"/>
                <w:numId w:val="5"/>
              </w:numPr>
              <w:rPr>
                <w:rFonts w:ascii="Noto Sans" w:hAnsi="Noto Sans" w:cs="Noto Sans"/>
                <w:sz w:val="18"/>
                <w:szCs w:val="18"/>
              </w:rPr>
            </w:pPr>
            <w:r w:rsidRPr="006D4036">
              <w:rPr>
                <w:rFonts w:ascii="Noto Sans" w:hAnsi="Noto Sans" w:cs="Noto Sans"/>
                <w:sz w:val="18"/>
                <w:szCs w:val="18"/>
              </w:rPr>
              <w:t>Train the field staff</w:t>
            </w:r>
          </w:p>
          <w:p w14:paraId="1D5982FA" w14:textId="5FB0D4C5" w:rsidR="004619F4" w:rsidRPr="006D4036" w:rsidRDefault="006E5B8C" w:rsidP="004619F4">
            <w:pPr>
              <w:pStyle w:val="ListParagraph"/>
              <w:numPr>
                <w:ilvl w:val="0"/>
                <w:numId w:val="5"/>
              </w:numPr>
              <w:rPr>
                <w:rFonts w:ascii="Noto Sans" w:hAnsi="Noto Sans" w:cs="Noto Sans"/>
                <w:sz w:val="18"/>
                <w:szCs w:val="18"/>
              </w:rPr>
            </w:pPr>
            <w:r w:rsidRPr="006D4036">
              <w:rPr>
                <w:rFonts w:ascii="Noto Sans" w:hAnsi="Noto Sans" w:cs="Noto Sans"/>
                <w:sz w:val="18"/>
                <w:szCs w:val="18"/>
              </w:rPr>
              <w:t>Manage f</w:t>
            </w:r>
            <w:r w:rsidR="00C57514" w:rsidRPr="006D4036">
              <w:rPr>
                <w:rFonts w:ascii="Noto Sans" w:hAnsi="Noto Sans" w:cs="Noto Sans"/>
                <w:sz w:val="18"/>
                <w:szCs w:val="18"/>
              </w:rPr>
              <w:t>ield work</w:t>
            </w:r>
          </w:p>
          <w:p w14:paraId="1171FD42" w14:textId="77777777" w:rsidR="00C57514" w:rsidRPr="006D4036" w:rsidRDefault="00C57514" w:rsidP="004619F4">
            <w:pPr>
              <w:pStyle w:val="ListParagraph"/>
              <w:numPr>
                <w:ilvl w:val="0"/>
                <w:numId w:val="5"/>
              </w:numPr>
              <w:rPr>
                <w:rFonts w:ascii="Noto Sans" w:hAnsi="Noto Sans" w:cs="Noto Sans"/>
                <w:sz w:val="18"/>
                <w:szCs w:val="18"/>
              </w:rPr>
            </w:pPr>
            <w:r w:rsidRPr="006D4036">
              <w:rPr>
                <w:rFonts w:ascii="Noto Sans" w:hAnsi="Noto Sans" w:cs="Noto Sans"/>
                <w:sz w:val="18"/>
                <w:szCs w:val="18"/>
              </w:rPr>
              <w:t xml:space="preserve">Monitory data quality </w:t>
            </w:r>
          </w:p>
          <w:p w14:paraId="676BBD88" w14:textId="00ADB9AD" w:rsidR="00F82244" w:rsidRPr="006D4036" w:rsidRDefault="00263662" w:rsidP="00F82244">
            <w:pPr>
              <w:pStyle w:val="ListParagraph"/>
              <w:numPr>
                <w:ilvl w:val="0"/>
                <w:numId w:val="5"/>
              </w:numPr>
              <w:rPr>
                <w:rFonts w:ascii="Noto Sans" w:hAnsi="Noto Sans" w:cs="Noto Sans"/>
                <w:sz w:val="18"/>
                <w:szCs w:val="18"/>
              </w:rPr>
            </w:pPr>
            <w:r w:rsidRPr="006D4036">
              <w:rPr>
                <w:rFonts w:ascii="Noto Sans" w:hAnsi="Noto Sans" w:cs="Noto Sans"/>
                <w:sz w:val="18"/>
                <w:szCs w:val="18"/>
              </w:rPr>
              <w:t xml:space="preserve">Generate </w:t>
            </w:r>
            <w:r w:rsidR="00C57514" w:rsidRPr="006D4036">
              <w:rPr>
                <w:rFonts w:ascii="Noto Sans" w:hAnsi="Noto Sans" w:cs="Noto Sans"/>
                <w:sz w:val="18"/>
                <w:szCs w:val="18"/>
              </w:rPr>
              <w:t xml:space="preserve">baseline values </w:t>
            </w:r>
            <w:r w:rsidRPr="006D4036">
              <w:rPr>
                <w:rFonts w:ascii="Noto Sans" w:hAnsi="Noto Sans" w:cs="Noto Sans"/>
                <w:sz w:val="18"/>
                <w:szCs w:val="18"/>
              </w:rPr>
              <w:t>for the selected indicators</w:t>
            </w:r>
          </w:p>
          <w:p w14:paraId="31E21836" w14:textId="77777777" w:rsidR="00F82244" w:rsidRPr="006D4036" w:rsidRDefault="00F82244" w:rsidP="00F82244">
            <w:pPr>
              <w:pStyle w:val="ListParagraph"/>
              <w:numPr>
                <w:ilvl w:val="0"/>
                <w:numId w:val="5"/>
              </w:numPr>
              <w:rPr>
                <w:rFonts w:ascii="Noto Sans" w:hAnsi="Noto Sans" w:cs="Noto Sans"/>
                <w:sz w:val="18"/>
                <w:szCs w:val="18"/>
              </w:rPr>
            </w:pPr>
            <w:r w:rsidRPr="006D4036">
              <w:rPr>
                <w:rFonts w:ascii="Noto Sans" w:hAnsi="Noto Sans" w:cs="Noto Sans"/>
                <w:sz w:val="18"/>
                <w:szCs w:val="18"/>
              </w:rPr>
              <w:t>Partner engagement</w:t>
            </w:r>
          </w:p>
          <w:p w14:paraId="7C62023B" w14:textId="7E641445" w:rsidR="000A2996" w:rsidRPr="006D4036" w:rsidRDefault="000A2996" w:rsidP="00F82244">
            <w:pPr>
              <w:pStyle w:val="ListParagraph"/>
              <w:numPr>
                <w:ilvl w:val="0"/>
                <w:numId w:val="5"/>
              </w:numPr>
              <w:rPr>
                <w:rFonts w:ascii="Noto Sans" w:hAnsi="Noto Sans" w:cs="Noto Sans"/>
                <w:sz w:val="18"/>
                <w:szCs w:val="18"/>
              </w:rPr>
            </w:pPr>
            <w:r w:rsidRPr="006D4036">
              <w:rPr>
                <w:rFonts w:ascii="Noto Sans" w:hAnsi="Noto Sans" w:cs="Noto Sans"/>
                <w:sz w:val="18"/>
                <w:szCs w:val="18"/>
              </w:rPr>
              <w:t>Baseline report</w:t>
            </w:r>
          </w:p>
        </w:tc>
        <w:tc>
          <w:tcPr>
            <w:tcW w:w="1620" w:type="dxa"/>
          </w:tcPr>
          <w:p w14:paraId="56FC89B1" w14:textId="6058064F" w:rsidR="001200E7" w:rsidRPr="006D4036" w:rsidRDefault="00D27FB9" w:rsidP="002C5B50">
            <w:pPr>
              <w:jc w:val="both"/>
              <w:rPr>
                <w:rFonts w:ascii="Noto Sans" w:hAnsi="Noto Sans" w:cs="Noto Sans"/>
                <w:sz w:val="18"/>
                <w:szCs w:val="18"/>
              </w:rPr>
            </w:pPr>
            <w:r w:rsidRPr="006D4036">
              <w:rPr>
                <w:rFonts w:ascii="Noto Sans" w:hAnsi="Noto Sans" w:cs="Noto Sans"/>
                <w:sz w:val="18"/>
                <w:szCs w:val="18"/>
              </w:rPr>
              <w:t xml:space="preserve"> </w:t>
            </w:r>
            <w:r w:rsidR="003B6AAE" w:rsidRPr="006D4036">
              <w:rPr>
                <w:rFonts w:ascii="Noto Sans" w:hAnsi="Noto Sans" w:cs="Noto Sans"/>
                <w:sz w:val="18"/>
                <w:szCs w:val="18"/>
              </w:rPr>
              <w:t xml:space="preserve">3 </w:t>
            </w:r>
            <w:r w:rsidRPr="006D4036">
              <w:rPr>
                <w:rFonts w:ascii="Noto Sans" w:hAnsi="Noto Sans" w:cs="Noto Sans"/>
                <w:sz w:val="18"/>
                <w:szCs w:val="18"/>
              </w:rPr>
              <w:t>months</w:t>
            </w:r>
          </w:p>
        </w:tc>
        <w:tc>
          <w:tcPr>
            <w:tcW w:w="1013" w:type="dxa"/>
          </w:tcPr>
          <w:p w14:paraId="313B39AC" w14:textId="53F08F55" w:rsidR="001200E7" w:rsidRPr="006D4036" w:rsidRDefault="00D27FB9" w:rsidP="002C5B50">
            <w:pPr>
              <w:jc w:val="both"/>
              <w:rPr>
                <w:rFonts w:ascii="Noto Sans" w:hAnsi="Noto Sans" w:cs="Noto Sans"/>
                <w:sz w:val="18"/>
                <w:szCs w:val="18"/>
              </w:rPr>
            </w:pPr>
            <w:r w:rsidRPr="006D4036">
              <w:rPr>
                <w:rFonts w:ascii="Noto Sans" w:hAnsi="Noto Sans" w:cs="Noto Sans"/>
                <w:sz w:val="18"/>
                <w:szCs w:val="18"/>
              </w:rPr>
              <w:t>50,000</w:t>
            </w:r>
            <w:r w:rsidR="00942481" w:rsidRPr="006D4036">
              <w:rPr>
                <w:rFonts w:ascii="Noto Sans" w:hAnsi="Noto Sans" w:cs="Noto Sans"/>
                <w:sz w:val="18"/>
                <w:szCs w:val="18"/>
              </w:rPr>
              <w:t xml:space="preserve"> US$</w:t>
            </w:r>
          </w:p>
        </w:tc>
      </w:tr>
      <w:tr w:rsidR="001200E7" w:rsidRPr="006D4036" w14:paraId="40B09315" w14:textId="77777777" w:rsidTr="006D4036">
        <w:trPr>
          <w:trHeight w:val="89"/>
        </w:trPr>
        <w:tc>
          <w:tcPr>
            <w:tcW w:w="1615" w:type="dxa"/>
          </w:tcPr>
          <w:p w14:paraId="18E9A02F" w14:textId="7CEA1B38" w:rsidR="001200E7" w:rsidRPr="006D4036" w:rsidRDefault="00263662" w:rsidP="00F82244">
            <w:pPr>
              <w:rPr>
                <w:rFonts w:ascii="Noto Sans" w:hAnsi="Noto Sans" w:cs="Noto Sans"/>
                <w:sz w:val="18"/>
                <w:szCs w:val="18"/>
              </w:rPr>
            </w:pPr>
            <w:r w:rsidRPr="006D4036">
              <w:rPr>
                <w:rFonts w:ascii="Noto Sans" w:hAnsi="Noto Sans" w:cs="Noto Sans"/>
                <w:sz w:val="18"/>
                <w:szCs w:val="18"/>
              </w:rPr>
              <w:t xml:space="preserve">End </w:t>
            </w:r>
            <w:r w:rsidR="00EF3584" w:rsidRPr="006D4036">
              <w:rPr>
                <w:rFonts w:ascii="Noto Sans" w:hAnsi="Noto Sans" w:cs="Noto Sans"/>
                <w:sz w:val="18"/>
                <w:szCs w:val="18"/>
              </w:rPr>
              <w:t xml:space="preserve">line </w:t>
            </w:r>
            <w:r w:rsidRPr="006D4036">
              <w:rPr>
                <w:rFonts w:ascii="Noto Sans" w:hAnsi="Noto Sans" w:cs="Noto Sans"/>
                <w:sz w:val="18"/>
                <w:szCs w:val="18"/>
              </w:rPr>
              <w:t>year</w:t>
            </w:r>
            <w:r w:rsidR="00EF3584" w:rsidRPr="006D4036">
              <w:rPr>
                <w:rFonts w:ascii="Noto Sans" w:hAnsi="Noto Sans" w:cs="Noto Sans"/>
                <w:sz w:val="18"/>
                <w:szCs w:val="18"/>
              </w:rPr>
              <w:t xml:space="preserve">1 </w:t>
            </w:r>
            <w:r w:rsidR="006E5B8C" w:rsidRPr="006D4036">
              <w:rPr>
                <w:rFonts w:ascii="Noto Sans" w:hAnsi="Noto Sans" w:cs="Noto Sans"/>
                <w:sz w:val="18"/>
                <w:szCs w:val="18"/>
              </w:rPr>
              <w:t>survey</w:t>
            </w:r>
          </w:p>
        </w:tc>
        <w:tc>
          <w:tcPr>
            <w:tcW w:w="5310" w:type="dxa"/>
          </w:tcPr>
          <w:p w14:paraId="3A7E8A84" w14:textId="77777777" w:rsidR="009B2379" w:rsidRPr="006D4036" w:rsidRDefault="009B2379" w:rsidP="009B2379">
            <w:pPr>
              <w:pStyle w:val="ListParagraph"/>
              <w:numPr>
                <w:ilvl w:val="0"/>
                <w:numId w:val="5"/>
              </w:numPr>
              <w:rPr>
                <w:rFonts w:ascii="Noto Sans" w:hAnsi="Noto Sans" w:cs="Noto Sans"/>
                <w:sz w:val="18"/>
                <w:szCs w:val="18"/>
              </w:rPr>
            </w:pPr>
            <w:r w:rsidRPr="006D4036">
              <w:rPr>
                <w:rFonts w:ascii="Noto Sans" w:hAnsi="Noto Sans" w:cs="Noto Sans"/>
                <w:sz w:val="18"/>
                <w:szCs w:val="18"/>
              </w:rPr>
              <w:t>Train the field staff</w:t>
            </w:r>
          </w:p>
          <w:p w14:paraId="2394AAB1" w14:textId="77777777" w:rsidR="009B2379" w:rsidRPr="006D4036" w:rsidRDefault="009B2379" w:rsidP="009B2379">
            <w:pPr>
              <w:pStyle w:val="ListParagraph"/>
              <w:numPr>
                <w:ilvl w:val="0"/>
                <w:numId w:val="5"/>
              </w:numPr>
              <w:rPr>
                <w:rFonts w:ascii="Noto Sans" w:hAnsi="Noto Sans" w:cs="Noto Sans"/>
                <w:sz w:val="18"/>
                <w:szCs w:val="18"/>
              </w:rPr>
            </w:pPr>
            <w:r w:rsidRPr="006D4036">
              <w:rPr>
                <w:rFonts w:ascii="Noto Sans" w:hAnsi="Noto Sans" w:cs="Noto Sans"/>
                <w:sz w:val="18"/>
                <w:szCs w:val="18"/>
              </w:rPr>
              <w:t>Manage field work</w:t>
            </w:r>
          </w:p>
          <w:p w14:paraId="2478DC8D" w14:textId="77777777" w:rsidR="009B2379" w:rsidRPr="006D4036" w:rsidRDefault="009B2379" w:rsidP="009B2379">
            <w:pPr>
              <w:pStyle w:val="ListParagraph"/>
              <w:numPr>
                <w:ilvl w:val="0"/>
                <w:numId w:val="5"/>
              </w:numPr>
              <w:rPr>
                <w:rFonts w:ascii="Noto Sans" w:hAnsi="Noto Sans" w:cs="Noto Sans"/>
                <w:sz w:val="18"/>
                <w:szCs w:val="18"/>
              </w:rPr>
            </w:pPr>
            <w:r w:rsidRPr="006D4036">
              <w:rPr>
                <w:rFonts w:ascii="Noto Sans" w:hAnsi="Noto Sans" w:cs="Noto Sans"/>
                <w:sz w:val="18"/>
                <w:szCs w:val="18"/>
              </w:rPr>
              <w:t>Monitory data quality</w:t>
            </w:r>
          </w:p>
          <w:p w14:paraId="07D1DAAF" w14:textId="77777777" w:rsidR="001200E7" w:rsidRPr="006D4036" w:rsidRDefault="009B2379" w:rsidP="009B2379">
            <w:pPr>
              <w:pStyle w:val="ListParagraph"/>
              <w:numPr>
                <w:ilvl w:val="0"/>
                <w:numId w:val="5"/>
              </w:numPr>
              <w:rPr>
                <w:rFonts w:ascii="Noto Sans" w:hAnsi="Noto Sans" w:cs="Noto Sans"/>
                <w:sz w:val="18"/>
                <w:szCs w:val="18"/>
              </w:rPr>
            </w:pPr>
            <w:r w:rsidRPr="006D4036">
              <w:rPr>
                <w:rFonts w:ascii="Noto Sans" w:hAnsi="Noto Sans" w:cs="Noto Sans"/>
                <w:sz w:val="18"/>
                <w:szCs w:val="18"/>
              </w:rPr>
              <w:t xml:space="preserve">Generate endline values for the selected indicators </w:t>
            </w:r>
          </w:p>
          <w:p w14:paraId="04ABC507" w14:textId="77777777" w:rsidR="009B2379" w:rsidRPr="006D4036" w:rsidRDefault="009B2379" w:rsidP="009B2379">
            <w:pPr>
              <w:pStyle w:val="ListParagraph"/>
              <w:numPr>
                <w:ilvl w:val="0"/>
                <w:numId w:val="5"/>
              </w:numPr>
              <w:rPr>
                <w:rFonts w:ascii="Noto Sans" w:hAnsi="Noto Sans" w:cs="Noto Sans"/>
                <w:sz w:val="18"/>
                <w:szCs w:val="18"/>
              </w:rPr>
            </w:pPr>
            <w:r w:rsidRPr="006D4036">
              <w:rPr>
                <w:rFonts w:ascii="Noto Sans" w:hAnsi="Noto Sans" w:cs="Noto Sans"/>
                <w:sz w:val="18"/>
                <w:szCs w:val="18"/>
              </w:rPr>
              <w:t>Conduct preliminary analysis with baseline indicators</w:t>
            </w:r>
          </w:p>
          <w:p w14:paraId="756EB0D4" w14:textId="77777777" w:rsidR="00F82244" w:rsidRPr="006D4036" w:rsidRDefault="00F82244" w:rsidP="00F82244">
            <w:pPr>
              <w:pStyle w:val="ListParagraph"/>
              <w:numPr>
                <w:ilvl w:val="0"/>
                <w:numId w:val="5"/>
              </w:numPr>
              <w:rPr>
                <w:rFonts w:ascii="Noto Sans" w:hAnsi="Noto Sans" w:cs="Noto Sans"/>
                <w:sz w:val="18"/>
                <w:szCs w:val="18"/>
              </w:rPr>
            </w:pPr>
            <w:r w:rsidRPr="006D4036">
              <w:rPr>
                <w:rFonts w:ascii="Noto Sans" w:hAnsi="Noto Sans" w:cs="Noto Sans"/>
                <w:sz w:val="18"/>
                <w:szCs w:val="18"/>
              </w:rPr>
              <w:lastRenderedPageBreak/>
              <w:t>Partner engagement</w:t>
            </w:r>
          </w:p>
          <w:p w14:paraId="55B2ECDC" w14:textId="430FFF86" w:rsidR="00101FAE" w:rsidRPr="006D4036" w:rsidRDefault="000A2996" w:rsidP="00101FAE">
            <w:pPr>
              <w:pStyle w:val="ListParagraph"/>
              <w:numPr>
                <w:ilvl w:val="0"/>
                <w:numId w:val="5"/>
              </w:numPr>
              <w:rPr>
                <w:rFonts w:ascii="Noto Sans" w:hAnsi="Noto Sans" w:cs="Noto Sans"/>
                <w:sz w:val="18"/>
                <w:szCs w:val="18"/>
              </w:rPr>
            </w:pPr>
            <w:r w:rsidRPr="006D4036">
              <w:rPr>
                <w:rFonts w:ascii="Noto Sans" w:hAnsi="Noto Sans" w:cs="Noto Sans"/>
                <w:sz w:val="18"/>
                <w:szCs w:val="18"/>
              </w:rPr>
              <w:t>Endline year 1 report</w:t>
            </w:r>
          </w:p>
        </w:tc>
        <w:tc>
          <w:tcPr>
            <w:tcW w:w="1620" w:type="dxa"/>
          </w:tcPr>
          <w:p w14:paraId="4C35A031" w14:textId="102AC58A" w:rsidR="001200E7" w:rsidRPr="006D4036" w:rsidRDefault="001B56E3" w:rsidP="002C5B50">
            <w:pPr>
              <w:jc w:val="both"/>
              <w:rPr>
                <w:rFonts w:ascii="Noto Sans" w:hAnsi="Noto Sans" w:cs="Noto Sans"/>
                <w:sz w:val="18"/>
                <w:szCs w:val="18"/>
              </w:rPr>
            </w:pPr>
            <w:r w:rsidRPr="006D4036">
              <w:rPr>
                <w:rFonts w:ascii="Noto Sans" w:hAnsi="Noto Sans" w:cs="Noto Sans"/>
                <w:sz w:val="18"/>
                <w:szCs w:val="18"/>
              </w:rPr>
              <w:lastRenderedPageBreak/>
              <w:t>2 months</w:t>
            </w:r>
          </w:p>
        </w:tc>
        <w:tc>
          <w:tcPr>
            <w:tcW w:w="1013" w:type="dxa"/>
          </w:tcPr>
          <w:p w14:paraId="404F63B3" w14:textId="61AFF6A8" w:rsidR="001200E7" w:rsidRPr="006D4036" w:rsidRDefault="001B56E3" w:rsidP="002C5B50">
            <w:pPr>
              <w:jc w:val="both"/>
              <w:rPr>
                <w:rFonts w:ascii="Noto Sans" w:hAnsi="Noto Sans" w:cs="Noto Sans"/>
                <w:sz w:val="18"/>
                <w:szCs w:val="18"/>
              </w:rPr>
            </w:pPr>
            <w:r w:rsidRPr="006D4036">
              <w:rPr>
                <w:rFonts w:ascii="Noto Sans" w:hAnsi="Noto Sans" w:cs="Noto Sans"/>
                <w:sz w:val="18"/>
                <w:szCs w:val="18"/>
              </w:rPr>
              <w:t>50,000$</w:t>
            </w:r>
          </w:p>
        </w:tc>
      </w:tr>
      <w:tr w:rsidR="00942481" w:rsidRPr="006D4036" w14:paraId="6C310C7B" w14:textId="77777777" w:rsidTr="006D4036">
        <w:trPr>
          <w:trHeight w:val="89"/>
        </w:trPr>
        <w:tc>
          <w:tcPr>
            <w:tcW w:w="1615" w:type="dxa"/>
          </w:tcPr>
          <w:p w14:paraId="52D37B1C" w14:textId="0EBEB7D7" w:rsidR="00942481" w:rsidRPr="006D4036" w:rsidRDefault="00EF3584" w:rsidP="00F82244">
            <w:pPr>
              <w:rPr>
                <w:rFonts w:ascii="Noto Sans" w:hAnsi="Noto Sans" w:cs="Noto Sans"/>
                <w:sz w:val="18"/>
                <w:szCs w:val="18"/>
              </w:rPr>
            </w:pPr>
            <w:r w:rsidRPr="006D4036">
              <w:rPr>
                <w:rFonts w:ascii="Noto Sans" w:hAnsi="Noto Sans" w:cs="Noto Sans"/>
                <w:sz w:val="18"/>
                <w:szCs w:val="18"/>
              </w:rPr>
              <w:t>End line year2 survey</w:t>
            </w:r>
          </w:p>
        </w:tc>
        <w:tc>
          <w:tcPr>
            <w:tcW w:w="5310" w:type="dxa"/>
          </w:tcPr>
          <w:p w14:paraId="527A7D18" w14:textId="77777777" w:rsidR="009B2379" w:rsidRPr="006D4036" w:rsidRDefault="009B2379" w:rsidP="009B2379">
            <w:pPr>
              <w:pStyle w:val="ListParagraph"/>
              <w:numPr>
                <w:ilvl w:val="0"/>
                <w:numId w:val="5"/>
              </w:numPr>
              <w:rPr>
                <w:rFonts w:ascii="Noto Sans" w:hAnsi="Noto Sans" w:cs="Noto Sans"/>
                <w:sz w:val="18"/>
                <w:szCs w:val="18"/>
              </w:rPr>
            </w:pPr>
            <w:r w:rsidRPr="006D4036">
              <w:rPr>
                <w:rFonts w:ascii="Noto Sans" w:hAnsi="Noto Sans" w:cs="Noto Sans"/>
                <w:sz w:val="18"/>
                <w:szCs w:val="18"/>
              </w:rPr>
              <w:t>Train the field staff</w:t>
            </w:r>
          </w:p>
          <w:p w14:paraId="401DEDFE" w14:textId="77777777" w:rsidR="009B2379" w:rsidRPr="006D4036" w:rsidRDefault="009B2379" w:rsidP="009B2379">
            <w:pPr>
              <w:pStyle w:val="ListParagraph"/>
              <w:numPr>
                <w:ilvl w:val="0"/>
                <w:numId w:val="5"/>
              </w:numPr>
              <w:rPr>
                <w:rFonts w:ascii="Noto Sans" w:hAnsi="Noto Sans" w:cs="Noto Sans"/>
                <w:sz w:val="18"/>
                <w:szCs w:val="18"/>
              </w:rPr>
            </w:pPr>
            <w:r w:rsidRPr="006D4036">
              <w:rPr>
                <w:rFonts w:ascii="Noto Sans" w:hAnsi="Noto Sans" w:cs="Noto Sans"/>
                <w:sz w:val="18"/>
                <w:szCs w:val="18"/>
              </w:rPr>
              <w:t>Manage field work</w:t>
            </w:r>
          </w:p>
          <w:p w14:paraId="573FEECE" w14:textId="77777777" w:rsidR="009B2379" w:rsidRPr="006D4036" w:rsidRDefault="009B2379" w:rsidP="009B2379">
            <w:pPr>
              <w:pStyle w:val="ListParagraph"/>
              <w:numPr>
                <w:ilvl w:val="0"/>
                <w:numId w:val="5"/>
              </w:numPr>
              <w:rPr>
                <w:rFonts w:ascii="Noto Sans" w:hAnsi="Noto Sans" w:cs="Noto Sans"/>
                <w:sz w:val="18"/>
                <w:szCs w:val="18"/>
              </w:rPr>
            </w:pPr>
            <w:r w:rsidRPr="006D4036">
              <w:rPr>
                <w:rFonts w:ascii="Noto Sans" w:hAnsi="Noto Sans" w:cs="Noto Sans"/>
                <w:sz w:val="18"/>
                <w:szCs w:val="18"/>
              </w:rPr>
              <w:t>Monitory data quality</w:t>
            </w:r>
          </w:p>
          <w:p w14:paraId="5C4D64F4" w14:textId="77777777" w:rsidR="009B2379" w:rsidRPr="006D4036" w:rsidRDefault="009B2379" w:rsidP="009B2379">
            <w:pPr>
              <w:pStyle w:val="ListParagraph"/>
              <w:numPr>
                <w:ilvl w:val="0"/>
                <w:numId w:val="5"/>
              </w:numPr>
              <w:rPr>
                <w:rFonts w:ascii="Noto Sans" w:hAnsi="Noto Sans" w:cs="Noto Sans"/>
                <w:sz w:val="18"/>
                <w:szCs w:val="18"/>
              </w:rPr>
            </w:pPr>
            <w:r w:rsidRPr="006D4036">
              <w:rPr>
                <w:rFonts w:ascii="Noto Sans" w:hAnsi="Noto Sans" w:cs="Noto Sans"/>
                <w:sz w:val="18"/>
                <w:szCs w:val="18"/>
              </w:rPr>
              <w:t>Generate endline values for the selected indicators</w:t>
            </w:r>
          </w:p>
          <w:p w14:paraId="39B18B0F" w14:textId="77777777" w:rsidR="00942481" w:rsidRPr="006D4036" w:rsidRDefault="009B2379" w:rsidP="009B2379">
            <w:pPr>
              <w:pStyle w:val="ListParagraph"/>
              <w:numPr>
                <w:ilvl w:val="0"/>
                <w:numId w:val="5"/>
              </w:numPr>
              <w:rPr>
                <w:rFonts w:ascii="Noto Sans" w:hAnsi="Noto Sans" w:cs="Noto Sans"/>
                <w:sz w:val="18"/>
                <w:szCs w:val="18"/>
              </w:rPr>
            </w:pPr>
            <w:r w:rsidRPr="006D4036">
              <w:rPr>
                <w:rFonts w:ascii="Noto Sans" w:hAnsi="Noto Sans" w:cs="Noto Sans"/>
                <w:sz w:val="18"/>
                <w:szCs w:val="18"/>
              </w:rPr>
              <w:t>Conduct final analysis with baseline and year 1 indicators</w:t>
            </w:r>
          </w:p>
          <w:p w14:paraId="07618B0E" w14:textId="77777777" w:rsidR="00F82244" w:rsidRPr="006D4036" w:rsidRDefault="00F82244" w:rsidP="009B2379">
            <w:pPr>
              <w:pStyle w:val="ListParagraph"/>
              <w:numPr>
                <w:ilvl w:val="0"/>
                <w:numId w:val="5"/>
              </w:numPr>
              <w:rPr>
                <w:rFonts w:ascii="Noto Sans" w:hAnsi="Noto Sans" w:cs="Noto Sans"/>
                <w:sz w:val="18"/>
                <w:szCs w:val="18"/>
              </w:rPr>
            </w:pPr>
            <w:r w:rsidRPr="006D4036">
              <w:rPr>
                <w:rFonts w:ascii="Noto Sans" w:hAnsi="Noto Sans" w:cs="Noto Sans"/>
                <w:sz w:val="18"/>
                <w:szCs w:val="18"/>
              </w:rPr>
              <w:t>Partner engagement</w:t>
            </w:r>
          </w:p>
          <w:p w14:paraId="1626BBB0" w14:textId="7EE39C15" w:rsidR="000A2996" w:rsidRPr="006D4036" w:rsidRDefault="000A2996" w:rsidP="009B2379">
            <w:pPr>
              <w:pStyle w:val="ListParagraph"/>
              <w:numPr>
                <w:ilvl w:val="0"/>
                <w:numId w:val="5"/>
              </w:numPr>
              <w:rPr>
                <w:rFonts w:ascii="Noto Sans" w:hAnsi="Noto Sans" w:cs="Noto Sans"/>
                <w:sz w:val="18"/>
                <w:szCs w:val="18"/>
              </w:rPr>
            </w:pPr>
            <w:r w:rsidRPr="006D4036">
              <w:rPr>
                <w:rFonts w:ascii="Noto Sans" w:hAnsi="Noto Sans" w:cs="Noto Sans"/>
                <w:sz w:val="18"/>
                <w:szCs w:val="18"/>
              </w:rPr>
              <w:t>Endline year 2 report</w:t>
            </w:r>
          </w:p>
        </w:tc>
        <w:tc>
          <w:tcPr>
            <w:tcW w:w="1620" w:type="dxa"/>
          </w:tcPr>
          <w:p w14:paraId="66FB1298" w14:textId="250F679D" w:rsidR="00942481" w:rsidRPr="006D4036" w:rsidRDefault="001B56E3" w:rsidP="002C5B50">
            <w:pPr>
              <w:jc w:val="both"/>
              <w:rPr>
                <w:rFonts w:ascii="Noto Sans" w:hAnsi="Noto Sans" w:cs="Noto Sans"/>
                <w:sz w:val="18"/>
                <w:szCs w:val="18"/>
              </w:rPr>
            </w:pPr>
            <w:r w:rsidRPr="006D4036">
              <w:rPr>
                <w:rFonts w:ascii="Noto Sans" w:hAnsi="Noto Sans" w:cs="Noto Sans"/>
                <w:sz w:val="18"/>
                <w:szCs w:val="18"/>
              </w:rPr>
              <w:t xml:space="preserve">2 months </w:t>
            </w:r>
          </w:p>
        </w:tc>
        <w:tc>
          <w:tcPr>
            <w:tcW w:w="1013" w:type="dxa"/>
          </w:tcPr>
          <w:p w14:paraId="4905523F" w14:textId="5EE3E527" w:rsidR="00942481" w:rsidRPr="006D4036" w:rsidRDefault="001B56E3" w:rsidP="002C5B50">
            <w:pPr>
              <w:jc w:val="both"/>
              <w:rPr>
                <w:rFonts w:ascii="Noto Sans" w:hAnsi="Noto Sans" w:cs="Noto Sans"/>
                <w:sz w:val="18"/>
                <w:szCs w:val="18"/>
              </w:rPr>
            </w:pPr>
            <w:r w:rsidRPr="006D4036">
              <w:rPr>
                <w:rFonts w:ascii="Noto Sans" w:hAnsi="Noto Sans" w:cs="Noto Sans"/>
                <w:sz w:val="18"/>
                <w:szCs w:val="18"/>
              </w:rPr>
              <w:t>50,000$</w:t>
            </w:r>
          </w:p>
        </w:tc>
      </w:tr>
      <w:tr w:rsidR="00E8146E" w:rsidRPr="006D4036" w14:paraId="13437491" w14:textId="77777777" w:rsidTr="006D4036">
        <w:trPr>
          <w:trHeight w:val="89"/>
        </w:trPr>
        <w:tc>
          <w:tcPr>
            <w:tcW w:w="1615" w:type="dxa"/>
          </w:tcPr>
          <w:p w14:paraId="4B7A9D15" w14:textId="180A800B" w:rsidR="00E8146E" w:rsidRPr="006D4036" w:rsidRDefault="00E8146E" w:rsidP="00E8146E">
            <w:pPr>
              <w:rPr>
                <w:rFonts w:ascii="Noto Sans" w:hAnsi="Noto Sans" w:cs="Noto Sans"/>
                <w:sz w:val="18"/>
                <w:szCs w:val="18"/>
              </w:rPr>
            </w:pPr>
            <w:r w:rsidRPr="006D4036">
              <w:rPr>
                <w:rFonts w:ascii="Noto Sans" w:hAnsi="Noto Sans" w:cs="Noto Sans"/>
                <w:sz w:val="18"/>
                <w:szCs w:val="18"/>
              </w:rPr>
              <w:t xml:space="preserve">Regular monitoring of schools </w:t>
            </w:r>
          </w:p>
        </w:tc>
        <w:tc>
          <w:tcPr>
            <w:tcW w:w="5310" w:type="dxa"/>
          </w:tcPr>
          <w:p w14:paraId="39E913C8" w14:textId="6267F4C1" w:rsidR="00E8146E" w:rsidRPr="006D4036" w:rsidRDefault="00E8146E" w:rsidP="009B2379">
            <w:pPr>
              <w:pStyle w:val="ListParagraph"/>
              <w:numPr>
                <w:ilvl w:val="0"/>
                <w:numId w:val="5"/>
              </w:numPr>
              <w:rPr>
                <w:rFonts w:ascii="Noto Sans" w:hAnsi="Noto Sans" w:cs="Noto Sans"/>
                <w:sz w:val="18"/>
                <w:szCs w:val="18"/>
              </w:rPr>
            </w:pPr>
            <w:r w:rsidRPr="006D4036">
              <w:rPr>
                <w:rFonts w:ascii="Noto Sans" w:hAnsi="Noto Sans" w:cs="Noto Sans"/>
                <w:sz w:val="18"/>
                <w:szCs w:val="18"/>
              </w:rPr>
              <w:t xml:space="preserve">This activity would be spanned over the entire 2 years to monitor school compliance </w:t>
            </w:r>
            <w:r w:rsidR="000F2B55" w:rsidRPr="006D4036">
              <w:rPr>
                <w:rFonts w:ascii="Noto Sans" w:hAnsi="Noto Sans" w:cs="Noto Sans"/>
                <w:sz w:val="18"/>
                <w:szCs w:val="18"/>
              </w:rPr>
              <w:t>with</w:t>
            </w:r>
            <w:r w:rsidRPr="006D4036">
              <w:rPr>
                <w:rFonts w:ascii="Noto Sans" w:hAnsi="Noto Sans" w:cs="Noto Sans"/>
                <w:sz w:val="18"/>
                <w:szCs w:val="18"/>
              </w:rPr>
              <w:t xml:space="preserve"> the </w:t>
            </w:r>
            <w:r w:rsidR="00FF4734" w:rsidRPr="006D4036">
              <w:rPr>
                <w:rFonts w:ascii="Noto Sans" w:hAnsi="Noto Sans" w:cs="Noto Sans"/>
                <w:sz w:val="18"/>
                <w:szCs w:val="18"/>
              </w:rPr>
              <w:t>research design.</w:t>
            </w:r>
          </w:p>
        </w:tc>
        <w:tc>
          <w:tcPr>
            <w:tcW w:w="1620" w:type="dxa"/>
          </w:tcPr>
          <w:p w14:paraId="26D324FA" w14:textId="77777777" w:rsidR="006D4036" w:rsidRDefault="00FF4734" w:rsidP="002C5B50">
            <w:pPr>
              <w:jc w:val="both"/>
              <w:rPr>
                <w:rFonts w:ascii="Noto Sans" w:hAnsi="Noto Sans" w:cs="Noto Sans"/>
                <w:sz w:val="18"/>
                <w:szCs w:val="18"/>
              </w:rPr>
            </w:pPr>
            <w:r w:rsidRPr="006D4036">
              <w:rPr>
                <w:rFonts w:ascii="Noto Sans" w:hAnsi="Noto Sans" w:cs="Noto Sans"/>
                <w:sz w:val="18"/>
                <w:szCs w:val="18"/>
              </w:rPr>
              <w:t xml:space="preserve">6 months </w:t>
            </w:r>
          </w:p>
          <w:p w14:paraId="3DA8C1BD" w14:textId="5E34D249" w:rsidR="00E8146E" w:rsidRPr="006D4036" w:rsidRDefault="00FF4734" w:rsidP="006D4036">
            <w:pPr>
              <w:pStyle w:val="ListParagraph"/>
              <w:numPr>
                <w:ilvl w:val="0"/>
                <w:numId w:val="5"/>
              </w:numPr>
              <w:rPr>
                <w:rFonts w:ascii="Noto Sans" w:hAnsi="Noto Sans" w:cs="Noto Sans"/>
                <w:sz w:val="18"/>
                <w:szCs w:val="18"/>
              </w:rPr>
            </w:pPr>
            <w:r w:rsidRPr="006D4036">
              <w:rPr>
                <w:rFonts w:ascii="Noto Sans" w:hAnsi="Noto Sans" w:cs="Noto Sans"/>
                <w:sz w:val="18"/>
                <w:szCs w:val="18"/>
              </w:rPr>
              <w:t xml:space="preserve">6 visits </w:t>
            </w:r>
            <w:r w:rsidR="006D4036">
              <w:rPr>
                <w:rFonts w:ascii="Noto Sans" w:hAnsi="Noto Sans" w:cs="Noto Sans"/>
                <w:sz w:val="18"/>
                <w:szCs w:val="18"/>
              </w:rPr>
              <w:t xml:space="preserve">in </w:t>
            </w:r>
            <w:r w:rsidRPr="006D4036">
              <w:rPr>
                <w:rFonts w:ascii="Noto Sans" w:hAnsi="Noto Sans" w:cs="Noto Sans"/>
                <w:sz w:val="18"/>
                <w:szCs w:val="18"/>
              </w:rPr>
              <w:t xml:space="preserve">2 years </w:t>
            </w:r>
          </w:p>
        </w:tc>
        <w:tc>
          <w:tcPr>
            <w:tcW w:w="1013" w:type="dxa"/>
          </w:tcPr>
          <w:p w14:paraId="0E1D4096" w14:textId="3D0C36E7" w:rsidR="00E8146E" w:rsidRPr="006D4036" w:rsidRDefault="00FF4734" w:rsidP="002C5B50">
            <w:pPr>
              <w:jc w:val="both"/>
              <w:rPr>
                <w:rFonts w:ascii="Noto Sans" w:hAnsi="Noto Sans" w:cs="Noto Sans"/>
                <w:sz w:val="18"/>
                <w:szCs w:val="18"/>
              </w:rPr>
            </w:pPr>
            <w:r w:rsidRPr="006D4036">
              <w:rPr>
                <w:rFonts w:ascii="Noto Sans" w:hAnsi="Noto Sans" w:cs="Noto Sans"/>
                <w:sz w:val="18"/>
                <w:szCs w:val="18"/>
              </w:rPr>
              <w:t>50,000$</w:t>
            </w:r>
          </w:p>
        </w:tc>
      </w:tr>
      <w:tr w:rsidR="00942481" w:rsidRPr="006D4036" w14:paraId="467FFD7E" w14:textId="77777777" w:rsidTr="006D4036">
        <w:trPr>
          <w:trHeight w:val="159"/>
        </w:trPr>
        <w:tc>
          <w:tcPr>
            <w:tcW w:w="1615" w:type="dxa"/>
          </w:tcPr>
          <w:p w14:paraId="30B8C378" w14:textId="0D62A736" w:rsidR="00942481" w:rsidRPr="006D4036" w:rsidRDefault="00F82244" w:rsidP="002C5B50">
            <w:pPr>
              <w:jc w:val="both"/>
              <w:rPr>
                <w:rFonts w:ascii="Noto Sans" w:hAnsi="Noto Sans" w:cs="Noto Sans"/>
                <w:sz w:val="18"/>
                <w:szCs w:val="18"/>
              </w:rPr>
            </w:pPr>
            <w:r w:rsidRPr="006D4036">
              <w:rPr>
                <w:rFonts w:ascii="Noto Sans" w:hAnsi="Noto Sans" w:cs="Noto Sans"/>
                <w:sz w:val="18"/>
                <w:szCs w:val="18"/>
              </w:rPr>
              <w:t>Dissemination</w:t>
            </w:r>
          </w:p>
        </w:tc>
        <w:tc>
          <w:tcPr>
            <w:tcW w:w="5310" w:type="dxa"/>
          </w:tcPr>
          <w:p w14:paraId="65B9FAEB" w14:textId="45233E38" w:rsidR="00942481" w:rsidRPr="006D4036" w:rsidRDefault="00657DAA" w:rsidP="00F82244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Noto Sans" w:hAnsi="Noto Sans" w:cs="Noto Sans"/>
                <w:sz w:val="18"/>
                <w:szCs w:val="18"/>
              </w:rPr>
            </w:pPr>
            <w:r>
              <w:rPr>
                <w:rFonts w:ascii="Noto Sans" w:hAnsi="Noto Sans" w:cs="Noto Sans"/>
                <w:sz w:val="18"/>
                <w:szCs w:val="18"/>
              </w:rPr>
              <w:t>F</w:t>
            </w:r>
            <w:r w:rsidR="000A2996" w:rsidRPr="006D4036">
              <w:rPr>
                <w:rFonts w:ascii="Noto Sans" w:hAnsi="Noto Sans" w:cs="Noto Sans"/>
                <w:sz w:val="18"/>
                <w:szCs w:val="18"/>
              </w:rPr>
              <w:t>inal report</w:t>
            </w:r>
          </w:p>
          <w:p w14:paraId="5E932E2C" w14:textId="33F2957B" w:rsidR="00101FAE" w:rsidRPr="006D4036" w:rsidRDefault="00657DAA" w:rsidP="00101FAE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Noto Sans" w:hAnsi="Noto Sans" w:cs="Noto Sans"/>
                <w:sz w:val="18"/>
                <w:szCs w:val="18"/>
              </w:rPr>
            </w:pPr>
            <w:r>
              <w:rPr>
                <w:rFonts w:ascii="Noto Sans" w:hAnsi="Noto Sans" w:cs="Noto Sans"/>
                <w:sz w:val="18"/>
                <w:szCs w:val="18"/>
              </w:rPr>
              <w:t>Policy discussion</w:t>
            </w:r>
          </w:p>
          <w:p w14:paraId="3B2FA4F1" w14:textId="690454E2" w:rsidR="00101FAE" w:rsidRPr="006D4036" w:rsidRDefault="00101FAE" w:rsidP="00101FAE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Noto Sans" w:hAnsi="Noto Sans" w:cs="Noto Sans"/>
                <w:sz w:val="18"/>
                <w:szCs w:val="18"/>
              </w:rPr>
            </w:pPr>
            <w:r w:rsidRPr="006D4036">
              <w:rPr>
                <w:rFonts w:ascii="Noto Sans" w:hAnsi="Noto Sans" w:cs="Noto Sans"/>
                <w:sz w:val="18"/>
                <w:szCs w:val="18"/>
              </w:rPr>
              <w:t xml:space="preserve">Advocacy of </w:t>
            </w:r>
            <w:proofErr w:type="gramStart"/>
            <w:r w:rsidRPr="006D4036">
              <w:rPr>
                <w:rFonts w:ascii="Noto Sans" w:hAnsi="Noto Sans" w:cs="Noto Sans"/>
                <w:sz w:val="18"/>
                <w:szCs w:val="18"/>
              </w:rPr>
              <w:t>final results</w:t>
            </w:r>
            <w:proofErr w:type="gramEnd"/>
          </w:p>
        </w:tc>
        <w:tc>
          <w:tcPr>
            <w:tcW w:w="1620" w:type="dxa"/>
          </w:tcPr>
          <w:p w14:paraId="2DD77CEE" w14:textId="6AC853E9" w:rsidR="00942481" w:rsidRPr="006D4036" w:rsidRDefault="001B56E3" w:rsidP="002C5B50">
            <w:pPr>
              <w:jc w:val="both"/>
              <w:rPr>
                <w:rFonts w:ascii="Noto Sans" w:hAnsi="Noto Sans" w:cs="Noto Sans"/>
                <w:sz w:val="18"/>
                <w:szCs w:val="18"/>
              </w:rPr>
            </w:pPr>
            <w:r w:rsidRPr="006D4036">
              <w:rPr>
                <w:rFonts w:ascii="Noto Sans" w:hAnsi="Noto Sans" w:cs="Noto Sans"/>
                <w:sz w:val="18"/>
                <w:szCs w:val="18"/>
              </w:rPr>
              <w:t>2 months</w:t>
            </w:r>
          </w:p>
        </w:tc>
        <w:tc>
          <w:tcPr>
            <w:tcW w:w="1013" w:type="dxa"/>
          </w:tcPr>
          <w:p w14:paraId="3EE085F6" w14:textId="10659C53" w:rsidR="00942481" w:rsidRPr="006D4036" w:rsidRDefault="001B56E3" w:rsidP="002C5B50">
            <w:pPr>
              <w:jc w:val="both"/>
              <w:rPr>
                <w:rFonts w:ascii="Noto Sans" w:hAnsi="Noto Sans" w:cs="Noto Sans"/>
                <w:sz w:val="18"/>
                <w:szCs w:val="18"/>
              </w:rPr>
            </w:pPr>
            <w:r w:rsidRPr="006D4036">
              <w:rPr>
                <w:rFonts w:ascii="Noto Sans" w:hAnsi="Noto Sans" w:cs="Noto Sans"/>
                <w:sz w:val="18"/>
                <w:szCs w:val="18"/>
              </w:rPr>
              <w:t>20,000$</w:t>
            </w:r>
          </w:p>
        </w:tc>
      </w:tr>
    </w:tbl>
    <w:p w14:paraId="5EB7AFAC" w14:textId="2A246854" w:rsidR="002C5B50" w:rsidRPr="006D4036" w:rsidRDefault="00942481" w:rsidP="002C5B50">
      <w:pPr>
        <w:jc w:val="both"/>
        <w:rPr>
          <w:rFonts w:ascii="Noto Sans" w:hAnsi="Noto Sans" w:cs="Noto Sans"/>
          <w:i/>
          <w:iCs/>
          <w:sz w:val="18"/>
          <w:szCs w:val="18"/>
        </w:rPr>
      </w:pPr>
      <w:r w:rsidRPr="006D4036">
        <w:rPr>
          <w:rFonts w:ascii="Noto Sans" w:hAnsi="Noto Sans" w:cs="Noto Sans"/>
          <w:i/>
          <w:iCs/>
          <w:sz w:val="18"/>
          <w:szCs w:val="18"/>
        </w:rPr>
        <w:t>N.B: The budget does not consider the personnel directly employed for the management of the impact evaluation</w:t>
      </w:r>
      <w:r w:rsidR="000C1C2A">
        <w:rPr>
          <w:rFonts w:ascii="Noto Sans" w:hAnsi="Noto Sans" w:cs="Noto Sans"/>
          <w:i/>
          <w:iCs/>
          <w:sz w:val="18"/>
          <w:szCs w:val="18"/>
        </w:rPr>
        <w:t xml:space="preserve"> and for the provision of the school feeding program</w:t>
      </w:r>
      <w:r w:rsidR="004924E3" w:rsidRPr="006D4036">
        <w:rPr>
          <w:rFonts w:ascii="Noto Sans" w:hAnsi="Noto Sans" w:cs="Noto Sans"/>
          <w:i/>
          <w:iCs/>
          <w:sz w:val="18"/>
          <w:szCs w:val="18"/>
        </w:rPr>
        <w:t xml:space="preserve">. The budget refers only to the costs for the implementation of the </w:t>
      </w:r>
      <w:r w:rsidR="000C1C2A">
        <w:rPr>
          <w:rFonts w:ascii="Noto Sans" w:hAnsi="Noto Sans" w:cs="Noto Sans"/>
          <w:i/>
          <w:iCs/>
          <w:sz w:val="18"/>
          <w:szCs w:val="18"/>
        </w:rPr>
        <w:t>research</w:t>
      </w:r>
      <w:r w:rsidR="004924E3" w:rsidRPr="006D4036">
        <w:rPr>
          <w:rFonts w:ascii="Noto Sans" w:hAnsi="Noto Sans" w:cs="Noto Sans"/>
          <w:i/>
          <w:iCs/>
          <w:sz w:val="18"/>
          <w:szCs w:val="18"/>
        </w:rPr>
        <w:t>.</w:t>
      </w:r>
    </w:p>
    <w:p w14:paraId="19461555" w14:textId="5985C328" w:rsidR="006C4D5A" w:rsidRPr="006D4036" w:rsidRDefault="006C4D5A" w:rsidP="002C5B50">
      <w:pPr>
        <w:jc w:val="both"/>
        <w:rPr>
          <w:rFonts w:ascii="Noto Sans" w:hAnsi="Noto Sans" w:cs="Noto Sans"/>
          <w:b/>
          <w:bCs/>
          <w:sz w:val="18"/>
          <w:szCs w:val="18"/>
        </w:rPr>
      </w:pPr>
      <w:r w:rsidRPr="006D4036">
        <w:rPr>
          <w:rFonts w:ascii="Noto Sans" w:hAnsi="Noto Sans" w:cs="Noto Sans"/>
          <w:b/>
          <w:bCs/>
          <w:sz w:val="18"/>
          <w:szCs w:val="18"/>
        </w:rPr>
        <w:t>Limitations</w:t>
      </w:r>
    </w:p>
    <w:p w14:paraId="01FC4464" w14:textId="27AE7F75" w:rsidR="00172A90" w:rsidRPr="006D4036" w:rsidRDefault="00560F9B" w:rsidP="002C5B50">
      <w:pPr>
        <w:jc w:val="both"/>
        <w:rPr>
          <w:rFonts w:ascii="Noto Sans" w:hAnsi="Noto Sans" w:cs="Noto Sans"/>
          <w:sz w:val="18"/>
          <w:szCs w:val="18"/>
        </w:rPr>
      </w:pPr>
      <w:r w:rsidRPr="006D4036">
        <w:rPr>
          <w:rFonts w:ascii="Noto Sans" w:hAnsi="Noto Sans" w:cs="Noto Sans"/>
          <w:sz w:val="18"/>
          <w:szCs w:val="18"/>
        </w:rPr>
        <w:t xml:space="preserve">Some of the major limitations and potential </w:t>
      </w:r>
      <w:proofErr w:type="gramStart"/>
      <w:r w:rsidRPr="006D4036">
        <w:rPr>
          <w:rFonts w:ascii="Noto Sans" w:hAnsi="Noto Sans" w:cs="Noto Sans"/>
          <w:sz w:val="18"/>
          <w:szCs w:val="18"/>
        </w:rPr>
        <w:t>risk</w:t>
      </w:r>
      <w:proofErr w:type="gramEnd"/>
      <w:r w:rsidR="00A21C69" w:rsidRPr="006D4036">
        <w:rPr>
          <w:rFonts w:ascii="Noto Sans" w:hAnsi="Noto Sans" w:cs="Noto Sans"/>
          <w:sz w:val="18"/>
          <w:szCs w:val="18"/>
        </w:rPr>
        <w:t>, including mitigation strategies</w:t>
      </w:r>
      <w:r w:rsidRPr="006D4036">
        <w:rPr>
          <w:rFonts w:ascii="Noto Sans" w:hAnsi="Noto Sans" w:cs="Noto Sans"/>
          <w:sz w:val="18"/>
          <w:szCs w:val="18"/>
        </w:rPr>
        <w:t xml:space="preserve"> for this research </w:t>
      </w:r>
      <w:r w:rsidR="00657DAA" w:rsidRPr="006D4036">
        <w:rPr>
          <w:rFonts w:ascii="Noto Sans" w:hAnsi="Noto Sans" w:cs="Noto Sans"/>
          <w:sz w:val="18"/>
          <w:szCs w:val="18"/>
        </w:rPr>
        <w:t>project</w:t>
      </w:r>
      <w:r w:rsidRPr="006D4036">
        <w:rPr>
          <w:rFonts w:ascii="Noto Sans" w:hAnsi="Noto Sans" w:cs="Noto Sans"/>
          <w:sz w:val="18"/>
          <w:szCs w:val="18"/>
        </w:rPr>
        <w:t xml:space="preserve"> are</w:t>
      </w:r>
      <w:r w:rsidR="00172A90" w:rsidRPr="006D4036">
        <w:rPr>
          <w:rFonts w:ascii="Noto Sans" w:hAnsi="Noto Sans" w:cs="Noto Sans"/>
          <w:sz w:val="18"/>
          <w:szCs w:val="18"/>
        </w:rPr>
        <w:t>:</w:t>
      </w:r>
    </w:p>
    <w:p w14:paraId="420625CA" w14:textId="0F67755A" w:rsidR="004924E3" w:rsidRPr="006D4036" w:rsidRDefault="00172A90" w:rsidP="00172A90">
      <w:pPr>
        <w:pStyle w:val="ListParagraph"/>
        <w:numPr>
          <w:ilvl w:val="0"/>
          <w:numId w:val="6"/>
        </w:numPr>
        <w:jc w:val="both"/>
        <w:rPr>
          <w:rFonts w:ascii="Noto Sans" w:hAnsi="Noto Sans" w:cs="Noto Sans"/>
          <w:sz w:val="18"/>
          <w:szCs w:val="18"/>
        </w:rPr>
      </w:pPr>
      <w:r w:rsidRPr="006D4036">
        <w:rPr>
          <w:rFonts w:ascii="Noto Sans" w:hAnsi="Noto Sans" w:cs="Noto Sans"/>
          <w:sz w:val="18"/>
          <w:szCs w:val="18"/>
        </w:rPr>
        <w:t>Attrition of the school management for the school that ended up in the control group</w:t>
      </w:r>
    </w:p>
    <w:p w14:paraId="21BFFAE4" w14:textId="205D3183" w:rsidR="00EB1B37" w:rsidRPr="006D4036" w:rsidRDefault="00A21C69" w:rsidP="00EB1B37">
      <w:pPr>
        <w:pStyle w:val="ListParagraph"/>
        <w:numPr>
          <w:ilvl w:val="1"/>
          <w:numId w:val="6"/>
        </w:numPr>
        <w:jc w:val="both"/>
        <w:rPr>
          <w:rFonts w:ascii="Noto Sans" w:hAnsi="Noto Sans" w:cs="Noto Sans"/>
          <w:sz w:val="18"/>
          <w:szCs w:val="18"/>
        </w:rPr>
      </w:pPr>
      <w:r w:rsidRPr="006D4036">
        <w:rPr>
          <w:rFonts w:ascii="Noto Sans" w:hAnsi="Noto Sans" w:cs="Noto Sans"/>
          <w:sz w:val="18"/>
          <w:szCs w:val="18"/>
        </w:rPr>
        <w:t xml:space="preserve">Mitigation: </w:t>
      </w:r>
      <w:r w:rsidR="00EB1B37" w:rsidRPr="006D4036">
        <w:rPr>
          <w:rFonts w:ascii="Noto Sans" w:hAnsi="Noto Sans" w:cs="Noto Sans"/>
          <w:sz w:val="18"/>
          <w:szCs w:val="18"/>
        </w:rPr>
        <w:t xml:space="preserve">engage school management </w:t>
      </w:r>
      <w:r w:rsidRPr="006D4036">
        <w:rPr>
          <w:rFonts w:ascii="Noto Sans" w:hAnsi="Noto Sans" w:cs="Noto Sans"/>
          <w:sz w:val="18"/>
          <w:szCs w:val="18"/>
        </w:rPr>
        <w:t xml:space="preserve">and communities </w:t>
      </w:r>
      <w:r w:rsidR="00EB1B37" w:rsidRPr="006D4036">
        <w:rPr>
          <w:rFonts w:ascii="Noto Sans" w:hAnsi="Noto Sans" w:cs="Noto Sans"/>
          <w:sz w:val="18"/>
          <w:szCs w:val="18"/>
        </w:rPr>
        <w:t xml:space="preserve">early in </w:t>
      </w:r>
      <w:r w:rsidRPr="006D4036">
        <w:rPr>
          <w:rFonts w:ascii="Noto Sans" w:hAnsi="Noto Sans" w:cs="Noto Sans"/>
          <w:sz w:val="18"/>
          <w:szCs w:val="18"/>
        </w:rPr>
        <w:t>advance, communicate</w:t>
      </w:r>
      <w:r w:rsidR="00EB1B37" w:rsidRPr="006D4036">
        <w:rPr>
          <w:rFonts w:ascii="Noto Sans" w:hAnsi="Noto Sans" w:cs="Noto Sans"/>
          <w:sz w:val="18"/>
          <w:szCs w:val="18"/>
        </w:rPr>
        <w:t xml:space="preserve"> </w:t>
      </w:r>
      <w:proofErr w:type="gramStart"/>
      <w:r w:rsidR="00657DAA" w:rsidRPr="006D4036">
        <w:rPr>
          <w:rFonts w:ascii="Noto Sans" w:hAnsi="Noto Sans" w:cs="Noto Sans"/>
          <w:sz w:val="18"/>
          <w:szCs w:val="18"/>
        </w:rPr>
        <w:t>clearly</w:t>
      </w:r>
      <w:proofErr w:type="gramEnd"/>
      <w:r w:rsidR="00657DAA" w:rsidRPr="006D4036">
        <w:rPr>
          <w:rFonts w:ascii="Noto Sans" w:hAnsi="Noto Sans" w:cs="Noto Sans"/>
          <w:sz w:val="18"/>
          <w:szCs w:val="18"/>
        </w:rPr>
        <w:t xml:space="preserve"> </w:t>
      </w:r>
      <w:r w:rsidR="00EB1B37" w:rsidRPr="006D4036">
        <w:rPr>
          <w:rFonts w:ascii="Noto Sans" w:hAnsi="Noto Sans" w:cs="Noto Sans"/>
          <w:sz w:val="18"/>
          <w:szCs w:val="18"/>
        </w:rPr>
        <w:t xml:space="preserve">the intent of the research and the prospects </w:t>
      </w:r>
      <w:r w:rsidR="006D4036">
        <w:rPr>
          <w:rFonts w:ascii="Noto Sans" w:hAnsi="Noto Sans" w:cs="Noto Sans"/>
          <w:sz w:val="18"/>
          <w:szCs w:val="18"/>
        </w:rPr>
        <w:t>for</w:t>
      </w:r>
      <w:r w:rsidR="007F15B5">
        <w:rPr>
          <w:rFonts w:ascii="Noto Sans" w:hAnsi="Noto Sans" w:cs="Noto Sans"/>
          <w:sz w:val="18"/>
          <w:szCs w:val="18"/>
        </w:rPr>
        <w:t xml:space="preserve"> </w:t>
      </w:r>
      <w:proofErr w:type="spellStart"/>
      <w:r w:rsidR="007F15B5">
        <w:rPr>
          <w:rFonts w:ascii="Noto Sans" w:hAnsi="Noto Sans" w:cs="Noto Sans"/>
          <w:sz w:val="18"/>
          <w:szCs w:val="18"/>
        </w:rPr>
        <w:t>Nyanda</w:t>
      </w:r>
      <w:proofErr w:type="spellEnd"/>
      <w:r w:rsidR="007F15B5">
        <w:rPr>
          <w:rFonts w:ascii="Noto Sans" w:hAnsi="Noto Sans" w:cs="Noto Sans"/>
          <w:sz w:val="18"/>
          <w:szCs w:val="18"/>
        </w:rPr>
        <w:t xml:space="preserve"> education</w:t>
      </w:r>
    </w:p>
    <w:p w14:paraId="73D06EF0" w14:textId="6F31448C" w:rsidR="00172A90" w:rsidRPr="006D4036" w:rsidRDefault="00554F16" w:rsidP="00172A90">
      <w:pPr>
        <w:pStyle w:val="ListParagraph"/>
        <w:numPr>
          <w:ilvl w:val="0"/>
          <w:numId w:val="6"/>
        </w:numPr>
        <w:jc w:val="both"/>
        <w:rPr>
          <w:rFonts w:ascii="Noto Sans" w:hAnsi="Noto Sans" w:cs="Noto Sans"/>
          <w:sz w:val="18"/>
          <w:szCs w:val="18"/>
        </w:rPr>
      </w:pPr>
      <w:r w:rsidRPr="006D4036">
        <w:rPr>
          <w:rFonts w:ascii="Noto Sans" w:hAnsi="Noto Sans" w:cs="Noto Sans"/>
          <w:sz w:val="18"/>
          <w:szCs w:val="18"/>
        </w:rPr>
        <w:t xml:space="preserve">Schools and </w:t>
      </w:r>
      <w:r w:rsidR="00A21C69" w:rsidRPr="006D4036">
        <w:rPr>
          <w:rFonts w:ascii="Noto Sans" w:hAnsi="Noto Sans" w:cs="Noto Sans"/>
          <w:sz w:val="18"/>
          <w:szCs w:val="18"/>
        </w:rPr>
        <w:t>students’</w:t>
      </w:r>
      <w:r w:rsidRPr="006D4036">
        <w:rPr>
          <w:rFonts w:ascii="Noto Sans" w:hAnsi="Noto Sans" w:cs="Noto Sans"/>
          <w:sz w:val="18"/>
          <w:szCs w:val="18"/>
        </w:rPr>
        <w:t xml:space="preserve"> no</w:t>
      </w:r>
      <w:r w:rsidR="001507D7" w:rsidRPr="006D4036">
        <w:rPr>
          <w:rFonts w:ascii="Noto Sans" w:hAnsi="Noto Sans" w:cs="Noto Sans"/>
          <w:sz w:val="18"/>
          <w:szCs w:val="18"/>
        </w:rPr>
        <w:t xml:space="preserve">n-compliance with the intervention. </w:t>
      </w:r>
    </w:p>
    <w:p w14:paraId="4897D7E1" w14:textId="75286624" w:rsidR="00554F16" w:rsidRPr="006D4036" w:rsidRDefault="00A21C69" w:rsidP="00554F16">
      <w:pPr>
        <w:pStyle w:val="ListParagraph"/>
        <w:numPr>
          <w:ilvl w:val="1"/>
          <w:numId w:val="6"/>
        </w:numPr>
        <w:jc w:val="both"/>
        <w:rPr>
          <w:rFonts w:ascii="Noto Sans" w:hAnsi="Noto Sans" w:cs="Noto Sans"/>
          <w:sz w:val="18"/>
          <w:szCs w:val="18"/>
        </w:rPr>
      </w:pPr>
      <w:r w:rsidRPr="006D4036">
        <w:rPr>
          <w:rFonts w:ascii="Noto Sans" w:hAnsi="Noto Sans" w:cs="Noto Sans"/>
          <w:sz w:val="18"/>
          <w:szCs w:val="18"/>
        </w:rPr>
        <w:t xml:space="preserve">Mitigation: </w:t>
      </w:r>
      <w:r w:rsidR="00554F16" w:rsidRPr="006D4036">
        <w:rPr>
          <w:rFonts w:ascii="Noto Sans" w:hAnsi="Noto Sans" w:cs="Noto Sans"/>
          <w:sz w:val="18"/>
          <w:szCs w:val="18"/>
        </w:rPr>
        <w:t>regular monitoring and checks attendance logs</w:t>
      </w:r>
    </w:p>
    <w:p w14:paraId="13513B38" w14:textId="0749ADC1" w:rsidR="00554F16" w:rsidRPr="006D4036" w:rsidRDefault="00554F16" w:rsidP="00554F16">
      <w:pPr>
        <w:pStyle w:val="ListParagraph"/>
        <w:numPr>
          <w:ilvl w:val="0"/>
          <w:numId w:val="6"/>
        </w:numPr>
        <w:jc w:val="both"/>
        <w:rPr>
          <w:rFonts w:ascii="Noto Sans" w:hAnsi="Noto Sans" w:cs="Noto Sans"/>
          <w:sz w:val="18"/>
          <w:szCs w:val="18"/>
        </w:rPr>
      </w:pPr>
      <w:r w:rsidRPr="006D4036">
        <w:rPr>
          <w:rFonts w:ascii="Noto Sans" w:hAnsi="Noto Sans" w:cs="Noto Sans"/>
          <w:sz w:val="18"/>
          <w:szCs w:val="18"/>
        </w:rPr>
        <w:t>Data quality issue:</w:t>
      </w:r>
    </w:p>
    <w:p w14:paraId="59AA10CA" w14:textId="32323A9D" w:rsidR="00554F16" w:rsidRPr="006D4036" w:rsidRDefault="00275D01" w:rsidP="00554F16">
      <w:pPr>
        <w:pStyle w:val="ListParagraph"/>
        <w:numPr>
          <w:ilvl w:val="1"/>
          <w:numId w:val="6"/>
        </w:numPr>
        <w:jc w:val="both"/>
        <w:rPr>
          <w:rFonts w:ascii="Noto Sans" w:hAnsi="Noto Sans" w:cs="Noto Sans"/>
          <w:sz w:val="18"/>
          <w:szCs w:val="18"/>
        </w:rPr>
      </w:pPr>
      <w:r w:rsidRPr="006D4036">
        <w:rPr>
          <w:rFonts w:ascii="Noto Sans" w:hAnsi="Noto Sans" w:cs="Noto Sans"/>
          <w:sz w:val="18"/>
          <w:szCs w:val="18"/>
        </w:rPr>
        <w:t xml:space="preserve">Mitigation: </w:t>
      </w:r>
      <w:r w:rsidR="00554F16" w:rsidRPr="006D4036">
        <w:rPr>
          <w:rFonts w:ascii="Noto Sans" w:hAnsi="Noto Sans" w:cs="Noto Sans"/>
          <w:sz w:val="18"/>
          <w:szCs w:val="18"/>
        </w:rPr>
        <w:t xml:space="preserve">regular and </w:t>
      </w:r>
      <w:r w:rsidR="006D4036" w:rsidRPr="006D4036">
        <w:rPr>
          <w:rFonts w:ascii="Noto Sans" w:hAnsi="Noto Sans" w:cs="Noto Sans"/>
          <w:sz w:val="18"/>
          <w:szCs w:val="18"/>
        </w:rPr>
        <w:t>real-time</w:t>
      </w:r>
      <w:r w:rsidR="00554F16" w:rsidRPr="006D4036">
        <w:rPr>
          <w:rFonts w:ascii="Noto Sans" w:hAnsi="Noto Sans" w:cs="Noto Sans"/>
          <w:sz w:val="18"/>
          <w:szCs w:val="18"/>
        </w:rPr>
        <w:t xml:space="preserve"> data quality checks</w:t>
      </w:r>
    </w:p>
    <w:p w14:paraId="0E6B4D34" w14:textId="3C451BD3" w:rsidR="00554F16" w:rsidRPr="006D4036" w:rsidRDefault="00554F16" w:rsidP="00554F16">
      <w:pPr>
        <w:pStyle w:val="ListParagraph"/>
        <w:numPr>
          <w:ilvl w:val="0"/>
          <w:numId w:val="6"/>
        </w:numPr>
        <w:jc w:val="both"/>
        <w:rPr>
          <w:rFonts w:ascii="Noto Sans" w:hAnsi="Noto Sans" w:cs="Noto Sans"/>
          <w:sz w:val="18"/>
          <w:szCs w:val="18"/>
        </w:rPr>
      </w:pPr>
      <w:r w:rsidRPr="006D4036">
        <w:rPr>
          <w:rFonts w:ascii="Noto Sans" w:hAnsi="Noto Sans" w:cs="Noto Sans"/>
          <w:sz w:val="18"/>
          <w:szCs w:val="18"/>
        </w:rPr>
        <w:t xml:space="preserve">External shocks such as natural </w:t>
      </w:r>
      <w:r w:rsidR="00B742B3" w:rsidRPr="006D4036">
        <w:rPr>
          <w:rFonts w:ascii="Noto Sans" w:hAnsi="Noto Sans" w:cs="Noto Sans"/>
          <w:sz w:val="18"/>
          <w:szCs w:val="18"/>
        </w:rPr>
        <w:t>disasters</w:t>
      </w:r>
      <w:r w:rsidRPr="006D4036">
        <w:rPr>
          <w:rFonts w:ascii="Noto Sans" w:hAnsi="Noto Sans" w:cs="Noto Sans"/>
          <w:sz w:val="18"/>
          <w:szCs w:val="18"/>
        </w:rPr>
        <w:t xml:space="preserve"> or political </w:t>
      </w:r>
      <w:r w:rsidR="00B742B3" w:rsidRPr="006D4036">
        <w:rPr>
          <w:rFonts w:ascii="Noto Sans" w:hAnsi="Noto Sans" w:cs="Noto Sans"/>
          <w:sz w:val="18"/>
          <w:szCs w:val="18"/>
        </w:rPr>
        <w:t>instability</w:t>
      </w:r>
    </w:p>
    <w:p w14:paraId="4C5BF6FF" w14:textId="184FD14A" w:rsidR="00B742B3" w:rsidRPr="006D4036" w:rsidRDefault="00275D01" w:rsidP="00B742B3">
      <w:pPr>
        <w:pStyle w:val="ListParagraph"/>
        <w:numPr>
          <w:ilvl w:val="1"/>
          <w:numId w:val="6"/>
        </w:numPr>
        <w:jc w:val="both"/>
        <w:rPr>
          <w:rFonts w:ascii="Noto Sans" w:hAnsi="Noto Sans" w:cs="Noto Sans"/>
          <w:sz w:val="18"/>
          <w:szCs w:val="18"/>
        </w:rPr>
      </w:pPr>
      <w:r w:rsidRPr="006D4036">
        <w:rPr>
          <w:rFonts w:ascii="Noto Sans" w:hAnsi="Noto Sans" w:cs="Noto Sans"/>
          <w:sz w:val="18"/>
          <w:szCs w:val="18"/>
        </w:rPr>
        <w:t xml:space="preserve">Mitigation: </w:t>
      </w:r>
      <w:r w:rsidR="00B742B3" w:rsidRPr="006D4036">
        <w:rPr>
          <w:rFonts w:ascii="Noto Sans" w:hAnsi="Noto Sans" w:cs="Noto Sans"/>
          <w:sz w:val="18"/>
          <w:szCs w:val="18"/>
        </w:rPr>
        <w:t>contingency</w:t>
      </w:r>
      <w:r w:rsidR="00657DAA">
        <w:rPr>
          <w:rFonts w:ascii="Noto Sans" w:hAnsi="Noto Sans" w:cs="Noto Sans"/>
          <w:sz w:val="18"/>
          <w:szCs w:val="18"/>
        </w:rPr>
        <w:t xml:space="preserve"> budget</w:t>
      </w:r>
      <w:r w:rsidR="00B742B3" w:rsidRPr="006D4036">
        <w:rPr>
          <w:rFonts w:ascii="Noto Sans" w:hAnsi="Noto Sans" w:cs="Noto Sans"/>
          <w:sz w:val="18"/>
          <w:szCs w:val="18"/>
        </w:rPr>
        <w:t xml:space="preserve"> plan for potential delays</w:t>
      </w:r>
    </w:p>
    <w:p w14:paraId="0D320203" w14:textId="5E6BB64B" w:rsidR="00B742B3" w:rsidRPr="006D4036" w:rsidRDefault="00B742B3" w:rsidP="00B742B3">
      <w:pPr>
        <w:pStyle w:val="ListParagraph"/>
        <w:numPr>
          <w:ilvl w:val="0"/>
          <w:numId w:val="6"/>
        </w:numPr>
        <w:jc w:val="both"/>
        <w:rPr>
          <w:rFonts w:ascii="Noto Sans" w:hAnsi="Noto Sans" w:cs="Noto Sans"/>
          <w:sz w:val="18"/>
          <w:szCs w:val="18"/>
        </w:rPr>
      </w:pPr>
      <w:r w:rsidRPr="006D4036">
        <w:rPr>
          <w:rFonts w:ascii="Noto Sans" w:hAnsi="Noto Sans" w:cs="Noto Sans"/>
          <w:sz w:val="18"/>
          <w:szCs w:val="18"/>
        </w:rPr>
        <w:t xml:space="preserve">Limited </w:t>
      </w:r>
      <w:r w:rsidR="003D4FD8" w:rsidRPr="006D4036">
        <w:rPr>
          <w:rFonts w:ascii="Noto Sans" w:hAnsi="Noto Sans" w:cs="Noto Sans"/>
          <w:sz w:val="18"/>
          <w:szCs w:val="18"/>
        </w:rPr>
        <w:t>sustainability after the intervention</w:t>
      </w:r>
    </w:p>
    <w:p w14:paraId="786C7BB0" w14:textId="21E6CD0D" w:rsidR="003D4FD8" w:rsidRPr="006D4036" w:rsidRDefault="00275D01" w:rsidP="003D4FD8">
      <w:pPr>
        <w:pStyle w:val="ListParagraph"/>
        <w:numPr>
          <w:ilvl w:val="1"/>
          <w:numId w:val="6"/>
        </w:numPr>
        <w:jc w:val="both"/>
        <w:rPr>
          <w:rFonts w:ascii="Noto Sans" w:hAnsi="Noto Sans" w:cs="Noto Sans"/>
          <w:sz w:val="18"/>
          <w:szCs w:val="18"/>
        </w:rPr>
      </w:pPr>
      <w:r w:rsidRPr="006D4036">
        <w:rPr>
          <w:rFonts w:ascii="Noto Sans" w:hAnsi="Noto Sans" w:cs="Noto Sans"/>
          <w:sz w:val="18"/>
          <w:szCs w:val="18"/>
        </w:rPr>
        <w:t xml:space="preserve">Mitigation: acquire </w:t>
      </w:r>
      <w:r w:rsidR="006D4036" w:rsidRPr="006D4036">
        <w:rPr>
          <w:rFonts w:ascii="Noto Sans" w:hAnsi="Noto Sans" w:cs="Noto Sans"/>
          <w:sz w:val="18"/>
          <w:szCs w:val="18"/>
        </w:rPr>
        <w:t>full-buy</w:t>
      </w:r>
      <w:r w:rsidRPr="006D4036">
        <w:rPr>
          <w:rFonts w:ascii="Noto Sans" w:hAnsi="Noto Sans" w:cs="Noto Sans"/>
          <w:sz w:val="18"/>
          <w:szCs w:val="18"/>
        </w:rPr>
        <w:t xml:space="preserve"> in from the government and work closely in every stage of the research with the ministry of Education</w:t>
      </w:r>
    </w:p>
    <w:sectPr w:rsidR="003D4FD8" w:rsidRPr="006D40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195959" w14:textId="77777777" w:rsidR="00E02067" w:rsidRDefault="00E02067" w:rsidP="00A0019C">
      <w:pPr>
        <w:spacing w:after="0" w:line="240" w:lineRule="auto"/>
      </w:pPr>
      <w:r>
        <w:separator/>
      </w:r>
    </w:p>
  </w:endnote>
  <w:endnote w:type="continuationSeparator" w:id="0">
    <w:p w14:paraId="0FEB9656" w14:textId="77777777" w:rsidR="00E02067" w:rsidRDefault="00E02067" w:rsidP="00A001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">
    <w:panose1 w:val="020B0502040504020204"/>
    <w:charset w:val="00"/>
    <w:family w:val="swiss"/>
    <w:pitch w:val="variable"/>
    <w:sig w:usb0="E00002FF" w:usb1="4000201F" w:usb2="08000029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78DFAD" w14:textId="77777777" w:rsidR="00E02067" w:rsidRDefault="00E02067" w:rsidP="00A0019C">
      <w:pPr>
        <w:spacing w:after="0" w:line="240" w:lineRule="auto"/>
      </w:pPr>
      <w:r>
        <w:separator/>
      </w:r>
    </w:p>
  </w:footnote>
  <w:footnote w:type="continuationSeparator" w:id="0">
    <w:p w14:paraId="055C96F2" w14:textId="77777777" w:rsidR="00E02067" w:rsidRDefault="00E02067" w:rsidP="00A001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40356"/>
    <w:multiLevelType w:val="hybridMultilevel"/>
    <w:tmpl w:val="6BF869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2C0DAE"/>
    <w:multiLevelType w:val="hybridMultilevel"/>
    <w:tmpl w:val="F9F60130"/>
    <w:lvl w:ilvl="0" w:tplc="0409000F">
      <w:start w:val="1"/>
      <w:numFmt w:val="decimal"/>
      <w:lvlText w:val="%1."/>
      <w:lvlJc w:val="left"/>
      <w:pPr>
        <w:ind w:left="774" w:hanging="360"/>
      </w:pPr>
    </w:lvl>
    <w:lvl w:ilvl="1" w:tplc="04090019">
      <w:start w:val="1"/>
      <w:numFmt w:val="lowerLetter"/>
      <w:lvlText w:val="%2."/>
      <w:lvlJc w:val="left"/>
      <w:pPr>
        <w:ind w:left="1494" w:hanging="360"/>
      </w:pPr>
    </w:lvl>
    <w:lvl w:ilvl="2" w:tplc="0409001B" w:tentative="1">
      <w:start w:val="1"/>
      <w:numFmt w:val="lowerRoman"/>
      <w:lvlText w:val="%3."/>
      <w:lvlJc w:val="right"/>
      <w:pPr>
        <w:ind w:left="2214" w:hanging="180"/>
      </w:pPr>
    </w:lvl>
    <w:lvl w:ilvl="3" w:tplc="0409000F" w:tentative="1">
      <w:start w:val="1"/>
      <w:numFmt w:val="decimal"/>
      <w:lvlText w:val="%4."/>
      <w:lvlJc w:val="left"/>
      <w:pPr>
        <w:ind w:left="2934" w:hanging="360"/>
      </w:pPr>
    </w:lvl>
    <w:lvl w:ilvl="4" w:tplc="04090019" w:tentative="1">
      <w:start w:val="1"/>
      <w:numFmt w:val="lowerLetter"/>
      <w:lvlText w:val="%5."/>
      <w:lvlJc w:val="left"/>
      <w:pPr>
        <w:ind w:left="3654" w:hanging="360"/>
      </w:pPr>
    </w:lvl>
    <w:lvl w:ilvl="5" w:tplc="0409001B" w:tentative="1">
      <w:start w:val="1"/>
      <w:numFmt w:val="lowerRoman"/>
      <w:lvlText w:val="%6."/>
      <w:lvlJc w:val="right"/>
      <w:pPr>
        <w:ind w:left="4374" w:hanging="180"/>
      </w:pPr>
    </w:lvl>
    <w:lvl w:ilvl="6" w:tplc="0409000F" w:tentative="1">
      <w:start w:val="1"/>
      <w:numFmt w:val="decimal"/>
      <w:lvlText w:val="%7."/>
      <w:lvlJc w:val="left"/>
      <w:pPr>
        <w:ind w:left="5094" w:hanging="360"/>
      </w:pPr>
    </w:lvl>
    <w:lvl w:ilvl="7" w:tplc="04090019" w:tentative="1">
      <w:start w:val="1"/>
      <w:numFmt w:val="lowerLetter"/>
      <w:lvlText w:val="%8."/>
      <w:lvlJc w:val="left"/>
      <w:pPr>
        <w:ind w:left="5814" w:hanging="360"/>
      </w:pPr>
    </w:lvl>
    <w:lvl w:ilvl="8" w:tplc="0409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2" w15:restartNumberingAfterBreak="0">
    <w:nsid w:val="36087FB8"/>
    <w:multiLevelType w:val="multilevel"/>
    <w:tmpl w:val="270EA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842B0F"/>
    <w:multiLevelType w:val="multilevel"/>
    <w:tmpl w:val="2354C3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E0F4DDD"/>
    <w:multiLevelType w:val="hybridMultilevel"/>
    <w:tmpl w:val="E2544FB2"/>
    <w:lvl w:ilvl="0" w:tplc="A48897EA">
      <w:numFmt w:val="bullet"/>
      <w:lvlText w:val="-"/>
      <w:lvlJc w:val="left"/>
      <w:pPr>
        <w:ind w:left="360" w:hanging="360"/>
      </w:pPr>
      <w:rPr>
        <w:rFonts w:ascii="Noto Sans" w:eastAsiaTheme="minorHAnsi" w:hAnsi="Noto Sans" w:cs="Noto San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FE32048"/>
    <w:multiLevelType w:val="multilevel"/>
    <w:tmpl w:val="26E22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87132447">
    <w:abstractNumId w:val="2"/>
  </w:num>
  <w:num w:numId="2" w16cid:durableId="698816302">
    <w:abstractNumId w:val="3"/>
  </w:num>
  <w:num w:numId="3" w16cid:durableId="408961036">
    <w:abstractNumId w:val="5"/>
  </w:num>
  <w:num w:numId="4" w16cid:durableId="159466853">
    <w:abstractNumId w:val="0"/>
  </w:num>
  <w:num w:numId="5" w16cid:durableId="1066759514">
    <w:abstractNumId w:val="4"/>
  </w:num>
  <w:num w:numId="6" w16cid:durableId="5217420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677"/>
    <w:rsid w:val="0001015A"/>
    <w:rsid w:val="0001159D"/>
    <w:rsid w:val="000136C6"/>
    <w:rsid w:val="0002100E"/>
    <w:rsid w:val="0003022C"/>
    <w:rsid w:val="00031F83"/>
    <w:rsid w:val="00033AE0"/>
    <w:rsid w:val="000340B0"/>
    <w:rsid w:val="00044F3F"/>
    <w:rsid w:val="000632D1"/>
    <w:rsid w:val="00065091"/>
    <w:rsid w:val="00070495"/>
    <w:rsid w:val="00081385"/>
    <w:rsid w:val="000A03C9"/>
    <w:rsid w:val="000A2996"/>
    <w:rsid w:val="000A401A"/>
    <w:rsid w:val="000C1C2A"/>
    <w:rsid w:val="000C6BE1"/>
    <w:rsid w:val="000D16D6"/>
    <w:rsid w:val="000D263E"/>
    <w:rsid w:val="000D2B94"/>
    <w:rsid w:val="000D409C"/>
    <w:rsid w:val="000F2B55"/>
    <w:rsid w:val="00101EAE"/>
    <w:rsid w:val="00101FAE"/>
    <w:rsid w:val="00106FBF"/>
    <w:rsid w:val="001200E7"/>
    <w:rsid w:val="00126492"/>
    <w:rsid w:val="00133FB7"/>
    <w:rsid w:val="00137CCF"/>
    <w:rsid w:val="0014099A"/>
    <w:rsid w:val="001468C4"/>
    <w:rsid w:val="001507D7"/>
    <w:rsid w:val="00153109"/>
    <w:rsid w:val="00153899"/>
    <w:rsid w:val="00161F7A"/>
    <w:rsid w:val="00164A7F"/>
    <w:rsid w:val="00171749"/>
    <w:rsid w:val="00172A90"/>
    <w:rsid w:val="0017607E"/>
    <w:rsid w:val="00190CF2"/>
    <w:rsid w:val="0019443C"/>
    <w:rsid w:val="00196B41"/>
    <w:rsid w:val="001A19FF"/>
    <w:rsid w:val="001A780F"/>
    <w:rsid w:val="001B56E3"/>
    <w:rsid w:val="001B5731"/>
    <w:rsid w:val="001B6B95"/>
    <w:rsid w:val="001B6D16"/>
    <w:rsid w:val="001B707D"/>
    <w:rsid w:val="001C4F4F"/>
    <w:rsid w:val="001D5238"/>
    <w:rsid w:val="001E0727"/>
    <w:rsid w:val="001E198A"/>
    <w:rsid w:val="001E576E"/>
    <w:rsid w:val="001F1466"/>
    <w:rsid w:val="001F2834"/>
    <w:rsid w:val="001F4279"/>
    <w:rsid w:val="00206DCC"/>
    <w:rsid w:val="00211121"/>
    <w:rsid w:val="00214C84"/>
    <w:rsid w:val="00223E2F"/>
    <w:rsid w:val="002268CF"/>
    <w:rsid w:val="00253E80"/>
    <w:rsid w:val="00263662"/>
    <w:rsid w:val="00264BE3"/>
    <w:rsid w:val="00275D01"/>
    <w:rsid w:val="0028429E"/>
    <w:rsid w:val="00287645"/>
    <w:rsid w:val="002933B2"/>
    <w:rsid w:val="002C4215"/>
    <w:rsid w:val="002C5B50"/>
    <w:rsid w:val="002C7CF3"/>
    <w:rsid w:val="002D44BF"/>
    <w:rsid w:val="002F0631"/>
    <w:rsid w:val="002F5FBB"/>
    <w:rsid w:val="003037BC"/>
    <w:rsid w:val="0031082D"/>
    <w:rsid w:val="0031542D"/>
    <w:rsid w:val="00322218"/>
    <w:rsid w:val="00341FBF"/>
    <w:rsid w:val="00347CC3"/>
    <w:rsid w:val="00366CE3"/>
    <w:rsid w:val="003836AE"/>
    <w:rsid w:val="00391405"/>
    <w:rsid w:val="00396ECC"/>
    <w:rsid w:val="003B1CD2"/>
    <w:rsid w:val="003B49BD"/>
    <w:rsid w:val="003B6AAE"/>
    <w:rsid w:val="003C16EE"/>
    <w:rsid w:val="003D0E91"/>
    <w:rsid w:val="003D4F08"/>
    <w:rsid w:val="003D4FD8"/>
    <w:rsid w:val="003D6E46"/>
    <w:rsid w:val="00407C8D"/>
    <w:rsid w:val="00421A9D"/>
    <w:rsid w:val="0042620D"/>
    <w:rsid w:val="00426828"/>
    <w:rsid w:val="00436F3B"/>
    <w:rsid w:val="00440A8E"/>
    <w:rsid w:val="00453A44"/>
    <w:rsid w:val="00460F7D"/>
    <w:rsid w:val="004619F4"/>
    <w:rsid w:val="00477C20"/>
    <w:rsid w:val="004924E3"/>
    <w:rsid w:val="00492F95"/>
    <w:rsid w:val="00494CF2"/>
    <w:rsid w:val="004A03E6"/>
    <w:rsid w:val="004A0646"/>
    <w:rsid w:val="004A2425"/>
    <w:rsid w:val="004A6C47"/>
    <w:rsid w:val="004A767D"/>
    <w:rsid w:val="004B49A3"/>
    <w:rsid w:val="004B4F36"/>
    <w:rsid w:val="004B61BB"/>
    <w:rsid w:val="004C47B4"/>
    <w:rsid w:val="004C65CF"/>
    <w:rsid w:val="004C677E"/>
    <w:rsid w:val="004C6EE9"/>
    <w:rsid w:val="004D2F49"/>
    <w:rsid w:val="004E6E39"/>
    <w:rsid w:val="004F1D49"/>
    <w:rsid w:val="004F5165"/>
    <w:rsid w:val="00500759"/>
    <w:rsid w:val="00514E5D"/>
    <w:rsid w:val="00515B29"/>
    <w:rsid w:val="0052320F"/>
    <w:rsid w:val="00526B91"/>
    <w:rsid w:val="0052718C"/>
    <w:rsid w:val="00532B00"/>
    <w:rsid w:val="00540F6F"/>
    <w:rsid w:val="00554F16"/>
    <w:rsid w:val="00557ED8"/>
    <w:rsid w:val="00560F9B"/>
    <w:rsid w:val="00573DDD"/>
    <w:rsid w:val="00575677"/>
    <w:rsid w:val="00575E17"/>
    <w:rsid w:val="00583FF2"/>
    <w:rsid w:val="00591EB9"/>
    <w:rsid w:val="005B1BA3"/>
    <w:rsid w:val="005B72BF"/>
    <w:rsid w:val="005C25C3"/>
    <w:rsid w:val="005D0D01"/>
    <w:rsid w:val="00601773"/>
    <w:rsid w:val="00607F42"/>
    <w:rsid w:val="00613506"/>
    <w:rsid w:val="006154C3"/>
    <w:rsid w:val="00627AE4"/>
    <w:rsid w:val="00635586"/>
    <w:rsid w:val="00640742"/>
    <w:rsid w:val="00641A4F"/>
    <w:rsid w:val="00641BCB"/>
    <w:rsid w:val="00643211"/>
    <w:rsid w:val="00657DAA"/>
    <w:rsid w:val="00673D6A"/>
    <w:rsid w:val="0067663A"/>
    <w:rsid w:val="00683DB4"/>
    <w:rsid w:val="006924A4"/>
    <w:rsid w:val="006952F7"/>
    <w:rsid w:val="00696C08"/>
    <w:rsid w:val="006B4399"/>
    <w:rsid w:val="006C35CA"/>
    <w:rsid w:val="006C4D5A"/>
    <w:rsid w:val="006D4036"/>
    <w:rsid w:val="006E5B8C"/>
    <w:rsid w:val="006F4EB1"/>
    <w:rsid w:val="0071107A"/>
    <w:rsid w:val="007111D1"/>
    <w:rsid w:val="00713EDC"/>
    <w:rsid w:val="007242F2"/>
    <w:rsid w:val="007269C4"/>
    <w:rsid w:val="0073171A"/>
    <w:rsid w:val="00731F6B"/>
    <w:rsid w:val="00732813"/>
    <w:rsid w:val="0073695B"/>
    <w:rsid w:val="007407A8"/>
    <w:rsid w:val="00742DDE"/>
    <w:rsid w:val="00754237"/>
    <w:rsid w:val="00763928"/>
    <w:rsid w:val="00765DA6"/>
    <w:rsid w:val="0078201E"/>
    <w:rsid w:val="00782C7A"/>
    <w:rsid w:val="007C063C"/>
    <w:rsid w:val="007C0EC6"/>
    <w:rsid w:val="007C1F5F"/>
    <w:rsid w:val="007D440B"/>
    <w:rsid w:val="007E1622"/>
    <w:rsid w:val="007E6E1E"/>
    <w:rsid w:val="007F15B5"/>
    <w:rsid w:val="007F16D5"/>
    <w:rsid w:val="00800C6C"/>
    <w:rsid w:val="00802C38"/>
    <w:rsid w:val="00804178"/>
    <w:rsid w:val="00817322"/>
    <w:rsid w:val="00827EB4"/>
    <w:rsid w:val="00835120"/>
    <w:rsid w:val="0084033E"/>
    <w:rsid w:val="008439DE"/>
    <w:rsid w:val="008452EE"/>
    <w:rsid w:val="008465FC"/>
    <w:rsid w:val="008718A2"/>
    <w:rsid w:val="00875F9E"/>
    <w:rsid w:val="00876404"/>
    <w:rsid w:val="00890266"/>
    <w:rsid w:val="008978F9"/>
    <w:rsid w:val="008A0EFA"/>
    <w:rsid w:val="008A16C0"/>
    <w:rsid w:val="008A5ABD"/>
    <w:rsid w:val="008A5DF0"/>
    <w:rsid w:val="008B3DC8"/>
    <w:rsid w:val="008B486D"/>
    <w:rsid w:val="008B6709"/>
    <w:rsid w:val="008D3E50"/>
    <w:rsid w:val="008D54D1"/>
    <w:rsid w:val="008D7163"/>
    <w:rsid w:val="008E5A77"/>
    <w:rsid w:val="008E7A1A"/>
    <w:rsid w:val="008F5D5B"/>
    <w:rsid w:val="00901760"/>
    <w:rsid w:val="0090491B"/>
    <w:rsid w:val="00915C58"/>
    <w:rsid w:val="00915E04"/>
    <w:rsid w:val="0092579D"/>
    <w:rsid w:val="009359CF"/>
    <w:rsid w:val="00942481"/>
    <w:rsid w:val="0094411D"/>
    <w:rsid w:val="00945E27"/>
    <w:rsid w:val="009647CE"/>
    <w:rsid w:val="00971A64"/>
    <w:rsid w:val="009728CA"/>
    <w:rsid w:val="009771BD"/>
    <w:rsid w:val="0097767D"/>
    <w:rsid w:val="00980FC4"/>
    <w:rsid w:val="00994D81"/>
    <w:rsid w:val="009A0B1B"/>
    <w:rsid w:val="009B2379"/>
    <w:rsid w:val="009B3092"/>
    <w:rsid w:val="009C0DFB"/>
    <w:rsid w:val="009C4AFC"/>
    <w:rsid w:val="009C5BD5"/>
    <w:rsid w:val="009D6700"/>
    <w:rsid w:val="009E3353"/>
    <w:rsid w:val="009E33AF"/>
    <w:rsid w:val="009F1D41"/>
    <w:rsid w:val="009F5A39"/>
    <w:rsid w:val="00A0019C"/>
    <w:rsid w:val="00A02C1C"/>
    <w:rsid w:val="00A0506B"/>
    <w:rsid w:val="00A10AC3"/>
    <w:rsid w:val="00A21C69"/>
    <w:rsid w:val="00A23E1E"/>
    <w:rsid w:val="00A3281C"/>
    <w:rsid w:val="00A43961"/>
    <w:rsid w:val="00A45E5D"/>
    <w:rsid w:val="00A46E66"/>
    <w:rsid w:val="00A61375"/>
    <w:rsid w:val="00A67CDD"/>
    <w:rsid w:val="00A772B0"/>
    <w:rsid w:val="00A83D1C"/>
    <w:rsid w:val="00A8473B"/>
    <w:rsid w:val="00A90833"/>
    <w:rsid w:val="00A91D66"/>
    <w:rsid w:val="00A95E0E"/>
    <w:rsid w:val="00AA4716"/>
    <w:rsid w:val="00AB067E"/>
    <w:rsid w:val="00AB0898"/>
    <w:rsid w:val="00AB0A88"/>
    <w:rsid w:val="00AB6B9D"/>
    <w:rsid w:val="00AC07F3"/>
    <w:rsid w:val="00AD7DB2"/>
    <w:rsid w:val="00AF2DAC"/>
    <w:rsid w:val="00AF4E3E"/>
    <w:rsid w:val="00AF6719"/>
    <w:rsid w:val="00B059BE"/>
    <w:rsid w:val="00B1521C"/>
    <w:rsid w:val="00B359C9"/>
    <w:rsid w:val="00B37825"/>
    <w:rsid w:val="00B46870"/>
    <w:rsid w:val="00B509F6"/>
    <w:rsid w:val="00B61AEC"/>
    <w:rsid w:val="00B63DDE"/>
    <w:rsid w:val="00B6690E"/>
    <w:rsid w:val="00B67075"/>
    <w:rsid w:val="00B742B3"/>
    <w:rsid w:val="00B7506C"/>
    <w:rsid w:val="00B841A8"/>
    <w:rsid w:val="00B97D84"/>
    <w:rsid w:val="00BA23FA"/>
    <w:rsid w:val="00BB338F"/>
    <w:rsid w:val="00BB71C2"/>
    <w:rsid w:val="00BC3543"/>
    <w:rsid w:val="00BC7B1F"/>
    <w:rsid w:val="00BD1F21"/>
    <w:rsid w:val="00BD466B"/>
    <w:rsid w:val="00BE47A5"/>
    <w:rsid w:val="00BF2DF4"/>
    <w:rsid w:val="00C00B14"/>
    <w:rsid w:val="00C11F80"/>
    <w:rsid w:val="00C15F39"/>
    <w:rsid w:val="00C37961"/>
    <w:rsid w:val="00C57514"/>
    <w:rsid w:val="00C6106F"/>
    <w:rsid w:val="00C63402"/>
    <w:rsid w:val="00C65EC4"/>
    <w:rsid w:val="00C75720"/>
    <w:rsid w:val="00C77916"/>
    <w:rsid w:val="00C85CEA"/>
    <w:rsid w:val="00C91495"/>
    <w:rsid w:val="00C93147"/>
    <w:rsid w:val="00CA6B1B"/>
    <w:rsid w:val="00CB1C3D"/>
    <w:rsid w:val="00CB258E"/>
    <w:rsid w:val="00CB428C"/>
    <w:rsid w:val="00CC21EA"/>
    <w:rsid w:val="00CC7106"/>
    <w:rsid w:val="00CD72C1"/>
    <w:rsid w:val="00D249B2"/>
    <w:rsid w:val="00D24A78"/>
    <w:rsid w:val="00D27FB9"/>
    <w:rsid w:val="00D34D20"/>
    <w:rsid w:val="00D54095"/>
    <w:rsid w:val="00D5637A"/>
    <w:rsid w:val="00D568F9"/>
    <w:rsid w:val="00D650B4"/>
    <w:rsid w:val="00D74686"/>
    <w:rsid w:val="00D75198"/>
    <w:rsid w:val="00D778A6"/>
    <w:rsid w:val="00DB65E3"/>
    <w:rsid w:val="00DD25B9"/>
    <w:rsid w:val="00DD7336"/>
    <w:rsid w:val="00DE4E2E"/>
    <w:rsid w:val="00DF1855"/>
    <w:rsid w:val="00E02067"/>
    <w:rsid w:val="00E0518C"/>
    <w:rsid w:val="00E35777"/>
    <w:rsid w:val="00E3719E"/>
    <w:rsid w:val="00E44B81"/>
    <w:rsid w:val="00E5175C"/>
    <w:rsid w:val="00E54E69"/>
    <w:rsid w:val="00E608C1"/>
    <w:rsid w:val="00E70743"/>
    <w:rsid w:val="00E777E1"/>
    <w:rsid w:val="00E8146E"/>
    <w:rsid w:val="00EA6898"/>
    <w:rsid w:val="00EB1B37"/>
    <w:rsid w:val="00EB609D"/>
    <w:rsid w:val="00EB664A"/>
    <w:rsid w:val="00EC277A"/>
    <w:rsid w:val="00EC58AE"/>
    <w:rsid w:val="00EC59BA"/>
    <w:rsid w:val="00ED0F2F"/>
    <w:rsid w:val="00ED19ED"/>
    <w:rsid w:val="00EF3584"/>
    <w:rsid w:val="00EF5068"/>
    <w:rsid w:val="00F02F1D"/>
    <w:rsid w:val="00F064A8"/>
    <w:rsid w:val="00F141E3"/>
    <w:rsid w:val="00F23498"/>
    <w:rsid w:val="00F257B7"/>
    <w:rsid w:val="00F26888"/>
    <w:rsid w:val="00F354CF"/>
    <w:rsid w:val="00F43817"/>
    <w:rsid w:val="00F440A5"/>
    <w:rsid w:val="00F4512F"/>
    <w:rsid w:val="00F51D89"/>
    <w:rsid w:val="00F63469"/>
    <w:rsid w:val="00F70A79"/>
    <w:rsid w:val="00F73E8C"/>
    <w:rsid w:val="00F82244"/>
    <w:rsid w:val="00FA4880"/>
    <w:rsid w:val="00FB070A"/>
    <w:rsid w:val="00FB7395"/>
    <w:rsid w:val="00FC0888"/>
    <w:rsid w:val="00FC7369"/>
    <w:rsid w:val="00FD4219"/>
    <w:rsid w:val="00FD5133"/>
    <w:rsid w:val="00FD7C03"/>
    <w:rsid w:val="00FF051E"/>
    <w:rsid w:val="00FF4734"/>
    <w:rsid w:val="00FF4773"/>
    <w:rsid w:val="00FF6BC3"/>
    <w:rsid w:val="00FF7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E486D"/>
  <w15:chartTrackingRefBased/>
  <w15:docId w15:val="{E3C4EA83-3CF4-4974-AC89-757A187A4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4CF2"/>
  </w:style>
  <w:style w:type="paragraph" w:styleId="Heading1">
    <w:name w:val="heading 1"/>
    <w:basedOn w:val="Normal"/>
    <w:next w:val="Normal"/>
    <w:link w:val="Heading1Char"/>
    <w:uiPriority w:val="9"/>
    <w:qFormat/>
    <w:rsid w:val="005756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56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56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56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56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56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56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56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56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56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56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56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567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567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56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56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56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56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56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56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56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56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56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56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56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56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56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56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5677"/>
    <w:rPr>
      <w:b/>
      <w:bCs/>
      <w:smallCaps/>
      <w:color w:val="0F4761" w:themeColor="accent1" w:themeShade="BF"/>
      <w:spacing w:val="5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019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019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019C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8A16C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16C0"/>
    <w:rPr>
      <w:color w:val="605E5C"/>
      <w:shd w:val="clear" w:color="auto" w:fill="E1DFDD"/>
    </w:rPr>
  </w:style>
  <w:style w:type="paragraph" w:styleId="Bibliography">
    <w:name w:val="Bibliography"/>
    <w:basedOn w:val="Normal"/>
    <w:next w:val="Normal"/>
    <w:uiPriority w:val="37"/>
    <w:unhideWhenUsed/>
    <w:rsid w:val="00A61375"/>
  </w:style>
  <w:style w:type="paragraph" w:customStyle="1" w:styleId="Author">
    <w:name w:val="Author"/>
    <w:next w:val="BodyText"/>
    <w:qFormat/>
    <w:rsid w:val="001B6D16"/>
    <w:pPr>
      <w:keepNext/>
      <w:keepLines/>
      <w:spacing w:after="200" w:line="240" w:lineRule="auto"/>
      <w:jc w:val="center"/>
    </w:pPr>
    <w:rPr>
      <w:kern w:val="0"/>
      <w14:ligatures w14:val="none"/>
    </w:rPr>
  </w:style>
  <w:style w:type="paragraph" w:styleId="Date">
    <w:name w:val="Date"/>
    <w:next w:val="BodyText"/>
    <w:link w:val="DateChar"/>
    <w:qFormat/>
    <w:rsid w:val="001B6D16"/>
    <w:pPr>
      <w:keepNext/>
      <w:keepLines/>
      <w:spacing w:after="200" w:line="240" w:lineRule="auto"/>
      <w:jc w:val="center"/>
    </w:pPr>
    <w:rPr>
      <w:kern w:val="0"/>
      <w14:ligatures w14:val="none"/>
    </w:rPr>
  </w:style>
  <w:style w:type="character" w:customStyle="1" w:styleId="DateChar">
    <w:name w:val="Date Char"/>
    <w:basedOn w:val="DefaultParagraphFont"/>
    <w:link w:val="Date"/>
    <w:rsid w:val="001B6D16"/>
    <w:rPr>
      <w:kern w:val="0"/>
      <w14:ligatures w14:val="none"/>
    </w:rPr>
  </w:style>
  <w:style w:type="character" w:customStyle="1" w:styleId="VerbatimChar">
    <w:name w:val="Verbatim Char"/>
    <w:basedOn w:val="DefaultParagraphFont"/>
    <w:link w:val="SourceCode"/>
    <w:rsid w:val="001B6D16"/>
    <w:rPr>
      <w:rFonts w:ascii="Consolas" w:hAnsi="Consolas"/>
      <w:sz w:val="22"/>
      <w:shd w:val="clear" w:color="auto" w:fill="F8F8F8"/>
    </w:rPr>
  </w:style>
  <w:style w:type="paragraph" w:customStyle="1" w:styleId="SourceCode">
    <w:name w:val="Source Code"/>
    <w:basedOn w:val="Normal"/>
    <w:link w:val="VerbatimChar"/>
    <w:rsid w:val="001B6D16"/>
    <w:pPr>
      <w:shd w:val="clear" w:color="auto" w:fill="F8F8F8"/>
      <w:wordWrap w:val="0"/>
      <w:spacing w:after="200" w:line="240" w:lineRule="auto"/>
    </w:pPr>
    <w:rPr>
      <w:rFonts w:ascii="Consolas" w:hAnsi="Consolas"/>
      <w:sz w:val="22"/>
    </w:rPr>
  </w:style>
  <w:style w:type="character" w:customStyle="1" w:styleId="DecValTok">
    <w:name w:val="DecValTok"/>
    <w:basedOn w:val="VerbatimChar"/>
    <w:rsid w:val="001B6D16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sid w:val="001B6D16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sid w:val="001B6D16"/>
    <w:rPr>
      <w:rFonts w:ascii="Consolas" w:hAnsi="Consolas"/>
      <w:color w:val="8F5902"/>
      <w:sz w:val="22"/>
      <w:shd w:val="clear" w:color="auto" w:fill="F8F8F8"/>
    </w:rPr>
  </w:style>
  <w:style w:type="character" w:customStyle="1" w:styleId="SpecialCharTok">
    <w:name w:val="SpecialCharTok"/>
    <w:basedOn w:val="VerbatimChar"/>
    <w:rsid w:val="001B6D16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sid w:val="001B6D16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">
    <w:name w:val="CommentTok"/>
    <w:basedOn w:val="VerbatimChar"/>
    <w:rsid w:val="001B6D16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sid w:val="001B6D16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sid w:val="001B6D16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AttributeTok">
    <w:name w:val="AttributeTok"/>
    <w:basedOn w:val="VerbatimChar"/>
    <w:rsid w:val="001B6D16"/>
    <w:rPr>
      <w:rFonts w:ascii="Consolas" w:hAnsi="Consolas"/>
      <w:color w:val="204A87"/>
      <w:sz w:val="22"/>
      <w:shd w:val="clear" w:color="auto" w:fill="F8F8F8"/>
    </w:rPr>
  </w:style>
  <w:style w:type="character" w:customStyle="1" w:styleId="NormalTok">
    <w:name w:val="NormalTok"/>
    <w:basedOn w:val="VerbatimChar"/>
    <w:rsid w:val="001B6D16"/>
    <w:rPr>
      <w:rFonts w:ascii="Consolas" w:hAnsi="Consolas"/>
      <w:sz w:val="22"/>
      <w:shd w:val="clear" w:color="auto" w:fill="F8F8F8"/>
    </w:rPr>
  </w:style>
  <w:style w:type="paragraph" w:styleId="BodyText">
    <w:name w:val="Body Text"/>
    <w:basedOn w:val="Normal"/>
    <w:link w:val="BodyTextChar"/>
    <w:uiPriority w:val="99"/>
    <w:semiHidden/>
    <w:unhideWhenUsed/>
    <w:rsid w:val="001B6D1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B6D16"/>
  </w:style>
  <w:style w:type="character" w:styleId="FollowedHyperlink">
    <w:name w:val="FollowedHyperlink"/>
    <w:basedOn w:val="DefaultParagraphFont"/>
    <w:uiPriority w:val="99"/>
    <w:semiHidden/>
    <w:unhideWhenUsed/>
    <w:rsid w:val="00137CCF"/>
    <w:rPr>
      <w:color w:val="96607D" w:themeColor="followedHyperlink"/>
      <w:u w:val="single"/>
    </w:rPr>
  </w:style>
  <w:style w:type="table" w:styleId="TableGrid">
    <w:name w:val="Table Grid"/>
    <w:basedOn w:val="TableNormal"/>
    <w:uiPriority w:val="39"/>
    <w:rsid w:val="001200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33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4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0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5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3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9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0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0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7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0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6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7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7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2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16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4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0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2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9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4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3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5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8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ockefellerfoundation.org/initiatives/school-meals-2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idrc-crdi.ca/en/initiative/knowledge-and-innovation-exchan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>
  <b:Source>
    <b:Tag>Don21</b:Tag>
    <b:SourceType>JournalArticle</b:SourceType>
    <b:Guid>{777D6A79-2B4A-4E98-BB66-F0CBEEF54AEC}</b:Guid>
    <b:Title>Impacts of school feeding on educational and health outcomes of school-age children and adolescents in low- and middle-income countries: A systematic review and meta-analysis</b:Title>
    <b:Year>2021</b:Year>
    <b:JournalName>Journal of Global Health</b:JournalName>
    <b:Pages>doi: 10.7189/jogh.11.04051</b:Pages>
    <b:Author>
      <b:Author>
        <b:NameList>
          <b:Person>
            <b:Last>Dongging</b:Last>
            <b:First>Wang</b:First>
          </b:Person>
          <b:Person>
            <b:Last>Sachin</b:Last>
            <b:First>Shinde</b:First>
          </b:Person>
          <b:Person>
            <b:Last>Tara</b:Last>
            <b:First>Young</b:First>
          </b:Person>
          <b:Person>
            <b:Last>Wafaie W</b:Last>
            <b:First>Fawzi</b:First>
          </b:Person>
        </b:NameList>
      </b:Author>
    </b:Author>
    <b:RefOrder>1</b:RefOrder>
  </b:Source>
  <b:Source>
    <b:Tag>Bar25</b:Tag>
    <b:SourceType>JournalArticle</b:SourceType>
    <b:Guid>{4FD961B5-64F8-4DF9-920D-7B5C425E2DF8}</b:Guid>
    <b:Title>Impact Evaluation of the Home-Grown School Meals Programme in The Gambia. World Food Programme Office of Evaluation</b:Title>
    <b:Year>2025</b:Year>
    <b:Pages>OEV/2022/038</b:Pages>
    <b:Author>
      <b:Author>
        <b:NameList>
          <b:Person>
            <b:Last>Barro</b:Last>
            <b:First>D.</b:First>
          </b:Person>
          <b:Person>
            <b:Last>Bogaards</b:Last>
            <b:First>C.</b:First>
          </b:Person>
          <b:Person>
            <b:Last>Christian</b:Last>
            <b:First>P.</b:First>
          </b:Person>
          <b:Person>
            <b:Last>Kelley</b:Last>
            <b:First>E.</b:First>
          </b:Person>
          <b:Person>
            <b:Last>Khincha</b:Last>
            <b:First>R.</b:First>
          </b:Person>
          <b:Person>
            <b:Last>Kondylis</b:Last>
            <b:First>F.</b:First>
          </b:Person>
          <b:Person>
            <b:Last>La</b:Last>
            <b:First>M.P</b:First>
          </b:Person>
          <b:Person>
            <b:Last>Lane</b:Last>
            <b:First>G</b:First>
          </b:Person>
          <b:Person>
            <b:Last>Lerva</b:Last>
            <b:First>B.</b:First>
          </b:Person>
          <b:Person>
            <b:Last>Longobardi</b:Last>
            <b:First>S.</b:First>
          </b:Person>
          <b:Person>
            <b:Last>Zwager</b:Last>
            <b:First>A.</b:First>
          </b:Person>
          <b:Person>
            <b:Last>Heirman</b:Last>
            <b:First>J.</b:First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02BDE689-132E-498D-B6D1-7E20146F1F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1093</TotalTime>
  <Pages>2</Pages>
  <Words>681</Words>
  <Characters>3882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UNICEF</Company>
  <LinksUpToDate>false</LinksUpToDate>
  <CharactersWithSpaces>4554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Daniele Barro</dc:creator>
  <cp:keywords/>
  <dc:description/>
  <cp:lastModifiedBy>Daniele Barro</cp:lastModifiedBy>
  <cp:revision>377</cp:revision>
  <dcterms:created xsi:type="dcterms:W3CDTF">2025-10-24T06:37:00Z</dcterms:created>
  <dcterms:modified xsi:type="dcterms:W3CDTF">2025-10-25T11:28:00Z</dcterms:modified>
</cp:coreProperties>
</file>