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0"/>
              <w:left w:type="dxa" w:w="500"/>
              <w:bottom w:type="dxa" w:w="800"/>
              <w:right w:type="dxa" w:w="500"/>
            </w:tcMar>
          </w:tcPr>
          <w:p>
            <w:pPr>
              <w:spacing w:after="80"/>
              <w:jc w:val="center"/>
            </w:pPr>
            <w:r>
              <w:rPr>
                <w:rFonts w:ascii="Arial" w:cs="Arial" w:eastAsia="Arial" w:hAnsi="Arial"/>
                <w:b/>
                <w:bCs/>
                <w:color w:val="FFFFFF"/>
                <w:sz w:val="64"/>
                <w:szCs w:val="64"/>
              </w:rPr>
              <w:t xml:space="preserve">MAINTEX</w:t>
            </w:r>
          </w:p>
          <w:p>
            <w:pPr>
              <w:spacing w:after="80"/>
              <w:jc w:val="center"/>
            </w:pPr>
            <w:r>
              <w:rPr>
                <w:rFonts w:ascii="Arial" w:cs="Arial" w:eastAsia="Arial" w:hAnsi="Arial"/>
                <w:color w:val="D5E8F0"/>
                <w:sz w:val="30"/>
                <w:szCs w:val="30"/>
              </w:rPr>
              <w:t xml:space="preserve">Cahier des Charges Fonctionnel Consolidé</w:t>
            </w:r>
          </w:p>
          <w:p>
            <w:pPr>
              <w:spacing w:after="200"/>
              <w:jc w:val="center"/>
            </w:pPr>
            <w:r>
              <w:rPr>
                <w:rFonts w:ascii="Arial" w:cs="Arial" w:eastAsia="Arial" w:hAnsi="Arial"/>
                <w:i/>
                <w:iCs/>
                <w:color w:val="E0E0E0"/>
                <w:sz w:val="22"/>
                <w:szCs w:val="22"/>
              </w:rPr>
              <w:t xml:space="preserve">Fonctionnalités Attendues — Analyse Comparative &amp; Besoins Produit</w:t>
            </w:r>
          </w:p>
          <w:p>
            <w:pPr>
              <w:spacing w:after="80"/>
              <w:jc w:val="center"/>
            </w:pPr>
            <w:r>
              <w:rPr>
                <w:rFonts w:ascii="Arial" w:cs="Arial" w:eastAsia="Arial" w:hAnsi="Arial"/>
                <w:color w:val="E0E0E0"/>
                <w:sz w:val="20"/>
                <w:szCs w:val="20"/>
              </w:rPr>
              <w:t xml:space="preserve">Mars 2026  |  Version 1.0  |  Confidentiel — Usage interne</w:t>
            </w:r>
          </w:p>
        </w:tc>
      </w:tr>
    </w:tbl>
    <w:p>
      <w:pPr>
        <w:spacing w:before="4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vAlign w:val="center"/>
          </w:tcPr>
          <w:p>
            <w:pPr>
              <w:jc w:val="left"/>
            </w:pPr>
            <w:r>
              <w:rPr>
                <w:rFonts w:ascii="Arial" w:cs="Arial" w:eastAsia="Arial" w:hAnsi="Arial"/>
                <w:b/>
                <w:bCs/>
                <w:color w:val="424242"/>
                <w:sz w:val="21"/>
                <w:szCs w:val="21"/>
              </w:rPr>
              <w:t xml:space="preserve">Sources de ce document</w:t>
            </w:r>
          </w:p>
        </w:tc>
        <w:tc>
          <w:tcPr>
            <w:tcW w:type="dxa" w:w="4513"/>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vAlign w:val="center"/>
          </w:tcPr>
          <w:p>
            <w:pPr>
              <w:jc w:val="left"/>
            </w:pPr>
            <w:r>
              <w:rPr>
                <w:rFonts w:ascii="Arial" w:cs="Arial" w:eastAsia="Arial" w:hAnsi="Arial"/>
                <w:b/>
                <w:bCs/>
                <w:color w:val="424242"/>
                <w:sz w:val="21"/>
                <w:szCs w:val="21"/>
              </w:rPr>
              <w:t xml:space="preserve">Périmètre couvert</w:t>
            </w:r>
          </w:p>
        </w:tc>
      </w:tr>
      <w:tr>
        <w:tc>
          <w:tcPr>
            <w:tcW w:type="dxa" w:w="4513"/>
            <w:tcBorders>
              <w:top w:val="single" w:color="E0E0E0" w:sz="1"/>
              <w:left w:val="single" w:color="E0E0E0" w:sz="1"/>
              <w:bottom w:val="single" w:color="E0E0E0" w:sz="1"/>
              <w:right w:val="single" w:color="E0E0E0" w:sz="1"/>
            </w:tcBorders>
            <w:tcMar>
              <w:top w:type="dxa" w:w="120"/>
              <w:left w:type="dxa" w:w="150"/>
              <w:bottom w:type="dxa" w:w="120"/>
              <w:right w:type="dxa" w:w="150"/>
            </w:tcMar>
          </w:tcPr>
          <w:p>
            <w:pPr>
              <w:spacing w:before="60" w:after="60"/>
              <w:jc w:val="left"/>
            </w:pPr>
            <w:r>
              <w:rPr>
                <w:rFonts w:ascii="Arial" w:cs="Arial" w:eastAsia="Arial" w:hAnsi="Arial"/>
                <w:sz w:val="19"/>
                <w:szCs w:val="19"/>
              </w:rPr>
              <w:t xml:space="preserve">• Analyse des insuffisances Maintex vs MaintainX (benchmark concurrentiel)</w:t>
            </w:r>
          </w:p>
          <w:p>
            <w:pPr>
              <w:spacing w:before="60" w:after="60"/>
              <w:jc w:val="left"/>
            </w:pPr>
            <w:r>
              <w:rPr>
                <w:rFonts w:ascii="Arial" w:cs="Arial" w:eastAsia="Arial" w:hAnsi="Arial"/>
                <w:sz w:val="19"/>
                <w:szCs w:val="19"/>
              </w:rPr>
              <w:t xml:space="preserve">• Fonctionnalités restantes identifiées par le responsable produit (MAINTEX_Fonctionnalités_restantes_20260325)</w:t>
            </w:r>
          </w:p>
          <w:p>
            <w:pPr>
              <w:spacing w:before="60" w:after="60"/>
              <w:jc w:val="left"/>
            </w:pPr>
            <w:r>
              <w:rPr>
                <w:rFonts w:ascii="Arial" w:cs="Arial" w:eastAsia="Arial" w:hAnsi="Arial"/>
                <w:sz w:val="19"/>
                <w:szCs w:val="19"/>
              </w:rPr>
              <w:t xml:space="preserve">• Feuille de route produit interne (RoadMap v2)</w:t>
            </w:r>
          </w:p>
        </w:tc>
        <w:tc>
          <w:tcPr>
            <w:tcW w:type="dxa" w:w="4513"/>
            <w:tcBorders>
              <w:top w:val="single" w:color="E0E0E0" w:sz="1"/>
              <w:left w:val="single" w:color="E0E0E0" w:sz="1"/>
              <w:bottom w:val="single" w:color="E0E0E0" w:sz="1"/>
              <w:right w:val="single" w:color="E0E0E0" w:sz="1"/>
            </w:tcBorders>
            <w:tcMar>
              <w:top w:type="dxa" w:w="120"/>
              <w:left w:type="dxa" w:w="150"/>
              <w:bottom w:type="dxa" w:w="120"/>
              <w:right w:type="dxa" w:w="150"/>
            </w:tcMar>
          </w:tcPr>
          <w:p>
            <w:pPr>
              <w:spacing w:before="60" w:after="60"/>
              <w:jc w:val="left"/>
            </w:pPr>
            <w:r>
              <w:rPr>
                <w:rFonts w:ascii="Arial" w:cs="Arial" w:eastAsia="Arial" w:hAnsi="Arial"/>
                <w:sz w:val="19"/>
                <w:szCs w:val="19"/>
              </w:rPr>
              <w:t xml:space="preserve">27 fonctionnalités détaillées regroupées en 8 modules</w:t>
            </w:r>
          </w:p>
          <w:p>
            <w:pPr>
              <w:spacing w:before="60" w:after="60"/>
              <w:jc w:val="left"/>
            </w:pPr>
            <w:r>
              <w:rPr>
                <w:rFonts w:ascii="Arial" w:cs="Arial" w:eastAsia="Arial" w:hAnsi="Arial"/>
                <w:sz w:val="19"/>
                <w:szCs w:val="19"/>
              </w:rPr>
              <w:t xml:space="preserve">Cibles : PME, institutions publiques, Afrique francophone, France</w:t>
            </w:r>
          </w:p>
          <w:p>
            <w:pPr>
              <w:spacing w:before="60" w:after="60"/>
              <w:jc w:val="left"/>
            </w:pPr>
            <w:r>
              <w:rPr>
                <w:rFonts w:ascii="Arial" w:cs="Arial" w:eastAsia="Arial" w:hAnsi="Arial"/>
                <w:sz w:val="19"/>
                <w:szCs w:val="19"/>
              </w:rPr>
              <w:t xml:space="preserve">Horizon : 18 mois (Q2 2026 — Q3 2027)</w:t>
            </w:r>
          </w:p>
        </w:tc>
      </w:tr>
    </w:tbl>
    <w:p>
      <w:r>
        <w:br w:type="page"/>
      </w:r>
    </w:p>
    <w:p>
      <w:pPr>
        <w:pStyle w:val="Heading1"/>
        <w:spacing w:before="360" w:after="180"/>
      </w:pPr>
      <w:r>
        <w:rPr>
          <w:rFonts w:ascii="Arial" w:cs="Arial" w:eastAsia="Arial" w:hAnsi="Arial"/>
          <w:b/>
          <w:bCs/>
          <w:color w:val="1B3A6B"/>
          <w:sz w:val="32"/>
          <w:szCs w:val="32"/>
        </w:rPr>
        <w:t xml:space="preserve">1. Synthèse Exécutive</w:t>
      </w:r>
    </w:p>
    <w:p>
      <w:pPr>
        <w:spacing w:before="60" w:after="60"/>
        <w:jc w:val="left"/>
      </w:pPr>
      <w:r>
        <w:rPr>
          <w:rFonts w:ascii="Arial" w:cs="Arial" w:eastAsia="Arial" w:hAnsi="Arial"/>
          <w:color w:val="424242"/>
          <w:sz w:val="20"/>
          <w:szCs w:val="20"/>
        </w:rPr>
        <w:t xml:space="preserve">Ce document consolide deux sources complémentaires : (1) l'analyse des écarts fonctionnels entre Maintex et son concurrent principal MaintainX, et (2) la liste des fonctionnalités identifiées comme manquantes par le responsable produit. L'objectif est de disposer d'un cahier des charges unique, structuré et priorisé pour guider les développements des 18 prochains mois.</w:t>
      </w:r>
    </w:p>
    <w:p>
      <w:pPr>
        <w:spacing w:before="80" w:after="0"/>
      </w:pPr>
      <w:r>
        <w:t xml:space="preserve"/>
      </w:r>
    </w:p>
    <w:p>
      <w:pPr>
        <w:spacing w:before="60" w:after="60"/>
        <w:jc w:val="left"/>
      </w:pPr>
      <w:r>
        <w:rPr>
          <w:rFonts w:ascii="Arial" w:cs="Arial" w:eastAsia="Arial" w:hAnsi="Arial"/>
          <w:b/>
          <w:bCs/>
          <w:color w:val="1B3A6B"/>
          <w:sz w:val="20"/>
          <w:szCs w:val="20"/>
        </w:rPr>
        <w:t xml:space="preserve">Résultat : </w:t>
      </w:r>
      <w:r>
        <w:rPr>
          <w:rFonts w:ascii="Arial" w:cs="Arial" w:eastAsia="Arial" w:hAnsi="Arial"/>
          <w:sz w:val="20"/>
          <w:szCs w:val="20"/>
        </w:rPr>
        <w:t xml:space="preserve">27 fonctionnalités détaillées réparties en 8 modules, avec pour chacune une description complète, un scénario d'utilisation concret, une analyse de valeur et un guide d'implémentation pas à pas.</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900"/>
        <w:gridCol w:w="1526"/>
      </w:tblGrid>
      <w:tr>
        <w:tc>
          <w:tcPr>
            <w:tcW w:type="dxa" w:w="18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Code</w:t>
            </w:r>
          </w:p>
        </w:tc>
        <w:tc>
          <w:tcPr>
            <w:tcW w:type="dxa" w:w="36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12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9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Priorité</w:t>
            </w:r>
          </w:p>
        </w:tc>
        <w:tc>
          <w:tcPr>
            <w:tcW w:type="dxa" w:w="1526"/>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F01</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Aide au Diagnostic des Pannes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424242"/>
                <w:sz w:val="18"/>
                <w:szCs w:val="18"/>
              </w:rPr>
              <w:t xml:space="preserve">STRATÉG.</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F02</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Modèles de Bons de Travail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F03</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Procédures et Gammes Enrichies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Planification</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F04</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Ordres de Travail Récurrents Avancés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Planification</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F05</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Détection d'Anomalies par IA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Analytics/IA</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424242"/>
                <w:sz w:val="18"/>
                <w:szCs w:val="18"/>
              </w:rPr>
              <w:t xml:space="preserve">STRATÉG.</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F06</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Portail Requérant (Demandes Ext.)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F07</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SSO / Authentification Centralisée</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Administration</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F08</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Module Reporting Avancé (Report Builder)</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Éditions</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F09</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Tableaux de Bord Personnalisables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Analytics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F10</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Comptages Cycliques de Stock</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Stock</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F11</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Relevés de Compteurs &amp; Intégration IoT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Planification</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F12</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Moteur d'Automatisation de Flux</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Administration</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424242"/>
                <w:sz w:val="18"/>
                <w:szCs w:val="18"/>
              </w:rPr>
              <w:t xml:space="preserve">STRATÉG.</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F13</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Gestion des Amortissements d'Actifs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Finance</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F14</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Gestion Documentaire des Actifs (DMS)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Nomenclature</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F15</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Planning des Équipements (Gantt)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Données de base</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F16</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Planning &amp; Transfert de Charge Intervenant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Planification</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F17</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Workflow de Validation des Interventions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F18</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Arbre de Défaillance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F19</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Module Achats Complet (DA/DP/AO)</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Achats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F20</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Suggestion de Réapprovisionnement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Stock</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1</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F21</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Gestion Budgétaire Avancée</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Finance</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F22</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Suivi de Projet Intégré</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Projet</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F23</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Position GPS des Équipements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Données de base</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F24</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Gestion des Indisponibilités &amp; Chaîne Équip.</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Données de base</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F25</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Conditions de Sécurité &amp; Permis de Travail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Interventions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E8700A"/>
                <w:sz w:val="18"/>
                <w:szCs w:val="18"/>
              </w:rPr>
              <w:t xml:space="preserve">HAUTE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2</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9"/>
                <w:szCs w:val="19"/>
              </w:rPr>
              <w:t xml:space="preserve">F26</w:t>
            </w:r>
          </w:p>
        </w:tc>
        <w:tc>
          <w:tcPr>
            <w:tcW w:type="dxa" w:w="36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9"/>
                <w:szCs w:val="19"/>
              </w:rPr>
              <w:t xml:space="preserve">Gestion des Outillages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Stock</w:t>
            </w:r>
          </w:p>
        </w:tc>
        <w:tc>
          <w:tcPr>
            <w:tcW w:type="dxa" w:w="900"/>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5F5F5" w:val="clear"/>
            <w:tcMar>
              <w:top w:type="dxa" w:w="60"/>
              <w:left w:type="dxa" w:w="150"/>
              <w:bottom w:type="dxa" w:w="60"/>
              <w:right w:type="dxa" w:w="150"/>
            </w:tcMar>
          </w:tcPr>
          <w:p>
            <w:r>
              <w:rPr>
                <w:rFonts w:ascii="Arial" w:cs="Arial" w:eastAsia="Arial" w:hAnsi="Arial"/>
                <w:sz w:val="18"/>
                <w:szCs w:val="18"/>
              </w:rPr>
              <w:t xml:space="preserve">Phase 3</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9"/>
                <w:szCs w:val="19"/>
              </w:rPr>
              <w:t xml:space="preserve">F27</w:t>
            </w:r>
          </w:p>
        </w:tc>
        <w:tc>
          <w:tcPr>
            <w:tcW w:type="dxa" w:w="36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9"/>
                <w:szCs w:val="19"/>
              </w:rPr>
              <w:t xml:space="preserve">Personnalisation des Éditions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Éditions</w:t>
            </w:r>
          </w:p>
        </w:tc>
        <w:tc>
          <w:tcPr>
            <w:tcW w:type="dxa" w:w="900"/>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b/>
                <w:bCs/>
                <w:color w:val="2E75B6"/>
                <w:sz w:val="18"/>
                <w:szCs w:val="18"/>
              </w:rPr>
              <w:t xml:space="preserve">MOYENNE</w:t>
            </w:r>
          </w:p>
        </w:tc>
        <w:tc>
          <w:tcPr>
            <w:tcW w:type="dxa" w:w="1526"/>
            <w:tcBorders>
              <w:top w:val="single" w:color="E0E0E0" w:sz="1"/>
              <w:left w:val="single" w:color="E0E0E0" w:sz="1"/>
              <w:bottom w:val="single" w:color="E0E0E0" w:sz="1"/>
              <w:right w:val="single" w:color="E0E0E0" w:sz="1"/>
            </w:tcBorders>
            <w:shd w:fill="FFFFFF" w:val="clear"/>
            <w:tcMar>
              <w:top w:type="dxa" w:w="60"/>
              <w:left w:type="dxa" w:w="150"/>
              <w:bottom w:type="dxa" w:w="60"/>
              <w:right w:type="dxa" w:w="150"/>
            </w:tcMar>
          </w:tcPr>
          <w:p>
            <w:r>
              <w:rPr>
                <w:rFonts w:ascii="Arial" w:cs="Arial" w:eastAsia="Arial" w:hAnsi="Arial"/>
                <w:sz w:val="18"/>
                <w:szCs w:val="18"/>
              </w:rPr>
              <w:t xml:space="preserve">Phase 3</w:t>
            </w:r>
          </w:p>
        </w:tc>
      </w:tr>
    </w:tbl>
    <w:p>
      <w:r>
        <w:br w:type="page"/>
      </w:r>
    </w:p>
    <w:p>
      <w:pPr>
        <w:pStyle w:val="Heading1"/>
        <w:spacing w:before="360" w:after="180"/>
      </w:pPr>
      <w:r>
        <w:rPr>
          <w:rFonts w:ascii="Arial" w:cs="Arial" w:eastAsia="Arial" w:hAnsi="Arial"/>
          <w:b/>
          <w:bCs/>
          <w:color w:val="1B3A6B"/>
          <w:sz w:val="32"/>
          <w:szCs w:val="32"/>
        </w:rPr>
        <w:t xml:space="preserve">2. Feuille de Route — Plan d'Action 18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26"/>
        <w:gridCol w:w="1400"/>
      </w:tblGrid>
      <w:tr>
        <w:tc>
          <w:tcPr>
            <w:tcW w:type="dxa" w:w="16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Période</w:t>
            </w:r>
          </w:p>
        </w:tc>
        <w:tc>
          <w:tcPr>
            <w:tcW w:type="dxa" w:w="4026"/>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Fonctionnalités</w:t>
            </w:r>
          </w:p>
        </w:tc>
        <w:tc>
          <w:tcPr>
            <w:tcW w:type="dxa" w:w="14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Objectif</w:t>
            </w:r>
          </w:p>
        </w:tc>
      </w:tr>
      <w:tr>
        <w:tc>
          <w:tcPr>
            <w:tcW w:type="dxa" w:w="1600"/>
            <w:tcBorders>
              <w:top w:val="single" w:color="E0E0E0" w:sz="1"/>
              <w:left w:val="single" w:color="E0E0E0" w:sz="1"/>
              <w:bottom w:val="single" w:color="E0E0E0" w:sz="1"/>
              <w:right w:val="single" w:color="E0E0E0"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1
Q2–Q3 2026</w:t>
            </w:r>
          </w:p>
        </w:tc>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Mois 1 — 6</w:t>
            </w:r>
          </w:p>
        </w:tc>
        <w:tc>
          <w:tcPr>
            <w:tcW w:type="dxa" w:w="4026"/>
            <w:tcBorders>
              <w:top w:val="single" w:color="E0E0E0" w:sz="1"/>
              <w:left w:val="single" w:color="E0E0E0" w:sz="1"/>
              <w:bottom w:val="single" w:color="E0E0E0" w:sz="1"/>
              <w:right w:val="single" w:color="E0E0E0" w:sz="1"/>
            </w:tcBorders>
            <w:tcMar>
              <w:top w:type="dxa" w:w="100"/>
              <w:left w:type="dxa" w:w="150"/>
              <w:bottom w:type="dxa" w:w="100"/>
              <w:right w:type="dxa" w:w="150"/>
            </w:tcMar>
          </w:tcPr>
          <w:p>
            <w:pPr>
              <w:spacing w:before="60" w:after="60"/>
              <w:jc w:val="left"/>
            </w:pPr>
            <w:r>
              <w:rPr>
                <w:rFonts w:ascii="Arial" w:cs="Arial" w:eastAsia="Arial" w:hAnsi="Arial"/>
                <w:sz w:val="19"/>
                <w:szCs w:val="19"/>
              </w:rPr>
              <w:t xml:space="preserve">F01 — Aide au Diagnostic  •  F02 — Modèles de BT  •  F04 — OT Récurrents Avancés</w:t>
            </w:r>
          </w:p>
          <w:p>
            <w:pPr>
              <w:spacing w:before="60" w:after="60"/>
              <w:jc w:val="left"/>
            </w:pPr>
            <w:r>
              <w:rPr>
                <w:rFonts w:ascii="Arial" w:cs="Arial" w:eastAsia="Arial" w:hAnsi="Arial"/>
                <w:sz w:val="19"/>
                <w:szCs w:val="19"/>
              </w:rPr>
              <w:t xml:space="preserve">F06 — Portail Requérant  •  F10 — Comptages Cycliques  •  F15 — Planning Équipements</w:t>
            </w:r>
          </w:p>
          <w:p>
            <w:pPr>
              <w:spacing w:before="60" w:after="60"/>
              <w:jc w:val="left"/>
            </w:pPr>
            <w:r>
              <w:rPr>
                <w:rFonts w:ascii="Arial" w:cs="Arial" w:eastAsia="Arial" w:hAnsi="Arial"/>
                <w:sz w:val="19"/>
                <w:szCs w:val="19"/>
              </w:rPr>
              <w:t xml:space="preserve">F16 — Planning Intervenants  •  F20 — Suggestion Réapprovisionnement</w:t>
            </w:r>
          </w:p>
        </w:tc>
        <w:tc>
          <w:tcPr>
            <w:tcW w:type="dxa" w:w="14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Gains rapides &amp; adoption</w:t>
            </w:r>
          </w:p>
        </w:tc>
      </w:tr>
      <w:tr>
        <w:tc>
          <w:tcPr>
            <w:tcW w:type="dxa" w:w="1600"/>
            <w:tcBorders>
              <w:top w:val="single" w:color="E0E0E0" w:sz="1"/>
              <w:left w:val="single" w:color="E0E0E0" w:sz="1"/>
              <w:bottom w:val="single" w:color="E0E0E0" w:sz="1"/>
              <w:right w:val="single" w:color="E0E0E0"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
Q4 2026 – Q1 2027</w:t>
            </w:r>
          </w:p>
        </w:tc>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Mois 7 — 12</w:t>
            </w:r>
          </w:p>
        </w:tc>
        <w:tc>
          <w:tcPr>
            <w:tcW w:type="dxa" w:w="4026"/>
            <w:tcBorders>
              <w:top w:val="single" w:color="E0E0E0" w:sz="1"/>
              <w:left w:val="single" w:color="E0E0E0" w:sz="1"/>
              <w:bottom w:val="single" w:color="E0E0E0" w:sz="1"/>
              <w:right w:val="single" w:color="E0E0E0" w:sz="1"/>
            </w:tcBorders>
            <w:tcMar>
              <w:top w:type="dxa" w:w="100"/>
              <w:left w:type="dxa" w:w="150"/>
              <w:bottom w:type="dxa" w:w="100"/>
              <w:right w:type="dxa" w:w="150"/>
            </w:tcMar>
          </w:tcPr>
          <w:p>
            <w:pPr>
              <w:spacing w:before="60" w:after="60"/>
              <w:jc w:val="left"/>
            </w:pPr>
            <w:r>
              <w:rPr>
                <w:rFonts w:ascii="Arial" w:cs="Arial" w:eastAsia="Arial" w:hAnsi="Arial"/>
                <w:sz w:val="19"/>
                <w:szCs w:val="19"/>
              </w:rPr>
              <w:t xml:space="preserve">F03 — Procédures Enrichies  •  F07 — SSO  •  F08 — Report Builder  •  F09 — Dashboards</w:t>
            </w:r>
          </w:p>
          <w:p>
            <w:pPr>
              <w:spacing w:before="60" w:after="60"/>
              <w:jc w:val="left"/>
            </w:pPr>
            <w:r>
              <w:rPr>
                <w:rFonts w:ascii="Arial" w:cs="Arial" w:eastAsia="Arial" w:hAnsi="Arial"/>
                <w:sz w:val="19"/>
                <w:szCs w:val="19"/>
              </w:rPr>
              <w:t xml:space="preserve">F13 — Amortissements  •  F14 — DMS  •  F17 — Workflow Validation  •  F18 — Arbre Défaillance</w:t>
            </w:r>
          </w:p>
          <w:p>
            <w:pPr>
              <w:spacing w:before="60" w:after="60"/>
              <w:jc w:val="left"/>
            </w:pPr>
            <w:r>
              <w:rPr>
                <w:rFonts w:ascii="Arial" w:cs="Arial" w:eastAsia="Arial" w:hAnsi="Arial"/>
                <w:sz w:val="19"/>
                <w:szCs w:val="19"/>
              </w:rPr>
              <w:t xml:space="preserve">F19 — Module Achats  •  F21 — Budget  •  F22 — Suivi Projet  •  F24 — Indisponibilités  •  F25 — Permis Travail</w:t>
            </w:r>
          </w:p>
        </w:tc>
        <w:tc>
          <w:tcPr>
            <w:tcW w:type="dxa" w:w="14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Consolidation analytique &amp; conformité</w:t>
            </w:r>
          </w:p>
        </w:tc>
      </w:tr>
      <w:tr>
        <w:tc>
          <w:tcPr>
            <w:tcW w:type="dxa" w:w="1600"/>
            <w:tcBorders>
              <w:top w:val="single" w:color="E0E0E0" w:sz="1"/>
              <w:left w:val="single" w:color="E0E0E0" w:sz="1"/>
              <w:bottom w:val="single" w:color="E0E0E0" w:sz="1"/>
              <w:right w:val="single" w:color="E0E0E0" w:sz="1"/>
            </w:tcBorders>
            <w:shd w:fill="E8700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3
Q2–Q3 2027</w:t>
            </w:r>
          </w:p>
        </w:tc>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Mois 13 — 18</w:t>
            </w:r>
          </w:p>
        </w:tc>
        <w:tc>
          <w:tcPr>
            <w:tcW w:type="dxa" w:w="4026"/>
            <w:tcBorders>
              <w:top w:val="single" w:color="E0E0E0" w:sz="1"/>
              <w:left w:val="single" w:color="E0E0E0" w:sz="1"/>
              <w:bottom w:val="single" w:color="E0E0E0" w:sz="1"/>
              <w:right w:val="single" w:color="E0E0E0" w:sz="1"/>
            </w:tcBorders>
            <w:tcMar>
              <w:top w:type="dxa" w:w="100"/>
              <w:left w:type="dxa" w:w="150"/>
              <w:bottom w:type="dxa" w:w="100"/>
              <w:right w:type="dxa" w:w="150"/>
            </w:tcMar>
          </w:tcPr>
          <w:p>
            <w:pPr>
              <w:spacing w:before="60" w:after="60"/>
              <w:jc w:val="left"/>
            </w:pPr>
            <w:r>
              <w:rPr>
                <w:rFonts w:ascii="Arial" w:cs="Arial" w:eastAsia="Arial" w:hAnsi="Arial"/>
                <w:sz w:val="19"/>
                <w:szCs w:val="19"/>
              </w:rPr>
              <w:t xml:space="preserve">F05 — Détection Anomalies IA  •  F11 — IoT / Relevés Compteurs  •  F12 — Moteur Automatisation</w:t>
            </w:r>
          </w:p>
          <w:p>
            <w:pPr>
              <w:spacing w:before="60" w:after="60"/>
              <w:jc w:val="left"/>
            </w:pPr>
            <w:r>
              <w:rPr>
                <w:rFonts w:ascii="Arial" w:cs="Arial" w:eastAsia="Arial" w:hAnsi="Arial"/>
                <w:sz w:val="19"/>
                <w:szCs w:val="19"/>
              </w:rPr>
              <w:t xml:space="preserve">F23 — GPS Équipements  •  F26 — Gestion Outillages  •  F27 — Personnalisation Éditions</w:t>
            </w:r>
          </w:p>
        </w:tc>
        <w:tc>
          <w:tcPr>
            <w:tcW w:type="dxa" w:w="140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Fonctionnalités stratégiques haute complexité</w:t>
            </w:r>
          </w:p>
        </w:tc>
      </w:tr>
    </w:tbl>
    <w:p>
      <w:r>
        <w:br w:type="page"/>
      </w:r>
    </w:p>
    <w:p>
      <w:pPr>
        <w:pStyle w:val="Heading1"/>
        <w:spacing w:before="360" w:after="180"/>
      </w:pPr>
      <w:r>
        <w:rPr>
          <w:rFonts w:ascii="Arial" w:cs="Arial" w:eastAsia="Arial" w:hAnsi="Arial"/>
          <w:b/>
          <w:bCs/>
          <w:color w:val="1B3A6B"/>
          <w:sz w:val="32"/>
          <w:szCs w:val="32"/>
        </w:rPr>
        <w:t xml:space="preserve">3. Descriptions Détaillées avec Exemples et Guide d'Implémentation</w:t>
      </w:r>
    </w:p>
    <w:p>
      <w:pPr>
        <w:pStyle w:val="Heading2"/>
        <w:pBdr>
          <w:bottom w:val="single" w:color="2E75B6" w:sz="4" w:space="3"/>
        </w:pBdr>
        <w:spacing w:before="280" w:after="140"/>
      </w:pPr>
      <w:r>
        <w:rPr>
          <w:rFonts w:ascii="Arial" w:cs="Arial" w:eastAsia="Arial" w:hAnsi="Arial"/>
          <w:b/>
          <w:bCs/>
          <w:color w:val="2E75B6"/>
          <w:sz w:val="26"/>
          <w:szCs w:val="26"/>
        </w:rPr>
        <w:t xml:space="preserve">MODULE 1 —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F01  </w:t>
            </w:r>
            <w:r>
              <w:rPr>
                <w:rFonts w:ascii="Arial" w:cs="Arial" w:eastAsia="Arial" w:hAnsi="Arial"/>
                <w:b/>
                <w:bCs/>
                <w:color w:val="FFFFFF"/>
                <w:sz w:val="26"/>
                <w:szCs w:val="26"/>
              </w:rPr>
              <w:t xml:space="preserve">Aide au Diagnostic des Pannes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C62828"/>
                <w:sz w:val="20"/>
                <w:szCs w:val="20"/>
              </w:rPr>
              <w:t xml:space="preserve">STRATÉGIQUE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Maintex (proposition interne)</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Aujourd'hui, quand un technicien arrive devant une machine en panne, il s'appuie uniquement sur son expérience personnelle pour identifier la cause. Le savoir-faire des techniciens seniors n'est nulle part consigné et se perd à leur départ. Cette fonctionnalité intègre un assistant de diagnostic intelligent directement dans le Bon de Travail.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Situation : Un technicien arrive devant le compresseur d'air CAIR-0001 qui ne démarre pas.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Étape 1 — Il ouvre le BT dans Maintex, clique sur « Lancer le diagnostic ». Le système lui propose une liste de symptômes filtrés pour les compresseurs : Ne démarre pas / Démarre mais s'arrête / Bruit anormal / Surchauffe.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Étape 2 — Questions de l'arbre de décision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Q1 : « Le voyant d'alimentation est-il allumé ? » → Non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Q2 : « Le disjoncteur est-il déclenché ? » → Oui</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Conclusion : Cause probable = SURCHARGE ÉLECTRIQUE. Remède : 1. Identifier la surcharge. 2. Réarmer le disjoncteur.</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Étape 3 — Historique : « 3 cas similaires trouvés sur CAIR-0001 (2022, 2023, 2024) » → Dans 2 cas sur 3, condensateur de démarrage défaillant.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Résultat : Diagnostic en 4 minutes au lieu de 45 minutes.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du temps de diagnostic de 30 à 60 % : un diagnostic qui prenait 2h tombe à moins de 45 minutes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Capitalisation du savoir-faire : les solutions trouvées par les techniciens seniors sont automatiquement mémorisées dans la base de connaissance partagée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Montée en compétences accélérée : un technicien junior dispose du même niveau d'information qu'un expert de 10 ans d'expérience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Amélioration du MTTR : moins de temps à diagnostiquer = équipements remis en production plus rapidement</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erreurs : moins de pièces remplacées inutilement à cause d'un mauvais diagnostic</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Option IA (LLM) : le technicien peut décrire librement le problème en langage naturel, l'IA comprend et propose les causes probables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Modélisation base de connaissance : créer les tables ARBRE_DIAGNOSTIC (id, famille_équipement, nœud_parent, symptôme, question, ordre), DIAGNOSTIC_REPONSE (nœud_id, réponse, nœud_suivant, cause_probable, remede_suggere) et DIAGNOSTIC_HISTORIQUE (BT_id, symptôme_entré, cause_retenue, remède_appliqué, durée_diagnostic_min).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d'entrée : ajouter le bouton « Lancer le diagnostic » dans l'onglet Général du BT. Au clic, ouvrir un panel latéral avec liste de symptômes filtrée automatiquement selon la famille d'équipement.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Moteur de navigation : afficher les questions/réponses sous forme de wizard pas à pas. Chaque réponse oriente vers la branche suivante. Afficher un fil d'Ariane (breadcrumb) pour permettre de revenir en arrière.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Recherche dans l'historique des pannes : à chaque conclusion, chercher les BT passés avec symptôme similaire sur le même équipement. Afficher les causes réelles confirmées par les techniciens.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mobile : optimiser l'affichage pour les écrans tactiles. Mode hors ligne : mettre en cache l'arbre de décision localement. L'option LLM nécessite une connexion.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Module d'administration de l'arbre : interface graphique (drag-and-drop via React Flow) pour que l'administrateur maintenance crée et modifie les arbres de décision par famille d'équipement.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Option LLM (Phase 3) : microservice Python/FastAPI avec LangChain + Ollama (mode local, RGPD-friendly) ou OpenAI. pgvector stocke les embeddings de l'historique des pannes pour la recherche sémantique.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Rapport « Efficacité du diagnostic » : temps moyen de diagnostic par famille d'équipement, taux de correspondance cause prédite/réelle, top 10 pannes récurrentes, évolution mensuelle du MTTR.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F02  </w:t>
            </w:r>
            <w:r>
              <w:rPr>
                <w:rFonts w:ascii="Arial" w:cs="Arial" w:eastAsia="Arial" w:hAnsi="Arial"/>
                <w:b/>
                <w:bCs/>
                <w:color w:val="FFFFFF"/>
                <w:sz w:val="26"/>
                <w:szCs w:val="26"/>
              </w:rPr>
              <w:t xml:space="preserve">Modèles de Bons de Travail (Work Order Templates)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Certaines interventions reviennent régulièrement avec exactement les mêmes caractéristiques : même équipement, même technicien, même gamme d'opérations, même durée estimée. Aujourd'hui, le responsable doit recréer ce BT de zéro à chaque fois. Cette fonctionnalité permet de créer des BT préconfigurés (« modèles ») instanciables en un seul clic.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Une usine de production effectue une vidange moteur sur 12 machines différentes chaque trimestre.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Sans modèle (situation actuelle) : Le responsable crée 12 BT identiques à la main, passe 30 minutes à saisir 12 fois les mêmes informations, avec risque d'oublis.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Avec les modèles de BT : Le responsable crée 1 modèle « VIDANGE-MOTEUR-TRIMESTRIEL » avec Catégorie : Préventif, Gamme : VIDANGE-MOT, Temps MO : 2h, Articles : Huile moteur 5L, Filtre à huile, Mode opératoire : 8 étapes rédigées.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Le lendemain : clic sur « Créer depuis modèle », sélection du modèle, changement du nom de la machine. Répété 12 fois → 5 minutes au total au lieu de 30.</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Gain de temps de 40 à 60 % sur la création des BT récurrents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Standardisation des interventions : toutes les vidanges sur toutes les machines sont réalisées avec la même procédure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erreurs de saisie : les champs pré-remplis éliminent les oublis (gamme manquante, durée non renseignée)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Formation accélérée : un nouveau responsable peut créer des BT corrects dès le premier jour</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Traçabilité de la source : chaque BT indique depuis quel modèle il a été créé</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TEMPLATE_BT : code, désignation, catégorie, centre_coût_id, équipement_id, composant_id, gamme_id, intervenant_id, priorité, description, mode_opératoire, temps_MO_estimé_h, articles_liés (JSON), profil_accès, version, archivé.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Développer Menu Interventions &gt; Bon de travail &gt; Modèles BT avec écran de liste et formulaire CRUD (réutiliser le formulaire BT existant avec le flag is_template = true).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Ajouter le bouton « Créer depuis modèle » dans le formulaire Nouveau BT. Au clic, afficher une liste déroulante filtrée par profil utilisateur et famille d'équipement.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À la sélection du modèle, déclencher une copie profonde (deep copy via Lodash cloneDeep) de tous les champs vers le nouveau BT. Tous les champs restent modifiables avant la première sauvegarde.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Ajouter le bouton « Sauvegarder comme modèle » dans le formulaire d'un BT existant pour créer un modèle depuis un BT réel.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Traçabilité : ajouter le champ template_source_id (nullable) dans la table BT pour tracer l'origine de chaque BT créé depuis un modèle.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Gestion des versions : quand un modèle est modifié, archiver l'ancienne version et créer une nouvelle. Les BT créés depuis l'ancienne version conservent leur référence historique.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F06  </w:t>
            </w:r>
            <w:r>
              <w:rPr>
                <w:rFonts w:ascii="Arial" w:cs="Arial" w:eastAsia="Arial" w:hAnsi="Arial"/>
                <w:b/>
                <w:bCs/>
                <w:color w:val="FFFFFF"/>
                <w:sz w:val="26"/>
                <w:szCs w:val="26"/>
              </w:rPr>
              <w:t xml:space="preserve">Portail de Demandes d'Intervention (Portail Requérant)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MaintainX permet à des demandeurs externes (non-utilisateurs Maintex) de soumettre des demandes d'intervention via un portail dédié, sans compte ni licence supplémentaire. Maintex ne dispose pas de cette fonctionnalité, ce qui oblige les demandeurs (utilisateurs d'usine, responsables de site) à passer par un responsable maintenance pour créer les DI, créant des goulots d'étranglement.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Un opérateur de production constate que la machine de découpe CNC-005 fait un bruit anormal.</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Sans portail requérant : L'opérateur appelle son chef d'équipe → qui appelle le responsable maintenance → qui crée la DI → délai : 2h minimum.</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Avec le portail requérant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L'opérateur scanne le QR code affiché sur la machine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Il remplit le formulaire web (pas de compte requis) : Description du problème, Photo optionnelle, Urgence estimée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La DI est créée automatiquement dans Maintex avec statut « En attente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L'opérateur reçoit un email de confirmation avec numéro de suivi</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Le responsable maintenance reçoit une notification et peut valider ou rejeter la demande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Résultat : délai réduit à moins de 5 minutes, traçabilité complète de la demande.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du délai de signalement : de 2h à moins de 5 minutes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Accessibilité sans compte : n'importe quel employé peut signaler un problème via un simple navigateur web ou QR code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Traçabilité complète : chaque demande externe est horodatée, tracée et liée à l'équipement concerné</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Décharge des responsables maintenance : plus besoin d'intermédiaire pour créer les DI simples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Satisfaction des demandeurs : le statut de la demande est consultable en temps réel</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une route publique (/portail/demande) accessible sans authentification, avec limitation de débit (rate limiting) pour éviter les abus.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Formulaire de demande : Équipement (sélection par QR code ou recherche textuelle), Description du problème (texte libre), Niveau d'urgence (Normal / Urgent / Critique), Photo optionnelle (upload mobile), Nom et email du demandeur.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Génération automatique d'une DI dans Maintex avec le statut « Soumise par portail », liée à l'équipement sélectionné et au demandeur (email).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Notification au responsable maintenance par email/push : nouvelle demande reçue avec résumé et lien direct vers la DI.</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Email de confirmation automatique au demandeur avec numéro de suivi et lien de consultation du statut.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Page de suivi publique : consultation par token unique (lien envoyé par email) du statut de la DI (Soumise / En cours d'analyse / Planifiée / Clôturée).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Génération de QR codes par équipement : chaque fiche équipement dispose d'un bouton « Générer QR code portail » pour affichage sur les machines.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Tableau de bord dédié dans Maintex pour les demandes reçues par portail : liste, statut, taux de conversion en BT, délai moyen de traitement.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F17  </w:t>
            </w:r>
            <w:r>
              <w:rPr>
                <w:rFonts w:ascii="Arial" w:cs="Arial" w:eastAsia="Arial" w:hAnsi="Arial"/>
                <w:b/>
                <w:bCs/>
                <w:color w:val="FFFFFF"/>
                <w:sz w:val="26"/>
                <w:szCs w:val="26"/>
              </w:rPr>
              <w:t xml:space="preserve">Workflow de Validation des Interventions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Actuellement, la création d'une DI ou d'un BT ne suit pas nécessairement un circuit d'approbation formalisé. Pour les organisations avec des exigences de contrôle interne (notamment les institutions publiques et les groupes industriels), il est indispensable de pouvoir définir des circuits de validation avec des étapes, des approbateurs désignés et des messages d'alerte automatisés.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SONABEL (société d'électricité nationale) exige que tout BT dépassant 500 000 FCFA de coût estimé soit validé par le Directeur Technique avant exécution.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Configuration du workflow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Étape 1 : Création BT par le Technicien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Étape 2 : Validation Chef d'équipe (toujours requis)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Étape 3 : Validation Directeur Technique (si coût estimé &gt; 500 000 FCFA)</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Étape 4 : Bon pour exécution — statut BT passe à « Approuvé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En cas de refus à l'étape 3 : le BT est renvoyé à l'étape 1 avec commentaire de refus.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À chaque changement d'étape : email automatique à l'approbateur suivant avec lien direct vers le BT.</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aux exigences de contrôle interne et d'audit (ISO 55000, procédures ISO 9001)</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Traçabilité complète du circuit d'approbation : qui a validé, quand et avec quel commentaire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délais : les approbateurs sont notifiés instantanément, sans suivi manuel</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Flexibilité : chaque organisation configure ses propres règles de validation (montant, type d'intervention, équipement critique)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Historique des décisions : toutes les approbations et refus sont archivés dans l'audit trail</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les tables WORKFLOW_TEMPLATE (code, nom, déclencheur, conditions_JSON), WORKFLOW_ETAPE (template_id, ordre, approbateur_role, délai_max_h, action_si_dépassement), WORKFLOW_INSTANCE (BT_id, template_id, étape_courante, statut).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Éditeur de workflows dans l'administration : interface drag-and-drop pour définir les étapes, les approbateurs (par rôle ou par utilisateur nommé) et les conditions de déclenchement.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Conditions de déclenchement configurables : montant estimé &gt; seuil, type d'équipement critique, type d'intervention (arrêt de production), site géographique.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Intégration dans le formulaire BT/DI : afficher l'étape de validation courante, le prochain approbateur et les actions disponibles (Approuver, Refuser, Déléguer, Commenter).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Système de notifications : email et notification push à chaque changement d'étape. Rappel automatique si le délai maximum d'approbation est dépassé.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Vue « Mes validations en attente » dans le tableau de bord de chaque approbateur : liste des BT/DI en attente de sa validation avec accès direct.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Audit trail : journal chronologique de toutes les actions sur le workflow (validation, refus, commentaire, délégation) accessible depuis la fiche BT.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F18  </w:t>
            </w:r>
            <w:r>
              <w:rPr>
                <w:rFonts w:ascii="Arial" w:cs="Arial" w:eastAsia="Arial" w:hAnsi="Arial"/>
                <w:b/>
                <w:bCs/>
                <w:color w:val="FFFFFF"/>
                <w:sz w:val="26"/>
                <w:szCs w:val="26"/>
              </w:rPr>
              <w:t xml:space="preserve">Arbre de Défaillance (RCA — Root Cause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 + 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L'analyse des causes racines (RCA) est une démarche structurée permettant d'identifier non pas le symptôme, mais la cause fondamentale d'une panne. MaintainX l'intègre nativement. Pour Maintex, il s'agit d'ajouter la possibilité de documenter et visualiser l'arbre des causes après la réalisation d'un BT correctionnel, alimentant ainsi la base de connaissance de l'aide au diagnostic (F01).</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pannes récurrentes : en s'attaquant à la cause racine plutôt qu'au symptôme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Alimentation de la base de connaissance diagnostic (F01) : chaque RCA complété enrichit l'arbre de décision</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Exigence des normes ISO 55000 et TPM : la RCA est une pratique standard en maintenance industrielle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Rapport de non-conformité : génération automatique d'un rapport RCA exportable en PDF pour les audits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Indicateurs de qualité : suivi du taux de récurrence des pannes avant/après RCA</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RCA (BT_id, équipement_id, date_panne, description_panne, impact_production_h, analyse_5pourquoi_JSON, cause_racine, mesures_correctives, mesures_préventives, statut, réalisé_par).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Ajouter un onglet « Analyse de défaillance » dans le formulaire BT correctionnel. L'onglet est accessible après clôture du BT.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 5 Pourquoi » : formulaire guidé avec 5 champs itératifs. Chaque « Pourquoi » est pré-rempli avec la réponse du niveau précédent pour guider la réflexion.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Visualisation arbre de défaillance : représentation graphique (arbre SVG) de la chaîne causale. Accessible depuis la fiche équipement sous « Historique des défaillances ».</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Actions correctives : liste des mesures correctives et préventives avec responsable assigné et date d'échéance. Génération automatique de BT préventifs depuis les mesures préventives définies.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Rapport RCA PDF : génération automatique d'un rapport structuré (description panne, impact, analyse 5P, causes, mesures) exportable pour les audits qualité.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Alimentation de F01 : les causes racines identifiées dans les RCA enrichissent automatiquement la base de connaissance de l'arbre de diagnostic.</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F25  </w:t>
            </w:r>
            <w:r>
              <w:rPr>
                <w:rFonts w:ascii="Arial" w:cs="Arial" w:eastAsia="Arial" w:hAnsi="Arial"/>
                <w:b/>
                <w:bCs/>
                <w:color w:val="FFFFFF"/>
                <w:sz w:val="26"/>
                <w:szCs w:val="26"/>
              </w:rPr>
              <w:t xml:space="preserve">Conditions de Sécurité &amp; Permis de Travail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Interventions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Dans les secteurs industriels (mines, énergie, chimie), certaines interventions nécessitent des conditions de sécurité formalisées avant exécution : permis de travail (feu, hauteur, espace confiné, consignation électrique). L'absence de cette fonctionnalité expose les entreprises à des risques HSE et peut bloquer des appels d'offres dans ces secteurs.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Remplacement d'un transformateur dans un poste électrique de SONABEL.</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1. La fiche équipement du transformateur indique : Intervention à risque — Permis de travail électrique obligatoire + Consignation LOTO</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2. À la création du BT, Maintex génère automatiquement la liste des permis requis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3. L'agent HSE remplit le formulaire de permis de travail électrique dans Maintex et le signe électroniquement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4. Le BT ne peut pas passer en statut « En cours » sans tous les permis signés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5. Après l'intervention, les permis sont archivés dans le DMS lié au BT</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HSE : respect des normes de sécurité au travail (ISO 45001, OHSAS 18001)</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Différenciation concurrentielle : fonctionnalité indispensable pour les secteurs mines, énergie, chimie, BTP</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accidents : impossibilité d'exécuter une intervention sans les permis requis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Archivage sécurisé : tous les permis sont liés au BT et conservés dans le DMS pour les audits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Traçabilité légale : en cas d'incident, l'historique des permis émis est consultable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les tables PERMIS_TYPE (code, nom, description, validité_h, champs_JSON), PERMIS_INSTANCE (BT_id, type_id, statut, signataire_id, date_signature, document_url).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Dans la fiche équipement : onglet « Sécurité » permettant de définir les types de permis requis pour les interventions (configurable par catégorie d'intervention).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Lors de la création du BT : vérification automatique des permis requis selon l'équipement et la catégorie d'intervention. Affichage de la liste des permis à générer.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Formulaire de permis de travail : formulaire dynamique basé sur le type de permis (champs configurables par l'administrateur HSE). Signature électronique obligatoire.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Blocage du BT : le statut du BT ne peut passer à « En cours » que si tous les permis requis sont au statut « Signé ». Message d'erreur explicite listant les permis manquants.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Archivage automatique : à la clôture du BT, les permis sont archivés dans le DMS (F14) liés au BT. Notification de renouvellement si le permis a une durée de validité.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Tableau de bord HSE : liste des permis actifs, permis expirés, taux de conformité par site et par période.</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2 — PLANIFICATION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F04  </w:t>
            </w:r>
            <w:r>
              <w:rPr>
                <w:rFonts w:ascii="Arial" w:cs="Arial" w:eastAsia="Arial" w:hAnsi="Arial"/>
                <w:b/>
                <w:bCs/>
                <w:color w:val="FFFFFF"/>
                <w:sz w:val="26"/>
                <w:szCs w:val="26"/>
              </w:rPr>
              <w:t xml:space="preserve">Ordres de Travail Récurrents Avancés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Planification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Maintex génère des BT préventifs via les Fiches de Maintenance Préventive (FMP). Cependant, le système actuel ne supporte que des récurrences simples (tous les N jours). De nombreux clients ont besoin de récurrences complexes : « tous les premiers lundis du mois », « deux fois par semaine », « toutes les 6 semaines sauf en août ». Il manque également une vue calendrier pour visualiser les maintenances à venir.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ONEA (eau potable) a des équipements de pompage qui nécessitent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Vérification niveau huile : chaque lundi et jeudi (FREQ=WEEKLY;BYDAY=MO,TH)</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Vidange annuelle : le 1er lundi du mois de mai uniquement (FREQ=YEARLY;BYMONTH=5;BYDAY=+1MO)</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Nettoyage filtre : toutes les 6 semaines sauf pendant la saison des pluies (juillet-septembre)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Avec le nouveau moteur RRULE : toutes ces récurrences sont configurables graphiquement.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La vue calendrier affiche les 90 prochains jours de maintenance planifiée par site et par équipement.</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Automatisation complète du préventif : zéro intervention manuelle pour lancer les BT planifiés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Flexibilité maximale : toutes les récurrences métier sont supportées grâce au standard RRULE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Planification de la charge : le calendrier permet d'anticiper les pics d'activité</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Zéro oubli : même pendant les absences de l'équipe, le système génère automatiquement les BT au bon moment</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Suspension temporaire : possibilité de suspendre une FMP pendant une période définie (arrêt usine, congés)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Enrichir la table FMP avec les champs : rrule_expression (TEXT, ex: FREQ=WEEKLY;BYDAY=MO,TH), suspendu_du, suspendu_au, créer_si_bt_ouvert BOOL, délai_prévisualisation_jours.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Intégrer la bibliothèque rrule.js côté backend pour parser les expressions RRULE et calculer les prochaines dates d'occurrence. Remplacer le calcul de date actuel par ce moteur.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Modifier le formulaire de création des FMP : ajouter un configurateur visuel de récurrence avec cases à cocher pour les jours, sélecteur de rang du jour, champ de fin de récurrence.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Modifier le job cron nocturne : pour chaque FMP active, utiliser rrule.js pour déterminer si une occurrence est due ce jour. Vérifier la règle créer_si_bt_ouvert avant de créer.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Vue Calendrier sous Menu Planification &gt; Calendrier de maintenance : vues mensuelle et hebdomadaire. Utiliser FullCalendar.io pour le composant visuel.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Fenêtre de prévisualisation : afficher les BT qui seront générés dans les N prochains jours avec possibilité d'ajustement manuel.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Gestion de suspension : champs suspendu_du et suspendu_au dans la FMP. Le cron ignore les FMP suspendues. Reprise automatique à la date de fin de suspension.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F15  </w:t>
            </w:r>
            <w:r>
              <w:rPr>
                <w:rFonts w:ascii="Arial" w:cs="Arial" w:eastAsia="Arial" w:hAnsi="Arial"/>
                <w:b/>
                <w:bCs/>
                <w:color w:val="FFFFFF"/>
                <w:sz w:val="26"/>
                <w:szCs w:val="26"/>
              </w:rPr>
              <w:t xml:space="preserve">Planning des Équipements (Vue Gantt)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Données de base / Planification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La gestion de la disponibilité des équipements nécessite une vue temporelle claire montrant les plages d'utilisation, de maintenance planifiée, d'arrêt programmé et d'indisponibilité. Cette vue Gantt permet au responsable de maintenance de planifier les interventions en évitant les conflits avec la production.</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Vision globale de la disponibilité : identification immédiate des fenêtres de maintenance sans impact sur la production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Prévention des conflits production/maintenance : la maintenance est planifiée dans les plages de non-utilisation</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Communication avec la production : le planning équipements est partageable avec les responsables de production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Historique des disponibilités : calcul automatique du taux de disponibilité réel par équipement et par période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Gestion des données parents : visualisation de la disponibilité en cascade (section → département → équipement)</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PLANNING_EQUIPEMENT (équipement_id, plage_type ENUM[utilisation/maintenance/arrêt/indisponibilité], date_début, date_fin, description, récurrence_rrule, couleur).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Vue Gantt dans Menu Données de base &gt; Équipements &gt; Planning : utiliser la bibliothèque DHTMLX Gantt ou Frappe Gantt (MIT) pour le rendu. Filtres par site, famille d'équipement, période.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Synchronisation bidirectionnelle avec le calendrier de maintenance (F04) : les BT préventifs générés apparaissent automatiquement dans le Gantt.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création de plages : clic-glisser sur le Gantt pour créer une plage. Formulaire de détail pour le type, la description et la récurrence.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Détection des conflits : alerte visuelle si une maintenance est planifiée pendant une plage d'utilisation de production. Proposition de décalage automatique.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Export PDF du planning sur la période sélectionnée pour diffusion aux équipes production.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F16  </w:t>
            </w:r>
            <w:r>
              <w:rPr>
                <w:rFonts w:ascii="Arial" w:cs="Arial" w:eastAsia="Arial" w:hAnsi="Arial"/>
                <w:b/>
                <w:bCs/>
                <w:color w:val="FFFFFF"/>
                <w:sz w:val="26"/>
                <w:szCs w:val="26"/>
              </w:rPr>
              <w:t xml:space="preserve">Planning &amp; Transfert de Charge des Intervenants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Planification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Les responsables maintenance ont besoin de visualiser la charge de travail de chaque technicien (BT affectés, congés, formations) et de pouvoir rééquilibrer la charge en transférant des affectations d'un technicien vers un autre. La pré-affectation d'intervenants sur les fiches de maintenance préventive permet de préparer les BT générés avec les bons techniciens désignés.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Le responsable maintenance de SOFITEX doit planifier la semaine du 10 mars.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Il ouvre le planning intervenants : vue hebdomadaire montrant les 12 techniciens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Il constate que Technicien A est surchargé (48h planifiées) et Technicien B sous-chargé (16h planifiées)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Il glisse-dépose 2 BT du Technicien A vers le Technicien B</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Les deux techniciens reçoivent une notification de modification de leur planning</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La pré-affectation de la FMP « Révision mensuelle Groupe Électrogène » est configurée sur le Technicien C (spécialiste électricité)</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Optimisation de la charge : détection immédiate des déséquilibres de charge entre techniciens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délais d'intervention : un technicien disponible est identifié en quelques secondes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Planification proactive : la pré-affectation sur FMP prépare les BT préventifs avec le bon technicien dès leur génération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Gestion des absences : les congés et formations sont visibles dans le planning, évitant les affectations impossibles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Communication améliorée : les techniciens voient leur planning en temps réel sur l'application mobile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CALENDRIER_INTERVENANT (intervenant_id, date, plage_type ENUM[travail/congé/formation/absence], heure_début, heure_fin) et PREAFFECTATION_FMP (fmp_id, intervenant_id, rôle).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Vue Planning Intervenants : grille calendrier hebdomadaire/mensuelle avec un couloir par technicien. Utiliser FullCalendar.io ou React Big Calendar (MIT).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Affichage de la charge : calculer et afficher pour chaque technicien et chaque semaine : heures planifiées / heures disponibles. Alertes visuelles si &gt; 90% ou &lt; 50%.</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Drag-and-drop : glisser un BT d'un technicien vers un autre pour réaffecter. Vérification automatique des compétences requises avant le transfert.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Transfert en masse : sélection multiple de BT/DI pour transfert vers un autre intervenant (utile lors d'absences imprévues : maladie, départ).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Pré-affectation sur FMP : champ « Intervenant pré-affecté » dans le formulaire FMP. Les BT générés héritent de cet intervenant par défaut.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Notifications push : alerte sur mobile quand un BT est assigné, réaffecté ou que le planning change.</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3 — STOCK &amp; ACHATS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F10  </w:t>
            </w:r>
            <w:r>
              <w:rPr>
                <w:rFonts w:ascii="Arial" w:cs="Arial" w:eastAsia="Arial" w:hAnsi="Arial"/>
                <w:b/>
                <w:bCs/>
                <w:color w:val="FFFFFF"/>
                <w:sz w:val="26"/>
                <w:szCs w:val="26"/>
              </w:rPr>
              <w:t xml:space="preserve">Comptages Cycliques de Stock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Stock</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D32"/>
                <w:sz w:val="20"/>
                <w:szCs w:val="20"/>
              </w:rPr>
              <w:t xml:space="preserve">Faible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Les comptages cycliques (aussi appelés inventaires tournants) permettent de vérifier régulièrement les niveaux de stock sur un sous-ensemble d'articles, sans procéder à un inventaire général qui paralyse l'activité du magasin. MaintainX intègre cette fonctionnalité natiquement pour ses clients industriels avec de grands entrepôts de pièces de rechange.</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Fiabilité des stocks sans interruption d'activité : les inventaires partiels n'arrêtent pas le magasin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Détection précoce des écarts : un article manquant est détecté avant de bloquer une intervention</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avec les exigences comptables : les stocks sont valorisés correctement pour les bilans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Priorisation intelligente : les articles à fort mouvement sont comptés plus fréquemment</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Mise à jour du PMP (Prix Moyen Pondéré) : possibilité de corriger le PMP suite au comptage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les tables COMPTAGE_CYCLIQUE (code, magasin_id, fréquence_jours, méthode ENUM[ABC/aléatoire/manuel], statut, date_prochaine) et COMPTAGE_LIGNE (comptage_id, article_id, quantité_théorique, quantité_comptée, écart, validé_par, date_comptage).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Paramétrage ABC : classification automatique des articles en catégories A (fort mouvement, comptage mensuel), B (moyen, trimestriel), C (faible, semestriel).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comptage mobile : liste des articles à compter avec quantité théorique cachée (pour éviter les biais), saisie de la quantité comptée, scan QR code de l'emplacement.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Validation des écarts : tableau de bord récapitulatif des écarts par article. Workflow de validation par le responsable magasin avant mise à jour du stock.</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Mise à jour automatique des quantités : après validation, ajustement du stock avec une écriture de type « Régularisation inventaire ».</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Mise à jour du PMP : option de recalcul du Prix Moyen Pondéré suite au comptage cyclique, avec notification à la comptabilité.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Rapport de comptage cyclique : historique des comptages, taux de fiabilité du stock par magasin et par famille d'articles.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F19  </w:t>
            </w:r>
            <w:r>
              <w:rPr>
                <w:rFonts w:ascii="Arial" w:cs="Arial" w:eastAsia="Arial" w:hAnsi="Arial"/>
                <w:b/>
                <w:bCs/>
                <w:color w:val="FFFFFF"/>
                <w:sz w:val="26"/>
                <w:szCs w:val="26"/>
              </w:rPr>
              <w:t xml:space="preserve">Module Achats Complet (DA / DP / AO / Commande)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Achats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 responsable produit a identifié plusieurs lacunes dans le module achats actuel de Maintex : absence de Demande de Prix (DP), absence d'Appel d'Offres formalisé, impossibilité de copier une DA ou une commande existante, absence de gestion des frais d'approche et de workflow de validation des DA. Ces lacunes sont bloquantes pour les institutions publiques africaines soumises à des procédures d'achats réglementées.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La BOAD (Banque Ouest-Africaine de Développement) a besoin d'acquérir des pièces pour ses groupes électrogènes.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Flux complet supporté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1. Le technicien crée une Demande d'Achat (DA) depuis le BT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2. La DA passe en workflow de validation (Chef d'équipe → Directeur Technique → DAF si &gt; seuil)</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3. Le responsable achats convertit la DA en Demande de Prix envoyée à 3 fournisseurs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4. Les offres reçues sont comparées dans le tableau d'Appel d'Offres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5. L'offre retenue est convertie en Bon de Commande avec frais d'approche inclus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6. La réception génère une entrée en stock avec valorisation PMP actualisée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aux procédures d'achats publics : appel d'offres formalisé et tracé pour les institutions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doubles saisies : conversion automatique DA → DP → Commande sans ressaisie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Valorisation correcte des stocks : frais d'approche inclus dans le prix de revient des articles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Productivité : copie de DA et de commandes pour les achats récurrents (économie de 70% du temps de saisie)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Alertes automatiques : notification à chaque étape du processus d'achat (validation, réception, retour fournisseur)</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Demande de Prix (DP) : nouvelle entité avec table DEMANDE_PRIX (da_id, fournisseurs_JSON, statut, date_envoi, date_limite_réponse). Conversion DA → DP par bouton dans la fiche DA.</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Appel d'Offres : table APPEL_OFFRE avec tableau comparatif des offres reçues par fournisseur (prix, délai, conditions). Interface de sélection du fournisseur retenu avec justification.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Copie de DA et de Commande : bouton « Copier » dans les listes. Toutes les lignes sont dupliquées, dates mises à jour, références nouvelles générées.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Frais d'approche : table FRAIS_APPROCHE (commande_id, type [transport/douane/assurance/manutention], montant, devise, taux_change). Intégration dans le calcul du prix de revient à la réception.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Retour fournisseur : depuis le bon de livraison, sélection des lignes à retourner. Génération automatique d'un Bon de Retour Fournisseur avec diminution du stock.</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Workflow de validation DA : intégration avec le moteur de workflow (F17). Circuit configurable par seuil de montant et type d'article.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Alertes : notification email/push à chaque étape (nouvelle DA soumise, DP à envoyer, offres reçues, commande à valider, livraison à réceptionner, retard de livraison).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Suggestion de réapprovisionnement (F20) : déclenchement automatique d'une DA depuis une suggestion validée.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F20  </w:t>
            </w:r>
            <w:r>
              <w:rPr>
                <w:rFonts w:ascii="Arial" w:cs="Arial" w:eastAsia="Arial" w:hAnsi="Arial"/>
                <w:b/>
                <w:bCs/>
                <w:color w:val="FFFFFF"/>
                <w:sz w:val="26"/>
                <w:szCs w:val="26"/>
              </w:rPr>
              <w:t xml:space="preserve">Suggestion de Réapprovisionnement Intelligente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Stock</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Maintex doit être capable de calculer automatiquement les besoins en réapprovisionnement en tenant compte à la fois des niveaux de stock actuels et des besoins de maintenance à venir (pièces requises par les BT en cours et les FMP planifiées). Cette fonctionnalité évite les ruptures de stock qui immobilisent les équipements.</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Élimination des ruptures de stock : les pièces critiques sont commandées avant la rupture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Optimisation des stocks : réduction des surstocks grâce au calcul des besoins réels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Gain de temps acheteur : les suggestions sont pré-remplies, l'acheteur valide en 1 clic</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Intégration maintenance/achats : les besoins des FMP planifiées alimentent les suggestions avant même la génération des BT</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Prise en compte des délais fournisseurs : la suggestion est déclenchée avec suffisamment d'avance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Algorithme de suggestion : pour chaque article, calculer : Stock actuel - Quantité en attente de sortie (BT en cours) - Besoin prévu (FMP sur les N prochains jours). Si résultat &lt; Stock minimum → générer une suggestion.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validation : écran « Suggestions de réapprovisionnement » avec liste des articles à commander, quantité suggérée (à ajuster), fournisseur habituel, délai de livraison estimé.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Conversion en DA : bouton « Valider et générer DA » pour transformer les suggestions sélectionnées en Demandes d'Achat en un clic.</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Paramétrage par article : seuil de déclenchement, quantité économique de commande, délai fournisseur, fournisseur préférentiel.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Rapport de ruptures évitées : historique des suggestions générées vs commandes passées. Indicateur de valeur : coût d'immobilisation évité.</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4 —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F08  </w:t>
            </w:r>
            <w:r>
              <w:rPr>
                <w:rFonts w:ascii="Arial" w:cs="Arial" w:eastAsia="Arial" w:hAnsi="Arial"/>
                <w:b/>
                <w:bCs/>
                <w:color w:val="FFFFFF"/>
                <w:sz w:val="26"/>
                <w:szCs w:val="26"/>
              </w:rPr>
              <w:t xml:space="preserve">Module Reporting Avancé (Report 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Éditions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MaintainX propose des tableaux de bord avancés avec MTTR, MTBF, analyse de coûts par actif et exports illimités. Maintex indique des « indicateurs temps réel » mais sans détail sur les KPIs disponibles ni sur la profondeur analytique. Pour gagner des appels d'offres institutionnels, Maintex doit proposer un module de reporting à la hauteur des attentes des directeurs techniques et des DAF.</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KPIs à couvrir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53"/>
        <w:gridCol w:w="2253"/>
      </w:tblGrid>
      <w:tr>
        <w:tc>
          <w:tcPr>
            <w:tcW w:type="dxa" w:w="2260"/>
            <w:tcBorders>
              <w:top w:val="single" w:color="E0E0E0" w:sz="1"/>
              <w:left w:val="single" w:color="E0E0E0" w:sz="1"/>
              <w:bottom w:val="single" w:color="E0E0E0" w:sz="1"/>
              <w:right w:val="single" w:color="E0E0E0"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KPIs Maintenance</w:t>
            </w:r>
          </w:p>
        </w:tc>
        <w:tc>
          <w:tcPr>
            <w:tcW w:type="dxa" w:w="2260"/>
            <w:tcBorders>
              <w:top w:val="single" w:color="E0E0E0" w:sz="1"/>
              <w:left w:val="single" w:color="E0E0E0" w:sz="1"/>
              <w:bottom w:val="single" w:color="E0E0E0" w:sz="1"/>
              <w:right w:val="single" w:color="E0E0E0"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KPIs Stock</w:t>
            </w:r>
          </w:p>
        </w:tc>
        <w:tc>
          <w:tcPr>
            <w:tcW w:type="dxa" w:w="2253"/>
            <w:tcBorders>
              <w:top w:val="single" w:color="E0E0E0" w:sz="1"/>
              <w:left w:val="single" w:color="E0E0E0" w:sz="1"/>
              <w:bottom w:val="single" w:color="E0E0E0" w:sz="1"/>
              <w:right w:val="single" w:color="E0E0E0"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KPIs Coûts</w:t>
            </w:r>
          </w:p>
        </w:tc>
        <w:tc>
          <w:tcPr>
            <w:tcW w:type="dxa" w:w="2253"/>
            <w:tcBorders>
              <w:top w:val="single" w:color="E0E0E0" w:sz="1"/>
              <w:left w:val="single" w:color="E0E0E0" w:sz="1"/>
              <w:bottom w:val="single" w:color="E0E0E0" w:sz="1"/>
              <w:right w:val="single" w:color="E0E0E0"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KPIs RH</w:t>
            </w:r>
          </w:p>
        </w:tc>
      </w:tr>
      <w:tr>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before="60" w:after="60"/>
              <w:jc w:val="left"/>
            </w:pPr>
            <w:r>
              <w:rPr>
                <w:rFonts w:ascii="Arial" w:cs="Arial" w:eastAsia="Arial" w:hAnsi="Arial"/>
                <w:color w:val="424242"/>
                <w:sz w:val="20"/>
                <w:szCs w:val="20"/>
              </w:rPr>
              <w:t xml:space="preserve">MTTR (temps moyen de réparation)</w:t>
            </w:r>
          </w:p>
          <w:p>
            <w:pPr>
              <w:spacing w:before="60" w:after="60"/>
              <w:jc w:val="left"/>
            </w:pPr>
            <w:r>
              <w:rPr>
                <w:rFonts w:ascii="Arial" w:cs="Arial" w:eastAsia="Arial" w:hAnsi="Arial"/>
                <w:color w:val="424242"/>
                <w:sz w:val="20"/>
                <w:szCs w:val="20"/>
              </w:rPr>
              <w:t xml:space="preserve">MTBF (temps moyen entre pannes)</w:t>
            </w:r>
          </w:p>
          <w:p>
            <w:pPr>
              <w:spacing w:before="60" w:after="60"/>
              <w:jc w:val="left"/>
            </w:pPr>
            <w:r>
              <w:rPr>
                <w:rFonts w:ascii="Arial" w:cs="Arial" w:eastAsia="Arial" w:hAnsi="Arial"/>
                <w:color w:val="424242"/>
                <w:sz w:val="20"/>
                <w:szCs w:val="20"/>
              </w:rPr>
              <w:t xml:space="preserve">Taux de PM vs CM</w:t>
            </w:r>
          </w:p>
          <w:p>
            <w:pPr>
              <w:spacing w:before="60" w:after="60"/>
              <w:jc w:val="left"/>
            </w:pPr>
            <w:r>
              <w:rPr>
                <w:rFonts w:ascii="Arial" w:cs="Arial" w:eastAsia="Arial" w:hAnsi="Arial"/>
                <w:color w:val="424242"/>
                <w:sz w:val="20"/>
                <w:szCs w:val="20"/>
              </w:rPr>
              <w:t xml:space="preserve">Backlog maintenance</w:t>
            </w:r>
          </w:p>
          <w:p>
            <w:pPr>
              <w:spacing w:before="60" w:after="60"/>
              <w:jc w:val="left"/>
            </w:pPr>
            <w:r>
              <w:rPr>
                <w:rFonts w:ascii="Arial" w:cs="Arial" w:eastAsia="Arial" w:hAnsi="Arial"/>
                <w:color w:val="424242"/>
                <w:sz w:val="20"/>
                <w:szCs w:val="20"/>
              </w:rPr>
              <w:t xml:space="preserve">Taux de clôture BT dans les délais</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before="60" w:after="60"/>
              <w:jc w:val="left"/>
            </w:pPr>
            <w:r>
              <w:rPr>
                <w:rFonts w:ascii="Arial" w:cs="Arial" w:eastAsia="Arial" w:hAnsi="Arial"/>
                <w:color w:val="424242"/>
                <w:sz w:val="20"/>
                <w:szCs w:val="20"/>
              </w:rPr>
              <w:t xml:space="preserve">Taux de rupture de stock</w:t>
            </w:r>
          </w:p>
          <w:p>
            <w:pPr>
              <w:spacing w:before="60" w:after="60"/>
              <w:jc w:val="left"/>
            </w:pPr>
            <w:r>
              <w:rPr>
                <w:rFonts w:ascii="Arial" w:cs="Arial" w:eastAsia="Arial" w:hAnsi="Arial"/>
                <w:color w:val="424242"/>
                <w:sz w:val="20"/>
                <w:szCs w:val="20"/>
              </w:rPr>
              <w:t xml:space="preserve">Valeur stock par magasin</w:t>
            </w:r>
          </w:p>
          <w:p>
            <w:pPr>
              <w:spacing w:before="60" w:after="60"/>
              <w:jc w:val="left"/>
            </w:pPr>
            <w:r>
              <w:rPr>
                <w:rFonts w:ascii="Arial" w:cs="Arial" w:eastAsia="Arial" w:hAnsi="Arial"/>
                <w:color w:val="424242"/>
                <w:sz w:val="20"/>
                <w:szCs w:val="20"/>
              </w:rPr>
              <w:t xml:space="preserve">Rotation des pièces</w:t>
            </w:r>
          </w:p>
          <w:p>
            <w:pPr>
              <w:spacing w:before="60" w:after="60"/>
              <w:jc w:val="left"/>
            </w:pPr>
            <w:r>
              <w:rPr>
                <w:rFonts w:ascii="Arial" w:cs="Arial" w:eastAsia="Arial" w:hAnsi="Arial"/>
                <w:color w:val="424242"/>
                <w:sz w:val="20"/>
                <w:szCs w:val="20"/>
              </w:rPr>
              <w:t xml:space="preserve">Articles sans mouvement</w:t>
            </w:r>
          </w:p>
          <w:p>
            <w:pPr>
              <w:spacing w:before="60" w:after="60"/>
              <w:jc w:val="left"/>
            </w:pPr>
            <w:r>
              <w:rPr>
                <w:rFonts w:ascii="Arial" w:cs="Arial" w:eastAsia="Arial" w:hAnsi="Arial"/>
                <w:color w:val="424242"/>
                <w:sz w:val="20"/>
                <w:szCs w:val="20"/>
              </w:rPr>
              <w:t xml:space="preserve">Délai moyen d'approvisionnement</w:t>
            </w:r>
          </w:p>
        </w:tc>
        <w:tc>
          <w:tcPr>
            <w:tcW w:type="dxa" w:w="225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before="60" w:after="60"/>
              <w:jc w:val="left"/>
            </w:pPr>
            <w:r>
              <w:rPr>
                <w:rFonts w:ascii="Arial" w:cs="Arial" w:eastAsia="Arial" w:hAnsi="Arial"/>
                <w:color w:val="424242"/>
                <w:sz w:val="20"/>
                <w:szCs w:val="20"/>
              </w:rPr>
              <w:t xml:space="preserve">Coût de maintenance par actif</w:t>
            </w:r>
          </w:p>
          <w:p>
            <w:pPr>
              <w:spacing w:before="60" w:after="60"/>
              <w:jc w:val="left"/>
            </w:pPr>
            <w:r>
              <w:rPr>
                <w:rFonts w:ascii="Arial" w:cs="Arial" w:eastAsia="Arial" w:hAnsi="Arial"/>
                <w:color w:val="424242"/>
                <w:sz w:val="20"/>
                <w:szCs w:val="20"/>
              </w:rPr>
              <w:t xml:space="preserve">Coût MO vs pièces</w:t>
            </w:r>
          </w:p>
          <w:p>
            <w:pPr>
              <w:spacing w:before="60" w:after="60"/>
              <w:jc w:val="left"/>
            </w:pPr>
            <w:r>
              <w:rPr>
                <w:rFonts w:ascii="Arial" w:cs="Arial" w:eastAsia="Arial" w:hAnsi="Arial"/>
                <w:color w:val="424242"/>
                <w:sz w:val="20"/>
                <w:szCs w:val="20"/>
              </w:rPr>
              <w:t xml:space="preserve">Budget vs Réalisé</w:t>
            </w:r>
          </w:p>
          <w:p>
            <w:pPr>
              <w:spacing w:before="60" w:after="60"/>
              <w:jc w:val="left"/>
            </w:pPr>
            <w:r>
              <w:rPr>
                <w:rFonts w:ascii="Arial" w:cs="Arial" w:eastAsia="Arial" w:hAnsi="Arial"/>
                <w:color w:val="424242"/>
                <w:sz w:val="20"/>
                <w:szCs w:val="20"/>
              </w:rPr>
              <w:t xml:space="preserve">Coût par type d'intervention</w:t>
            </w:r>
          </w:p>
          <w:p>
            <w:pPr>
              <w:spacing w:before="60" w:after="60"/>
              <w:jc w:val="left"/>
            </w:pPr>
            <w:r>
              <w:rPr>
                <w:rFonts w:ascii="Arial" w:cs="Arial" w:eastAsia="Arial" w:hAnsi="Arial"/>
                <w:color w:val="424242"/>
                <w:sz w:val="20"/>
                <w:szCs w:val="20"/>
              </w:rPr>
              <w:t xml:space="preserve">TCO (Total Cost of Ownership)</w:t>
            </w:r>
          </w:p>
        </w:tc>
        <w:tc>
          <w:tcPr>
            <w:tcW w:type="dxa" w:w="225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before="60" w:after="60"/>
              <w:jc w:val="left"/>
            </w:pPr>
            <w:r>
              <w:rPr>
                <w:rFonts w:ascii="Arial" w:cs="Arial" w:eastAsia="Arial" w:hAnsi="Arial"/>
                <w:color w:val="424242"/>
                <w:sz w:val="20"/>
                <w:szCs w:val="20"/>
              </w:rPr>
              <w:t xml:space="preserve">Charge par technicien</w:t>
            </w:r>
          </w:p>
          <w:p>
            <w:pPr>
              <w:spacing w:before="60" w:after="60"/>
              <w:jc w:val="left"/>
            </w:pPr>
            <w:r>
              <w:rPr>
                <w:rFonts w:ascii="Arial" w:cs="Arial" w:eastAsia="Arial" w:hAnsi="Arial"/>
                <w:color w:val="424242"/>
                <w:sz w:val="20"/>
                <w:szCs w:val="20"/>
              </w:rPr>
              <w:t xml:space="preserve">Heures productives vs attente</w:t>
            </w:r>
          </w:p>
          <w:p>
            <w:pPr>
              <w:spacing w:before="60" w:after="60"/>
              <w:jc w:val="left"/>
            </w:pPr>
            <w:r>
              <w:rPr>
                <w:rFonts w:ascii="Arial" w:cs="Arial" w:eastAsia="Arial" w:hAnsi="Arial"/>
                <w:color w:val="424242"/>
                <w:sz w:val="20"/>
                <w:szCs w:val="20"/>
              </w:rPr>
              <w:t xml:space="preserve">Taux de productivité</w:t>
            </w:r>
          </w:p>
          <w:p>
            <w:pPr>
              <w:spacing w:before="60" w:after="60"/>
              <w:jc w:val="left"/>
            </w:pPr>
            <w:r>
              <w:rPr>
                <w:rFonts w:ascii="Arial" w:cs="Arial" w:eastAsia="Arial" w:hAnsi="Arial"/>
                <w:color w:val="424242"/>
                <w:sz w:val="20"/>
                <w:szCs w:val="20"/>
              </w:rPr>
              <w:t xml:space="preserve">Interventions par technicien</w:t>
            </w:r>
          </w:p>
          <w:p>
            <w:pPr>
              <w:spacing w:before="60" w:after="60"/>
              <w:jc w:val="left"/>
            </w:pPr>
            <w:r>
              <w:rPr>
                <w:rFonts w:ascii="Arial" w:cs="Arial" w:eastAsia="Arial" w:hAnsi="Arial"/>
                <w:color w:val="424242"/>
                <w:sz w:val="20"/>
                <w:szCs w:val="20"/>
              </w:rPr>
              <w:t xml:space="preserve">Heures supplémentaires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Report Builder : interface drag-and-drop permettant de sélectionner des métriques, appliquer des filtres (période, site, équipement, technicien) et choisir le type de visualisation (tableau, courbe, histogramme, camembert).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Bibliothèque de rapports prédéfinis : 20+ rapports standards disponibles dès l'activation (rapport mensuel de maintenance, bilan stock, suivi budget, performance techniciens).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Planification des rapports : envoi automatique par email selon une planification (hebdomadaire, mensuelle) aux destinataires configurés.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Vue multi-sites consolidée : rapport consolidant les données de tous les sites d'un groupe dans un seul tableau de bord, avec drill-down par site.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Export multi-format : PDF, Excel, CSV depuis chaque rapport. Export de données brutes pour alimentation des outils BI (Power BI, Tableau).</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API de données (lien avec F12) : endpoint REST /api/reporting/kpi exposant les métriques pour les outils BI externes. Documentation OpenAPI incluse.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F09  </w:t>
            </w:r>
            <w:r>
              <w:rPr>
                <w:rFonts w:ascii="Arial" w:cs="Arial" w:eastAsia="Arial" w:hAnsi="Arial"/>
                <w:b/>
                <w:bCs/>
                <w:color w:val="FFFFFF"/>
                <w:sz w:val="26"/>
                <w:szCs w:val="26"/>
              </w:rPr>
              <w:t xml:space="preserve">Tableaux de Bord Personnalisables (Dashboard 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Analytics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Chaque profil utilisateur (Directeur Technique, Responsable Maintenance, Chef d'équipe, Technicien) a besoin d'un tableau de bord différent. Le Directeur Technique veut voir les KPIs financiers et le taux de disponibilité global. Le technicien veut voir ses BT en cours et ses prochaines interventions. Le Dashboard Builder permet à chaque utilisateur de composer son propre écran d'accueil.</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Productivité immédiate à la connexion : chaque utilisateur voit en un coup d'œil l'information qui lui est pertinente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Tableaux de bord exécutifs : les décideurs ont une vue synthétique pour le pilotage stratégique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requêtes support : l'information est accessible directement sans chercher dans les menus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Personnalisation par profil : possibilité de créer des dashboards partagés par rôle (modèle imposé par l'admin)</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Bibliothèque de widgets : Nombre de BT ouverts/en cours/clôturés, MTTR / MTBF du jour, Alertes de stock critique, Calendrier des prochaines PM, Carte des équipements par statut, Graphique de charge techniciens.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personnalisation : grille responsive drag-and-drop (React Grid Layout MIT). L'utilisateur ajoute, déplace, redimensionne et supprime les widgets.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Configuration par widget : chaque widget a ses propres paramètres de filtre (site, période, famille d'équipement).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Dashboards partagés par rôle : l'administrateur peut créer des dashboards modèles assignés à des rôles (non modifiables par les utilisateurs du rôle).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Persistance de la configuration : la disposition de chaque utilisateur est sauvegardée en base de données et restaurée à chaque connexion.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F13  </w:t>
            </w:r>
            <w:r>
              <w:rPr>
                <w:rFonts w:ascii="Arial" w:cs="Arial" w:eastAsia="Arial" w:hAnsi="Arial"/>
                <w:b/>
                <w:bCs/>
                <w:color w:val="FFFFFF"/>
                <w:sz w:val="26"/>
                <w:szCs w:val="26"/>
              </w:rPr>
              <w:t xml:space="preserve">Gestion des Amortissements d'Actifs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Finance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 + 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Les directions financières demandent le suivi de la valeur résiduelle des équipements pour établir les bilans comptables et décider des remplacements. Maintex ne dispose pas d'un module de gestion du cycle de vie des actifs avec calcul d'amortissement. Cette fonctionnalité est identifiée dans les deux sources (benchmark MaintainX et responsable produit) comme nécessaire pour les cibles institutionnelles (BOAD, BCEAO, grandes entreprises).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La DSI d'une banque doit produire le bilan des immobilisations matérielles au 31 décembre.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Avec le module amortissements Maintex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Chaque équipement a : Valeur d'acquisition (10 000 000 FCFA), Date de mise en service, Durée de vie (10 ans), Méthode d'amortissement (linéaire)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Maintex calcule automatiquement : Dotation annuelle (1 000 000 FCFA/an), Valeur nette comptable courante (7 500 000 FCFA), Date de fin d'amortissement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Le DAF exporte le tableau des immobilisations directement vers la comptabilité (Sage, Odoo)</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Élimination des tableurs Excel de suivi des immobilisations : source unique de vérité dans Maintex</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Calcul automatique des dotations : linéaire, dégressif et par composants (norme IFRS)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Interface avec la comptabilité : export compatible avec Sage X3, Odoo, SAP pour les écritures d'amortissement</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Aide à la décision de remplacement : la valeur nette comptable et le coût de maintenance cumulé permettent de calculer le ROI du remplacement</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OHADA : respect des normes comptables de l'espace OHADA pour les entreprises africaines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Enrichir la table EQUIPEMENT avec les champs : valeur_acquisition, date_mise_service, durée_amort_ans, méthode_amort ENUM[linéaire/dégressif/composants], valeur_résiduelle, numéro_immobilisation_compta.</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Moteur de calcul d'amortissement : job mensuel calculant pour chaque équipement la dotation du mois, la valeur nette comptable et le cumul des amortissements. Stocker dans table AMORTISSEMENT_LIGNE.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Tableau des immobilisations : vue récapitulative avec valeur brute, amortissements cumulés, valeur nette comptable, dotation de l'exercice. Filtres par site, famille, exercice comptable.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Comparatif coût de maintenance vs valeur résiduelle : graphique montrant le coût de maintenance cumulé vs la valeur nette comptable, pour identifier les équipements économiquement obsolètes.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Export comptable : format CSV/Excel compatible avec les principaux ERP (Sage, Odoo, SAP Business One) avec les colonnes attendues par chaque système.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avec F24 (Indisponibilités) : le calcul du taux de disponibilité réel d'un équipement enrichit l'analyse de remplacement.</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5 — DONNÉES DE BASE &amp; NOMENCLATURE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F24  </w:t>
            </w:r>
            <w:r>
              <w:rPr>
                <w:rFonts w:ascii="Arial" w:cs="Arial" w:eastAsia="Arial" w:hAnsi="Arial"/>
                <w:b/>
                <w:bCs/>
                <w:color w:val="FFFFFF"/>
                <w:sz w:val="26"/>
                <w:szCs w:val="26"/>
              </w:rPr>
              <w:t xml:space="preserve">Gestion des Indisponibilités &amp; Chaîne d'Équipements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Données de base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 responsable produit a identifié un besoin critique : la gestion de l'impact d'un équipement indisponible sur les équipements qui en dépendent. Dans une ligne de production ou un réseau (eau, électricité), la panne d'un composant peut mettre en arrêt toute une chaîne d'équipements. Maintex doit modéliser ces dépendances et calculer automatiquement leur impact.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Réseau d'eau potable de l'ONEA avec une chaîne de production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Pompe principale → Surpresseur → Réservoir → Distribution réseau</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Si la Pompe principale tombe en panne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Maintex détecte automatiquement que le Surpresseur dépend de la Pompe principale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Le Réservoir dépend du Surpresseur → La Distribution dépend du Réservoir</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Maintex génère une alerte : « Indisponibilité de la Pompe principale impacte 3 équipements aval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Le taux de disponibilité de toute la chaîne est mis à jour automatiquement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Un BT prioritaire est proposé pour la Pompe principale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Vision systémique : identification immédiate de l'impact d'une panne sur la chaîne de production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Priorisation intelligente des BT : les pannes impactant plusieurs équipements sont automatiquement prioritaires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Calcul du taux de disponibilité global : indicateur clé pour les SLA de production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Données parents cohérentes : la hiérarchie Section → Département → Centre de coûts → Équipement est respectée sans contradiction</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Outil de négociation : visualisation de l'impact d'une maintenance préventive sur la production pour négocier les fenêtres d'arrêt</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Modélisation des dépendances : ajouter la table DEPENDANCE_EQUIPEMENT (équipement_source_id, équipement_cible_id, type_dependance ENUM[serie/parallele], criticité). Interface drag-and-drop pour créer le schéma de dépendances.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Calcul de disponibilité en cascade : algorithme récursif calculant la disponibilité de chaque équipement en tenant compte des dépendances. Disponibilité d'une chaîne série = produit des disponibilités individuelles.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Alertes d'impact : lors de la création d'un BT sur un équipement critique, Maintex affiche automatiquement la liste des équipements impactés et calcule la durée d'indisponibilité estimée de la chaîne.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Tableau de bord des indisponibilités : vue temps réel des équipements en arrêt, équipements impactés en cascade, durée d'arrêt cumulée, coût estimé de l'arrêt de production.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Données parents : interface de vérification de cohérence de la hiérarchie. Détection et résolution des contradictions (équipement sans section, section sans département).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F14  </w:t>
            </w:r>
            <w:r>
              <w:rPr>
                <w:rFonts w:ascii="Arial" w:cs="Arial" w:eastAsia="Arial" w:hAnsi="Arial"/>
                <w:b/>
                <w:bCs/>
                <w:color w:val="FFFFFF"/>
                <w:sz w:val="26"/>
                <w:szCs w:val="26"/>
              </w:rPr>
              <w:t xml:space="preserve">Gestion Documentaire des Actifs (DMS)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Nomenclature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Chaque équipement est accompagné de nombreux documents : manuel constructeur, schémas électriques, certificats de conformité, permis d'exploitation, contrats de garantie. Aujourd'hui, ces documents sont dispersés dans des dossiers partagés, des emails ou des classeurs physiques. Le DMS de Maintex centralise tous ces documents directement dans la fiche de l'actif.</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Accès instantané aux documents techniques : le technicien terrain consulte le manuel depuis son mobile pendant l'intervention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Zéro perte de document : tous les documents sont centralisés, versionnés et archivés dans Maintex</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réglementaire : les certificats et permis sont accessibles immédiatement lors des audits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Lien BT ↔ Documents : les rapports d'intervention, permis de travail et photos sont automatiquement archivés dans le DMS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Recherche plein texte : retrouver un document par mot-clé dans son contenu (OCR)</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DOCUMENT_ACTIF (équipement_id, nom, type ENUM[manuel/schéma/certificat/contrat/photo/rapport], version, taille_kb, chemin_stockage, créé_par, date_upload, valide_jusqu'au, tags_JSON).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gestion documentaire dans la fiche équipement : onglet « Documents » avec liste, aperçu et upload. Upload par drag-and-drop depuis le bureau ou la galerie mobile.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Versioning : à l'upload d'un document ayant le même nom, proposer de créer une nouvelle version (archiver l'ancienne). Historique des versions consultable.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Alertes d'expiration : pour les documents avec une date de validité (certificats, permis), alerte 30/60 jours avant expiration au responsable concerné.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Liaison automatique avec les BT : les photos prises pendant les procédures (F03), les rapports d'intervention et les permis de travail (F25) sont automatiquement archivés dans le DMS de l'équipement.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Recherche dans le DMS : moteur de recherche sur le nom, les tags et le contenu textuel des PDF. Utiliser Apache Tika pour l'extraction du texte des PDF et documents Office.</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6 — ADMINISTRATION, SÉCURITÉ &amp; INTÉGRATIONS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F07  </w:t>
            </w:r>
            <w:r>
              <w:rPr>
                <w:rFonts w:ascii="Arial" w:cs="Arial" w:eastAsia="Arial" w:hAnsi="Arial"/>
                <w:b/>
                <w:bCs/>
                <w:color w:val="FFFFFF"/>
                <w:sz w:val="26"/>
                <w:szCs w:val="26"/>
              </w:rPr>
              <w:t xml:space="preserve">SSO / Authentification Centralisée (LDAP, SAML, OAuth)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Administration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 + 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Les grandes organisations disposent d'annuaires d'entreprise (Active Directory, Azure AD, LDAP) et exigent que tous les outils s'y connectent via SSO (Single Sign-On). Sans cette fonctionnalité, l'administrateur IT doit gérer deux référentiels d'identité séparés, ce qui crée des risques de sécurité (comptes non désactivés lors d'un départ) et alourdit la gestion. C'est souvent un critère éliminatoire dans les appels d'offres institutionnels.</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Critère d'éligibilité aux appels d'offres institutionnels : exigence standard des grandes organisations et du secteur public</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Sécurité renforcée : la désactivation d'un compte dans l'AD désactive automatiquement l'accès à Maintex</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Réduction des tickets support IT : plus de mots de passe Maintex à gérer et à réinitialiser</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RGPD/sécurité : gestion centralisée des identités et des accès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Onboarding accéléré : un nouvel employé accède à Maintex avec ses identifiants d'entreprise dès son premier jour</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Support SAML 2.0 : utiliser la bibliothèque node-saml (MIT) pour implémenter le Service Provider SAML. Compatible avec Azure AD, ADFS, Okta, Google Workspace.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Support OAuth 2.0 / OIDC : utiliser Passport.js avec les stratégies oauth2 et oidc. Permet l'intégration avec Azure AD, Google, Keycloak.</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Support LDAP : intégrer ldapts (MIT) pour la connexion directe aux annuaires Active Directory on-premise. Configuration de l'attribut de mapping (sAMAccountName → login Maintex).</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configuration SSO dans l'administration : formulaire de paramétrage du fournisseur d'identité (IdP URL, certificat, attributs de mapping). Test de connexion intégré.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Provisioning automatique (JIT) : à la première connexion SSO, créer automatiquement le compte Maintex avec le rôle par défaut configuré. Mise à jour des attributs (nom, email) à chaque connexion.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MFA : implémenter l'authentification multifacteur par application TOTP (Google Authenticator, Authy) et SMS. Activable par l'administrateur au niveau global ou par profil.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Maintenir l'authentification locale en fallback pour les environnements sans SSO (PME, mode offline).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F12  </w:t>
            </w:r>
            <w:r>
              <w:rPr>
                <w:rFonts w:ascii="Arial" w:cs="Arial" w:eastAsia="Arial" w:hAnsi="Arial"/>
                <w:b/>
                <w:bCs/>
                <w:color w:val="FFFFFF"/>
                <w:sz w:val="26"/>
                <w:szCs w:val="26"/>
              </w:rPr>
              <w:t xml:space="preserve">Moteur d'Automatisation de Flux (Workflow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Administration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C62828"/>
                <w:sz w:val="20"/>
                <w:szCs w:val="20"/>
              </w:rPr>
              <w:t xml:space="preserve">STRATÉGIQUE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C62828"/>
                <w:sz w:val="20"/>
                <w:szCs w:val="20"/>
              </w:rPr>
              <w:t xml:space="preserve">Très 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MaintainX propose des automatisations via Zapier et un moteur de règles natives. Maintex ne dispose d'aucune capacité d'automatisation inter-systèmes. Ce module est stratégique : il permet de supprimer les interventions manuelles répétitives, d'intégrer Maintex dans l'écosystème SI des clients (ERP, messagerie, BI) et de répondre aux besoins d'automatisation des grands comptes.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Exemples d'automatisations configurables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Automatisation 1 : Quand un BT est clôturé avec une panne de type « Électrique », créer automatiquement un BT de contrôle préventif dans 30 jours sur le même équipement.</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Automatisation 2 : Quand le stock d'un article critique passe sous le seuil minimum, créer une DA et notifier le responsable achats par email et Slack.</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Automatisation 3 : À 8h chaque lundi, envoyer par email à chaque technicien la liste de ses BT planifiés pour la semaine.</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Automatisation 4 : Quand un équipement dépasse 3 pannes en 30 jours, créer une alerte RCA et notifier le Directeur Technique.</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Moteur de règles natif : interface visuelle « Si [déclencheur] et [conditions] alors [actions] ». Déclencheurs : changement de statut BT, niveau stock, date/heure, création d'entité. Actions : créer BT/DI/DA, envoyer notification, appeler webhook.</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Système de webhooks sortants : endpoint de configuration dans l'administration (URL, méthode, headers, payload template). Déclenchement lors des événements Maintex configurés.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Connecteur email natif : envoi d'emails paramétrables (destinataires, objet, corps avec variables dynamiques) depuis les automatisations.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Connecteur Slack/Teams : webhook Slack entrant pour les notifications. Autorisation OAuth pour les workspaces Teams.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API REST documentée (OpenAPI/Swagger) : exposition des entités Maintex en lecture/écriture pour les intégrations ERP (SAP, Sage, Odoo). Sandbox de test pour les développeurs.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Bibliothèque de templates d'automatisation : 10+ automatisations prédéfinies prêtes à activer (rappels PM, alertes stock, rapports hebdomadaires, escalade retards).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Journal d'exécution : historique des déclenchements, résultats (succès/erreur), payload envoyé/reçu pour le débogage.</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7 — FINANCE &amp;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F21  </w:t>
            </w:r>
            <w:r>
              <w:rPr>
                <w:rFonts w:ascii="Arial" w:cs="Arial" w:eastAsia="Arial" w:hAnsi="Arial"/>
                <w:b/>
                <w:bCs/>
                <w:color w:val="FFFFFF"/>
                <w:sz w:val="26"/>
                <w:szCs w:val="26"/>
              </w:rPr>
              <w:t xml:space="preserve">Gestion Budgétaire Avancée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Finance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 responsable produit a identifié un besoin fort en matière de gestion budgétaire : définir des budgets à tout niveau de l'analytique (section, département, centre de coût), pour toute catégorie de dépense (main d'œuvre, pièces, prestations), avec possibilité de blocage en cas de dépassement et un suivi en temps réel de la consommation.</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Contrôle des dépenses en temps réel : alerte avant dépassement budgétaire, pas après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Pilotage décentralisé : chaque responsable de centre de coût suit son propre budget sans dépendre du contrôleur de gestion</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Conformité aux obligations de reporting financier : les institutions publiques sont soumises à des exigences strictes de suivi budgétaire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Blocage configurable : option de blocage automatique des DA dépassant le budget disponible (paramétrable par administrateur)</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Historique multi-exercice : comparaison des consommations N vs N-1 pour préparer les budgets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les tables BUDGET (exercice, analytique_niveau ENUM[section/dept/CC/global], analytique_id, catégorie ENUM[MO/pièces/prestation/global], montant, devise, bloquant BOOL) et BUDGET_CONSOMMATION (budget_id, référence_origine, montant, date).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création de budget : formulaire hiérarchique permettant de définir des budgets globaux avec répartition par sous-niveaux. Import depuis Excel pour la saisie en masse.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Calcul de la consommation en temps réel : agrégation des BT clôturés (coût MO + pièces consommées), DA validées (montant engagé), commandes réceptionnées (montant dépensé).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Tableau de suivi budgétaire : vue synthétique Budget / Engagé / Réalisé / Disponible par centre analytique et par catégorie. Barres de progression avec alertes colorées (vert &lt; 75%, orange 75-90%, rouge &gt; 90%).</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Blocage des flux : si bloquant = true, la validation d'une DA ou la clôture d'un BT générant un dépassement est bloquée avec message d'erreur et demande de dérogation.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Export vers ERP comptable : export mensuel des consommations par centre analytique au format compatible Sage, Odoo, SAP pour la clôture comptable.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F22  </w:t>
            </w:r>
            <w:r>
              <w:rPr>
                <w:rFonts w:ascii="Arial" w:cs="Arial" w:eastAsia="Arial" w:hAnsi="Arial"/>
                <w:b/>
                <w:bCs/>
                <w:color w:val="FFFFFF"/>
                <w:sz w:val="26"/>
                <w:szCs w:val="26"/>
              </w:rPr>
              <w:t xml:space="preserve">Suivi de Projet Intégré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Projet</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Certaines maintenances majeures (grand arrêt, révision générale, mise en service d'un nouvel équipement) sont gérées comme des projets avec un budget propre, des jalons et plusieurs équipes impliquées. Maintex doit permettre de créer un projet regroupant toutes les opérations réalisées : DA, commandes, réceptions, factures, sorties de stock, BT, activités.</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Créer la table PROJET (code, nom, responsable_id, date_début, date_fin_prévue, date_fin_réelle, budget, statut, description). Table PROJET_LIEN (projet_id, entité_type ENUM[BT/DA/CMD/SORTIE/ACTIVITÉ], entité_id).</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Interface de suivi projet : tableau de bord synthétisant toutes les opérations liées au projet (BT réalisés, DA et commandes en cours, consommations de stock, coûts réels vs budget).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Association d'entités au projet : possibilité de lier un BT, une DA ou une sortie de stock à un projet depuis les formulaires concernés (champ « Projet » optionnel).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Suivi financier du projet : tableau Budget / Engagé / Réalisé / Écart. Graphique d'avancement de la consommation budgétaire dans le temps.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Rapport de clôture de projet : document récapitulatif automatique avec toutes les opérations, les coûts réels vs budgétés, les BT réalisés, les pièces consommées.</w:t>
            </w:r>
          </w:p>
        </w:tc>
      </w:tr>
    </w:tbl>
    <w:p>
      <w:pPr>
        <w:spacing w:before="200" w:after="0"/>
      </w:pPr>
      <w:r>
        <w:t xml:space="preserve"/>
      </w:r>
    </w:p>
    <w:p>
      <w:r>
        <w:br w:type="page"/>
      </w:r>
    </w:p>
    <w:p>
      <w:pPr>
        <w:pStyle w:val="Heading2"/>
        <w:pBdr>
          <w:bottom w:val="single" w:color="2E75B6" w:sz="4" w:space="3"/>
        </w:pBdr>
        <w:spacing w:before="280" w:after="140"/>
      </w:pPr>
      <w:r>
        <w:rPr>
          <w:rFonts w:ascii="Arial" w:cs="Arial" w:eastAsia="Arial" w:hAnsi="Arial"/>
          <w:b/>
          <w:bCs/>
          <w:color w:val="2E75B6"/>
          <w:sz w:val="26"/>
          <w:szCs w:val="26"/>
        </w:rPr>
        <w:t xml:space="preserve">MODULE 8 — INTELLIGENCE ARTIFICIELLE &amp; FONCTIONNALITÉS AVANCÉES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F05  </w:t>
            </w:r>
            <w:r>
              <w:rPr>
                <w:rFonts w:ascii="Arial" w:cs="Arial" w:eastAsia="Arial" w:hAnsi="Arial"/>
                <w:b/>
                <w:bCs/>
                <w:color w:val="FFFFFF"/>
                <w:sz w:val="26"/>
                <w:szCs w:val="26"/>
              </w:rPr>
              <w:t xml:space="preserve">Détection d'Anomalies par Intelligence Artificielle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Analytics / IA</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C62828"/>
                <w:sz w:val="20"/>
                <w:szCs w:val="20"/>
              </w:rPr>
              <w:t xml:space="preserve">STRATÉGIQUE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C62828"/>
                <w:sz w:val="20"/>
                <w:szCs w:val="20"/>
              </w:rPr>
              <w:t xml:space="preserve">Très 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MaintainX dispose d'un CoPilot IA avec détection d'anomalies. L'absence totale d'IA dans Maintex est l'écart le plus critique face à MaintainX (2/10 vs 9/10). Cette fonctionnalité analyse les données de maintenance (relevés de compteurs, fréquence des pannes, durées d'intervention) pour détecter des comportements anormaux avant qu'ils ne deviennent des pannes.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60"/>
              <w:left w:type="dxa" w:w="200"/>
              <w:bottom w:type="dxa" w:w="60"/>
              <w:right w:type="dxa" w:w="200"/>
            </w:tcMar>
          </w:tcPr>
          <w:p>
            <w:r>
              <w:rPr>
                <w:rFonts w:ascii="Arial" w:cs="Arial" w:eastAsia="Arial" w:hAnsi="Arial"/>
                <w:b/>
                <w:bCs/>
                <w:color w:val="E8700A"/>
                <w:sz w:val="21"/>
                <w:szCs w:val="21"/>
              </w:rPr>
              <w:t xml:space="preserve">Scénario concret d'utilisation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Scénario : Centrale hydroélectrique. Le groupe électrogène GEN-003 présente les relevés suivants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Température huile : 68°C / 72°C / 75°C / 79°C (tendance anormale, seuil critique : 85°C)</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Vibrations moteur : 2.1 / 2.3 / 2.8 / 3.4 mm/s (tendance exponentielle, seuil : 4.5 mm/s)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L'IA Maintex détecte la tendance à J-7 avant la panne probable et génère automatiquement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Alerte : « Anomalie détectée sur GEN-003 — Risque de panne dans 7 jours »</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Proposition : Création d'un BT préventif de vérification de la lubrification</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424242"/>
                <w:sz w:val="19"/>
                <w:szCs w:val="19"/>
              </w:rPr>
              <w:t xml:space="preserve">  → Rapport : courbe de tendance avec projection à 30 jours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Valeur ajoutée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Passage de la maintenance réactive à la maintenance prédictive : réduction des pannes imprévues de 40 à 70%</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Différenciation concurrentielle forte : fonctionnalité de rupture face aux GMAO traditionnelles</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ROI mesurable : chaque panne évitée représente un coût évité (arrêt de production + intervention corrective d'urgence)</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Valorisation des données historiques : les années d'historique Maintex deviennent un actif stratégique</w:t>
            </w:r>
          </w:p>
        </w:tc>
      </w:tr>
      <w:tr>
        <w:tc>
          <w:tcPr>
            <w:tcW w:type="dxa" w:w="9360"/>
            <w:tcBorders>
              <w:top w:val="single" w:color="E0E0E0" w:sz="1"/>
              <w:left w:val="single" w:color="E0E0E0" w:sz="1"/>
              <w:bottom w:val="single" w:color="E0E0E0" w:sz="1"/>
              <w:right w:val="single" w:color="E0E0E0" w:sz="1"/>
            </w:tcBorders>
            <w:shd w:fill="E8F5E9" w:val="clear"/>
            <w:tcMar>
              <w:top w:type="dxa" w:w="80"/>
              <w:left w:type="dxa" w:w="150"/>
              <w:bottom w:type="dxa" w:w="80"/>
              <w:right w:type="dxa" w:w="150"/>
            </w:tcMar>
          </w:tcPr>
          <w:p>
            <w:r>
              <w:rPr>
                <w:rFonts w:ascii="Arial" w:cs="Arial" w:eastAsia="Arial" w:hAnsi="Arial"/>
                <w:b/>
                <w:bCs/>
                <w:color w:val="2E7D32"/>
                <w:sz w:val="20"/>
                <w:szCs w:val="20"/>
              </w:rPr>
              <w:t xml:space="preserve">✓  </w:t>
            </w:r>
            <w:r>
              <w:rPr>
                <w:rFonts w:ascii="Arial" w:cs="Arial" w:eastAsia="Arial" w:hAnsi="Arial"/>
                <w:color w:val="424242"/>
                <w:sz w:val="20"/>
                <w:szCs w:val="20"/>
              </w:rPr>
              <w:t xml:space="preserve">Secteurs cibles premium : mines, énergie, eau — secteurs avec des coûts d'arrêt très élevés</w:t>
            </w:r>
          </w:p>
        </w:tc>
      </w:tr>
    </w:tbl>
    <w:p>
      <w:pPr>
        <w:spacing w:before="12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Phase 1 (règles) : détection basée sur des seuils configurables (valeur &gt; seuil_critique, tendance &gt; X% sur N relevés). Configurable par équipement sans IA.</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Collecte des données : intégration avec F11 (Relevés de Compteurs) et F11 IoT. Les données sont stockées dans une table time-series optimisée (TimescaleDB ou PostgreSQL partitionné).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Phase 2 (ML) : modèles d'anomalie par équipement utilisant scikit-learn (Isolation Forest, Autoencoder) ou Prophet (prévision de séries temporelles). Entraînement mensuel sur l'historique.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Génération d'alertes : table ANOMALIE_DETECTEE (équipement_id, type_anomalie, sévérité, valeur_courante, seuil, tendance, confiance_%, BT_suggéré). Notification push et email au responsable.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Dashboard prédictif : liste des équipements avec risque détecté, courbes de tendance sur les 30 derniers jours avec projection sur les 30 prochains jours, score de risque.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Feedback loop : le technicien valide ou invalide l'anomalie après intervention. Ce feedback améliore le modèle (apprentissage en continu).</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F11  </w:t>
            </w:r>
            <w:r>
              <w:rPr>
                <w:rFonts w:ascii="Arial" w:cs="Arial" w:eastAsia="Arial" w:hAnsi="Arial"/>
                <w:b/>
                <w:bCs/>
                <w:color w:val="FFFFFF"/>
                <w:sz w:val="26"/>
                <w:szCs w:val="26"/>
              </w:rPr>
              <w:t xml:space="preserve">Relevés de Compteurs &amp; Intégration IoT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Planification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HAUTE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E8700A"/>
                <w:sz w:val="20"/>
                <w:szCs w:val="20"/>
              </w:rPr>
              <w:t xml:space="preserve">Élevé</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MaintainX</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Maintex permet déjà la saisie manuelle de relevés de compteurs (heures de fonctionnement, kilométrage, m³ pompés). Mais dans les environnements industriels modernes, ces données doivent être remontées automatiquement par des capteurs IoT. L'absence d'intégration IoT exclut Maintex des appels d'offres du secteur minier, de l'énergie et de l'industrie de process.</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API d'ingestion de données capteurs : endpoint REST POST /api/iot/telemetry acceptant les payloads JSON avec équipement_id, capteur_type, valeur, unité, timestamp. Authentification par token d'équipement.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Support du protocole MQTT : broker MQTT intégré (Mosquitto ou EMQX) pour les capteurs publiant en MQTT. Bridge MQTT → PostgreSQL via NestJS consumer.</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Configuration des capteurs dans Maintex : chaque équipement peut avoir N capteurs associés avec nom, type (température, vibration, pression, débit, heures), seuil d'alerte, unité.</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Déclenchement automatique de FMP basé sur les relevés IoT : « Déclencher une vidange quand le compteur d'heures atteint 500h » (maintenance basée sur l'usage réel).</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Visualisation des données capteurs : graphiques time-series dans la fiche équipement avec zoom, export CSV. Intégration avec F05 (Détection d'anomalies IA).</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Support OPC-UA (Phase 3) : connecteur OPC-UA pour les automates industriels (PLCs). Utiliser la bibliothèque node-opcua (MIT).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F23  </w:t>
            </w:r>
            <w:r>
              <w:rPr>
                <w:rFonts w:ascii="Arial" w:cs="Arial" w:eastAsia="Arial" w:hAnsi="Arial"/>
                <w:b/>
                <w:bCs/>
                <w:color w:val="FFFFFF"/>
                <w:sz w:val="26"/>
                <w:szCs w:val="26"/>
              </w:rPr>
              <w:t xml:space="preserve">Géolocalisation GPS des Équipements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Données de base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Pour les organisations gérant des équipements mobiles (véhicules, groupes électrogènes transportables, pompes mobiles) ou des équipements distribués sur de grands sites (mines, centrales, réseaux d'eau), la localisation GPS est une fonctionnalité très demandée. Elle permet de visualiser la position de chaque équipement sur une carte et d'optimiser les tournées de maintenance.</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Champ GPS dans la fiche équipement : latitude, longitude, adresse, bâtiment, étage, salle. Capture automatique via navigateur (API Geolocation) ou saisie manuelle.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Carte des équipements : vue cartographique avec pins colorés selon le statut (En fonctionnement / En panne / En maintenance). Utiliser Leaflet.js (BSD 2-Clause) avec tuiles OpenStreetMap (gratuit).</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Filtre sur la carte : par site, famille d'équipement, statut, criticité. Clustering des pins pour les grandes densités.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Optimisation de tournées : pour les équipes mobiles, proposer un itinéraire optimisé entre les BT à réaliser dans la journée (Google Maps Directions API ou OSRM open source).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QR code de localisation : chaque équipement a un QR code unique qui, scanné, ouvre sa fiche avec sa position sur la carte et le formulaire de signalement (F06 Portail requérant).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20"/>
              <w:bottom w:type="dxa" w:w="180"/>
              <w:right w:type="dxa" w:w="220"/>
            </w:tcMar>
          </w:tcPr>
          <w:p>
            <w:pPr>
              <w:jc w:val="left"/>
            </w:pPr>
            <w:r>
              <w:rPr>
                <w:rFonts w:ascii="Arial" w:cs="Arial" w:eastAsia="Arial" w:hAnsi="Arial"/>
                <w:b/>
                <w:bCs/>
                <w:color w:val="E8700A"/>
                <w:sz w:val="24"/>
                <w:szCs w:val="24"/>
              </w:rPr>
              <w:t xml:space="preserve">F27  </w:t>
            </w:r>
            <w:r>
              <w:rPr>
                <w:rFonts w:ascii="Arial" w:cs="Arial" w:eastAsia="Arial" w:hAnsi="Arial"/>
                <w:b/>
                <w:bCs/>
                <w:color w:val="FFFFFF"/>
                <w:sz w:val="26"/>
                <w:szCs w:val="26"/>
              </w:rPr>
              <w:t xml:space="preserve">Personnalisation des Éditions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Catégorie</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Priorité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Effort estimé</w:t>
            </w:r>
          </w:p>
        </w:tc>
        <w:tc>
          <w:tcPr>
            <w:tcW w:type="dxa" w:w="234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vAlign w:val="center"/>
          </w:tcPr>
          <w:p>
            <w:pPr>
              <w:jc w:val="left"/>
            </w:pPr>
            <w:r>
              <w:rPr>
                <w:rFonts w:ascii="Arial" w:cs="Arial" w:eastAsia="Arial" w:hAnsi="Arial"/>
                <w:b/>
                <w:bCs/>
                <w:color w:val="424242"/>
                <w:sz w:val="18"/>
                <w:szCs w:val="18"/>
              </w:rPr>
              <w:t xml:space="preserve">Source</w:t>
            </w:r>
          </w:p>
        </w:tc>
      </w:tr>
      <w:tr>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Éditions</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MOYENNE</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r>
              <w:rPr>
                <w:rFonts w:ascii="Arial" w:cs="Arial" w:eastAsia="Arial" w:hAnsi="Arial"/>
                <w:b/>
                <w:bCs/>
                <w:color w:val="2E75B6"/>
                <w:sz w:val="20"/>
                <w:szCs w:val="20"/>
              </w:rPr>
              <w:t xml:space="preserve">Moyen</w:t>
            </w:r>
          </w:p>
        </w:tc>
        <w:tc>
          <w:tcPr>
            <w:tcW w:type="dxa" w:w="2340"/>
            <w:tcBorders>
              <w:top w:val="single" w:color="E0E0E0" w:sz="1"/>
              <w:left w:val="single" w:color="E0E0E0" w:sz="1"/>
              <w:bottom w:val="single" w:color="E0E0E0" w:sz="1"/>
              <w:right w:val="single" w:color="E0E0E0" w:sz="1"/>
            </w:tcBorders>
            <w:tcMar>
              <w:top w:type="dxa" w:w="100"/>
              <w:left w:type="dxa" w:w="150"/>
              <w:bottom w:type="dxa" w:w="100"/>
              <w:right w:type="dxa" w:w="150"/>
            </w:tcMar>
            <w:vAlign w:val="center"/>
          </w:tcPr>
          <w:p>
            <w:pPr>
              <w:jc w:val="left"/>
            </w:pPr>
            <w:r>
              <w:rPr>
                <w:rFonts w:ascii="Arial" w:cs="Arial" w:eastAsia="Arial" w:hAnsi="Arial"/>
                <w:b w:val="false"/>
                <w:bCs w:val="false"/>
                <w:color w:val="424242"/>
                <w:sz w:val="20"/>
                <w:szCs w:val="20"/>
              </w:rPr>
              <w:t xml:space="preserve">Responsable Produit</w:t>
            </w:r>
          </w:p>
        </w:tc>
      </w:tr>
    </w:tbl>
    <w:p>
      <w:pPr>
        <w:spacing w:before="100" w:after="0"/>
      </w:pPr>
      <w:r>
        <w:t xml:space="preserve"/>
      </w:r>
    </w:p>
    <w:p>
      <w:pPr>
        <w:pStyle w:val="Heading3"/>
        <w:spacing w:before="200" w:after="100"/>
      </w:pPr>
      <w:r>
        <w:rPr>
          <w:rFonts w:ascii="Arial" w:cs="Arial" w:eastAsia="Arial" w:hAnsi="Arial"/>
          <w:b/>
          <w:bCs/>
          <w:color w:val="E8700A"/>
          <w:sz w:val="23"/>
          <w:szCs w:val="23"/>
        </w:rPr>
        <w:t xml:space="preserve">Description et contexte</w:t>
      </w:r>
    </w:p>
    <w:p>
      <w:pPr>
        <w:spacing w:before="60" w:after="60"/>
        <w:jc w:val="left"/>
      </w:pPr>
      <w:r>
        <w:rPr>
          <w:rFonts w:ascii="Arial" w:cs="Arial" w:eastAsia="Arial" w:hAnsi="Arial"/>
          <w:color w:val="424242"/>
          <w:sz w:val="20"/>
          <w:szCs w:val="20"/>
        </w:rPr>
        <w:t xml:space="preserve">Les clients de Maintex ont des besoins spécifiques en matière de formats d'impression et d'éditions. Un hôpital veut imprimer ses BT avec le logo de l'établissement et des champs personnalisés. Une mine veut un bon de travail avec les champs HSE obligatoires. Le moteur de personnalisation des éditions permet à chaque organisation d'adapter les documents générés à ses standards.</w:t>
      </w:r>
    </w:p>
    <w:p>
      <w:pPr>
        <w:spacing w:before="100" w:after="0"/>
      </w:pPr>
      <w:r>
        <w:t xml:space="preserve"/>
      </w:r>
    </w:p>
    <w:p>
      <w:pPr>
        <w:pStyle w:val="Heading3"/>
        <w:spacing w:before="200" w:after="100"/>
      </w:pPr>
      <w:r>
        <w:rPr>
          <w:rFonts w:ascii="Arial" w:cs="Arial" w:eastAsia="Arial" w:hAnsi="Arial"/>
          <w:b/>
          <w:bCs/>
          <w:color w:val="E8700A"/>
          <w:sz w:val="23"/>
          <w:szCs w:val="23"/>
        </w:rPr>
        <w:t xml:space="preserve">Guide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Éditeur de modèles d'impression : interface WYSIWYG basée sur JsReport ou Carbone.io (MIT) pour concevoir les templates d'édition (BT, DI, commande, bon de réception, rapport d'intervention).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Variables dynamiques : bibliothèque de variables disponibles ({{equipement.nom}}, {{bt.date_creation}}, {{technicien.nom}}, {{gamme.operations}}) injectables dans les templates.</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Personnalisation de l'en-tête et pied de page : upload du logo de l'entreprise, couleurs personnalisées, informations légales, numéro de page.</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Gestion de plusieurs modèles par type : un modèle BT standard et un modèle BT sécurité (avec les champs permis de travail). Sélection à l'impression selon le type d'intervention.</w:t>
            </w:r>
          </w:p>
        </w:tc>
      </w:tr>
      <w:tr>
        <w:tc>
          <w:tcPr>
            <w:tcW w:type="dxa" w:w="900"/>
            <w:tcBorders>
              <w:top w:val="single" w:color="E0E0E0" w:sz="1"/>
              <w:left w:val="single" w:color="E0E0E0" w:sz="1"/>
              <w:bottom w:val="single" w:color="E0E0E0" w:sz="1"/>
              <w:right w:val="single" w:color="E0E0E0"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460"/>
            <w:tcBorders>
              <w:top w:val="single" w:color="E0E0E0" w:sz="1"/>
              <w:left w:val="single" w:color="E0E0E0" w:sz="1"/>
              <w:bottom w:val="single" w:color="E0E0E0" w:sz="1"/>
              <w:right w:val="single" w:color="E0E0E0" w:sz="1"/>
            </w:tcBorders>
            <w:tcMar>
              <w:top w:type="dxa" w:w="80"/>
              <w:left w:type="dxa" w:w="150"/>
              <w:bottom w:type="dxa" w:w="80"/>
              <w:right w:type="dxa" w:w="150"/>
            </w:tcMar>
          </w:tcPr>
          <w:p>
            <w:r>
              <w:rPr>
                <w:rFonts w:ascii="Arial" w:cs="Arial" w:eastAsia="Arial" w:hAnsi="Arial"/>
                <w:color w:val="424242"/>
                <w:sz w:val="19"/>
                <w:szCs w:val="19"/>
              </w:rPr>
              <w:t xml:space="preserve">Export vers les formats requis : PDF, Word (DOCX), Excel selon le type de document. Impression directe depuis Maintex via le navigateur.</w:t>
            </w:r>
          </w:p>
        </w:tc>
      </w:tr>
    </w:tbl>
    <w:p>
      <w:pPr>
        <w:spacing w:before="200" w:after="0"/>
      </w:pPr>
      <w:r>
        <w:t xml:space="preserve"/>
      </w:r>
    </w:p>
    <w:p>
      <w:r>
        <w:br w:type="page"/>
      </w:r>
    </w:p>
    <w:p>
      <w:pPr>
        <w:pStyle w:val="Heading1"/>
        <w:spacing w:before="360" w:after="180"/>
      </w:pPr>
      <w:r>
        <w:rPr>
          <w:rFonts w:ascii="Arial" w:cs="Arial" w:eastAsia="Arial" w:hAnsi="Arial"/>
          <w:b/>
          <w:bCs/>
          <w:color w:val="1B3A6B"/>
          <w:sz w:val="32"/>
          <w:szCs w:val="32"/>
        </w:rPr>
        <w:t xml:space="preserve">4. Recommandations Techniques &amp; Bibliothèques</w:t>
      </w:r>
    </w:p>
    <w:p>
      <w:pPr>
        <w:spacing w:before="60" w:after="60"/>
        <w:jc w:val="left"/>
      </w:pPr>
      <w:r>
        <w:rPr>
          <w:rFonts w:ascii="Arial" w:cs="Arial" w:eastAsia="Arial" w:hAnsi="Arial"/>
          <w:color w:val="424242"/>
          <w:sz w:val="20"/>
          <w:szCs w:val="20"/>
        </w:rPr>
        <w:t xml:space="preserve">L'ensemble des fonctionnalités décrites dans ce document peut être implémenté en s'appuyant sur des bibliothèques open source éprouvées, réduisant significativement les délais et les risques de développement.</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026"/>
        <w:gridCol w:w="1800"/>
      </w:tblGrid>
      <w:tr>
        <w:tc>
          <w:tcPr>
            <w:tcW w:type="dxa" w:w="20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Bibliothèque</w:t>
            </w:r>
          </w:p>
        </w:tc>
        <w:tc>
          <w:tcPr>
            <w:tcW w:type="dxa" w:w="12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Licence</w:t>
            </w:r>
          </w:p>
        </w:tc>
        <w:tc>
          <w:tcPr>
            <w:tcW w:type="dxa" w:w="4026"/>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 dans Maintex</w:t>
            </w:r>
          </w:p>
        </w:tc>
        <w:tc>
          <w:tcPr>
            <w:tcW w:type="dxa" w:w="18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LangChain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Pipeline RAG pour l'IA — découpage historique, embeddings, LLM avec contexte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F01, F05</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Ollama</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Serveur LLM local (Llama 3, Mistral) — RGPD-friendly, 0 données envoyées hors réseau</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F01, F05</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pgvector</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PostgreSQL</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Extension PostgreSQL pour la recherche vectorielle (embeddings IA)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F01, F05</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React Flow</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Éditeur visuel d'arbres de décision avec drag-and-drop</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F01, F18</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rrule.js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Moteur de récurrences RRULE (identique Google Calendar/Outlook)</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F04</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FullCalendar.io</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Composant calendrier React/Vue avec vues mensuelle et hebdomadaire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F04, F15, F16</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signature_pad</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Capture de signature manuscrite sur écran tactile (canvas HTML5)</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F03, F25</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SortableJS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Drag-and-drop pour l'éditeur de procédures et gammes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F03</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Puppeteer</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Export PDF haute fidélité via Chrome headless côté serveur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F03, F08, F14</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node-saml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Service Provider SAML 2.0 — compatible Azure AD, Okta, ADFS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F07</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Passport.js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Middleware d'authentification OAuth 2.0, OIDC, LDAP</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F07</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Leaflet.js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BSD 2-Clause</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Cartographie open source — tuiles OpenStreetMap (gratuit)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F23</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TimescaleDB</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Apache 2.0</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Extension PostgreSQL pour données time-series (IoT, capteurs)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F05, F11</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EMQX/Mosquitto</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Apache 2.0</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Broker MQTT pour la réception des données capteurs IoT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F11</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Apache Tika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Apache 2.0</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Extraction de texte des PDF/Word pour la recherche DMS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F14</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JsReport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Moteur de génération de rapports et éditions personnalisables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F08, F27</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React Grid Layout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18"/>
                <w:szCs w:val="18"/>
              </w:rPr>
              <w:t xml:space="preserve">Dashboard Builder avec disposition drag-and-drop persistée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E8700A"/>
                <w:sz w:val="18"/>
                <w:szCs w:val="18"/>
              </w:rPr>
              <w:t xml:space="preserve">F09</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5B6"/>
                <w:sz w:val="19"/>
                <w:szCs w:val="19"/>
              </w:rPr>
              <w:t xml:space="preserve">BullMQ</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color w:val="2E7D32"/>
                <w:sz w:val="18"/>
                <w:szCs w:val="18"/>
              </w:rPr>
              <w:t xml:space="preserve">MIT</w:t>
            </w:r>
          </w:p>
        </w:tc>
        <w:tc>
          <w:tcPr>
            <w:tcW w:type="dxa" w:w="4026"/>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sz w:val="18"/>
                <w:szCs w:val="18"/>
              </w:rPr>
              <w:t xml:space="preserve">File de jobs Redis pour l'exécution des automatisations asynchrones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E8700A"/>
                <w:sz w:val="18"/>
                <w:szCs w:val="18"/>
              </w:rPr>
              <w:t xml:space="preserve">F12</w:t>
            </w:r>
          </w:p>
        </w:tc>
      </w:tr>
    </w:tbl>
    <w:p>
      <w:r>
        <w:br w:type="page"/>
      </w:r>
    </w:p>
    <w:p>
      <w:pPr>
        <w:pStyle w:val="Heading1"/>
        <w:spacing w:before="360" w:after="180"/>
      </w:pPr>
      <w:r>
        <w:rPr>
          <w:rFonts w:ascii="Arial" w:cs="Arial" w:eastAsia="Arial" w:hAnsi="Arial"/>
          <w:b/>
          <w:bCs/>
          <w:color w:val="1B3A6B"/>
          <w:sz w:val="32"/>
          <w:szCs w:val="32"/>
        </w:rPr>
        <w:t xml:space="preserve">5. Conclusion &amp; Recommandations de Démarrage</w:t>
      </w:r>
    </w:p>
    <w:p>
      <w:pPr>
        <w:spacing w:before="60" w:after="60"/>
        <w:jc w:val="left"/>
      </w:pPr>
      <w:r>
        <w:rPr>
          <w:rFonts w:ascii="Arial" w:cs="Arial" w:eastAsia="Arial" w:hAnsi="Arial"/>
          <w:color w:val="424242"/>
          <w:sz w:val="20"/>
          <w:szCs w:val="20"/>
        </w:rPr>
        <w:t xml:space="preserve">Les 27 fonctionnalités présentées dans ce document constituent une feuille de route complète couvrant l'ensemble du spectre attendu d'une GMAO moderne à vocation mondiale. Elles répondent simultanément aux insuffisances identifiées face à MaintainX et aux besoins opérationnels formulés par le responsable produit.</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Axe stratégique</w:t>
            </w:r>
          </w:p>
        </w:tc>
        <w:tc>
          <w:tcPr>
            <w:tcW w:type="dxa" w:w="6526"/>
            <w:tcBorders>
              <w:top w:val="single" w:color="E0E0E0" w:sz="1"/>
              <w:left w:val="single" w:color="E0E0E0" w:sz="1"/>
              <w:bottom w:val="single" w:color="E0E0E0" w:sz="1"/>
              <w:right w:val="single" w:color="E0E0E0"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Fonctionnalités concernées</w:t>
            </w:r>
          </w:p>
        </w:tc>
      </w:tr>
      <w:tr>
        <w:tc>
          <w:tcPr>
            <w:tcW w:type="dxa" w:w="2500"/>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b/>
                <w:bCs/>
                <w:color w:val="1B3A6B"/>
                <w:sz w:val="20"/>
                <w:szCs w:val="20"/>
              </w:rPr>
              <w:t xml:space="preserve">Intelligence &amp; Diagnostic</w:t>
            </w:r>
          </w:p>
        </w:tc>
        <w:tc>
          <w:tcPr>
            <w:tcW w:type="dxa" w:w="6526"/>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sz w:val="19"/>
                <w:szCs w:val="19"/>
              </w:rPr>
              <w:t xml:space="preserve">F01 (Aide au Diagnostic), F05 (Détection Anomalies IA) — Différenciation forte sur les marchés France et international</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1B3A6B"/>
                <w:sz w:val="20"/>
                <w:szCs w:val="20"/>
              </w:rPr>
              <w:t xml:space="preserve">Automatisation</w:t>
            </w:r>
          </w:p>
        </w:tc>
        <w:tc>
          <w:tcPr>
            <w:tcW w:type="dxa" w:w="65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19"/>
                <w:szCs w:val="19"/>
              </w:rPr>
              <w:t xml:space="preserve">F02 (Modèles BT), F04 (OT Récurrents), F12 (Workflow Engine), F20 (Réapprovisionnement), F10 (Comptages Cycliques)</w:t>
            </w:r>
          </w:p>
        </w:tc>
      </w:tr>
      <w:tr>
        <w:tc>
          <w:tcPr>
            <w:tcW w:type="dxa" w:w="2500"/>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b/>
                <w:bCs/>
                <w:color w:val="1B3A6B"/>
                <w:sz w:val="20"/>
                <w:szCs w:val="20"/>
              </w:rPr>
              <w:t xml:space="preserve">Analytics &amp; Reporting</w:t>
            </w:r>
          </w:p>
        </w:tc>
        <w:tc>
          <w:tcPr>
            <w:tcW w:type="dxa" w:w="6526"/>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sz w:val="19"/>
                <w:szCs w:val="19"/>
              </w:rPr>
              <w:t xml:space="preserve">F08 (Report Builder), F09 (Dashboards Personnalisés), F13 (Amortissements), F21 (Budget)</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1B3A6B"/>
                <w:sz w:val="20"/>
                <w:szCs w:val="20"/>
              </w:rPr>
              <w:t xml:space="preserve">Intégration &amp; Connectivité</w:t>
            </w:r>
          </w:p>
        </w:tc>
        <w:tc>
          <w:tcPr>
            <w:tcW w:type="dxa" w:w="65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19"/>
                <w:szCs w:val="19"/>
              </w:rPr>
              <w:t xml:space="preserve">F07 (SSO), F11 (IoT/Compteurs), F12 (API REST), F06 (Portail Requérant), F23 (GPS)</w:t>
            </w:r>
          </w:p>
        </w:tc>
      </w:tr>
      <w:tr>
        <w:tc>
          <w:tcPr>
            <w:tcW w:type="dxa" w:w="2500"/>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b/>
                <w:bCs/>
                <w:color w:val="1B3A6B"/>
                <w:sz w:val="20"/>
                <w:szCs w:val="20"/>
              </w:rPr>
              <w:t xml:space="preserve">Qualité &amp; Conformité</w:t>
            </w:r>
          </w:p>
        </w:tc>
        <w:tc>
          <w:tcPr>
            <w:tcW w:type="dxa" w:w="6526"/>
            <w:tcBorders>
              <w:top w:val="single" w:color="E0E0E0" w:sz="1"/>
              <w:left w:val="single" w:color="E0E0E0" w:sz="1"/>
              <w:bottom w:val="single" w:color="E0E0E0" w:sz="1"/>
              <w:right w:val="single" w:color="E0E0E0" w:sz="1"/>
            </w:tcBorders>
            <w:shd w:fill="D5E8F0" w:val="clear"/>
            <w:tcMar>
              <w:top w:type="dxa" w:w="100"/>
              <w:left w:type="dxa" w:w="150"/>
              <w:bottom w:type="dxa" w:w="100"/>
              <w:right w:type="dxa" w:w="150"/>
            </w:tcMar>
          </w:tcPr>
          <w:p>
            <w:r>
              <w:rPr>
                <w:rFonts w:ascii="Arial" w:cs="Arial" w:eastAsia="Arial" w:hAnsi="Arial"/>
                <w:sz w:val="19"/>
                <w:szCs w:val="19"/>
              </w:rPr>
              <w:t xml:space="preserve">F03 (Procédures Enrichies), F14 (DMS), F17 (Workflow Validation), F18 (Arbre Défaillance), F25 (Permis Travail)</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1B3A6B"/>
                <w:sz w:val="20"/>
                <w:szCs w:val="20"/>
              </w:rPr>
              <w:t xml:space="preserve">Achats &amp; Finance</w:t>
            </w:r>
          </w:p>
        </w:tc>
        <w:tc>
          <w:tcPr>
            <w:tcW w:type="dxa" w:w="65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19"/>
                <w:szCs w:val="19"/>
              </w:rPr>
              <w:t xml:space="preserve">F19 (Module Achats), F20 (Réapprovisionnement), F21 (Budget), F22 (Suivi Projet), F13 (Amortissements)</w:t>
            </w:r>
          </w:p>
        </w:tc>
      </w:tr>
    </w:tbl>
    <w:p>
      <w:pPr>
        <w:spacing w:before="200" w:after="0"/>
      </w:pPr>
      <w:r>
        <w:t xml:space="preserve"/>
      </w:r>
    </w:p>
    <w:p>
      <w:pPr>
        <w:pStyle w:val="Heading3"/>
        <w:spacing w:before="200" w:after="100"/>
      </w:pPr>
      <w:r>
        <w:rPr>
          <w:rFonts w:ascii="Arial" w:cs="Arial" w:eastAsia="Arial" w:hAnsi="Arial"/>
          <w:b/>
          <w:bCs/>
          <w:color w:val="E8700A"/>
          <w:sz w:val="23"/>
          <w:szCs w:val="23"/>
        </w:rPr>
        <w:t xml:space="preserve">Recommandation de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color w:val="424242"/>
                <w:sz w:val="20"/>
                <w:szCs w:val="20"/>
              </w:rPr>
              <w:t xml:space="preserve">Commencer par F01 (Aide au Diagnostic) en 2 sprints : Sprint 1 — arbre de décision + historique des pannes similaires (sans IA, livrable en 3 semaines). Sprint 2 — intégration LLM optionnelle avec Ollama. Cette approche incrémentale permet de livrer de la valeur rapidement tout en maîtrisant la complexité. F01 est la fonctionnalité à plus fort ROI perçu par les techniciens terrain et constitue un excellent outil de démonstration commercial.</w:t>
            </w:r>
          </w:p>
        </w:tc>
      </w:tr>
    </w:tbl>
    <w:p>
      <w:pPr>
        <w:spacing w:before="120" w:after="0"/>
      </w:pPr>
      <w:r>
        <w:t xml:space="preserve"/>
      </w:r>
    </w:p>
    <w:p>
      <w:pPr>
        <w:spacing w:before="60" w:after="60"/>
        <w:jc w:val="left"/>
      </w:pPr>
      <w:r>
        <w:rPr>
          <w:rFonts w:ascii="Arial" w:cs="Arial" w:eastAsia="Arial" w:hAnsi="Arial"/>
          <w:b/>
          <w:bCs/>
          <w:color w:val="1B3A6B"/>
          <w:sz w:val="20"/>
          <w:szCs w:val="20"/>
        </w:rPr>
        <w:t xml:space="preserve">Attention particulière aux bibliothèques open source : </w:t>
      </w:r>
      <w:r>
        <w:rPr>
          <w:rFonts w:ascii="Arial" w:cs="Arial" w:eastAsia="Arial" w:hAnsi="Arial"/>
          <w:sz w:val="20"/>
          <w:szCs w:val="20"/>
        </w:rPr>
        <w:t xml:space="preserve">MIT, Apache 2.0, BSD-3 et PostgreSQL License sont totalement permissives pour un usage commercial. Faire valider par un juriste en propriété intellectuelle pour les distributions externes.</w:t>
      </w:r>
    </w:p>
    <w:p>
      <w:pPr>
        <w:spacing w:before="200" w:after="0"/>
      </w:pPr>
      <w:r>
        <w:t xml:space="preserve"/>
      </w:r>
    </w:p>
    <w:p>
      <w:pPr>
        <w:pBdr>
          <w:top w:val="single" w:color="E0E0E0" w:sz="4" w:space="8"/>
        </w:pBdr>
        <w:spacing w:before="200"/>
        <w:jc w:val="center"/>
      </w:pPr>
      <w:r>
        <w:rPr>
          <w:rFonts w:ascii="Arial" w:cs="Arial" w:eastAsia="Arial" w:hAnsi="Arial"/>
          <w:i/>
          <w:iCs/>
          <w:color w:val="E0E0E0"/>
          <w:sz w:val="18"/>
          <w:szCs w:val="18"/>
        </w:rPr>
        <w:t xml:space="preserve">Document confidentiel — BBC &amp; Partners / Maintex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tabs>
        <w:tab w:val="right" w:pos="9026"/>
      </w:tabs>
    </w:pPr>
    <w:r>
      <w:rPr>
        <w:rFonts w:ascii="Arial" w:cs="Arial" w:eastAsia="Arial" w:hAnsi="Arial"/>
        <w:color w:val="E0E0E0"/>
        <w:sz w:val="16"/>
        <w:szCs w:val="16"/>
      </w:rPr>
      <w:t xml:space="preserve">Document confidentiel — BBC &amp; Partners / Maintex</w:t>
    </w:r>
    <w:r>
      <w:rPr>
        <w:rFonts w:ascii="Arial" w:cs="Arial" w:eastAsia="Arial" w:hAnsi="Arial"/>
        <w:color w:val="E0E0E0"/>
        <w:sz w:val="16"/>
        <w:szCs w:val="16"/>
      </w:rPr>
      <w:t xml:space="preserve">	Page </w:t>
    </w:r>
    <w:r>
      <w:rPr>
        <w:rFonts w:ascii="Arial" w:cs="Arial" w:eastAsia="Arial" w:hAnsi="Arial"/>
        <w:color w:val="E0E0E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2E75B6"/>
        <w:sz w:val="18"/>
        <w:szCs w:val="18"/>
      </w:rPr>
      <w:t xml:space="preserve">MAINTEX — Cahier des Charges Fonctionnel Consolidé</w:t>
    </w:r>
    <w:r>
      <w:rPr>
        <w:rFonts w:ascii="Arial" w:cs="Arial" w:eastAsia="Arial" w:hAnsi="Arial"/>
        <w:color w:val="E0E0E0"/>
        <w:sz w:val="18"/>
        <w:szCs w:val="18"/>
      </w:rPr>
      <w:t xml:space="preserve">   |   Mars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E870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2026-03-26T13:40:14.634Z</dcterms:created>
  <dcterms:modified xsi:type="dcterms:W3CDTF">2026-03-26T13:40:14.636Z</dcterms:modified>
</cp:coreProperties>
</file>

<file path=docProps/custom.xml><?xml version="1.0" encoding="utf-8"?>
<Properties xmlns="http://schemas.openxmlformats.org/officeDocument/2006/custom-properties" xmlns:vt="http://schemas.openxmlformats.org/officeDocument/2006/docPropsVTypes"/>
</file>