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2B4E" w:val="clear"/>
            <w:tcMar>
              <w:top w:type="dxa" w:w="700"/>
              <w:left w:type="dxa" w:w="400"/>
              <w:bottom w:type="dxa" w:w="700"/>
              <w:right w:type="dxa" w:w="400"/>
            </w:tcMar>
          </w:tcPr>
          <w:p>
            <w:pPr>
              <w:spacing w:before="60" w:after="80" w:line="276"/>
              <w:jc w:val="center"/>
            </w:pPr>
            <w:r>
              <w:rPr>
                <w:rFonts w:ascii="Arial" w:cs="Arial" w:eastAsia="Arial" w:hAnsi="Arial"/>
                <w:b/>
                <w:bCs/>
                <w:i w:val="false"/>
                <w:iCs w:val="false"/>
                <w:color w:val="FFFFFF"/>
                <w:sz w:val="80"/>
                <w:szCs w:val="80"/>
              </w:rPr>
              <w:t xml:space="preserve">MAINTEX</w:t>
            </w:r>
          </w:p>
          <w:p>
            <w:pPr>
              <w:spacing w:before="60" w:after="80" w:line="276"/>
              <w:jc w:val="center"/>
            </w:pPr>
            <w:r>
              <w:rPr>
                <w:rFonts w:ascii="Arial" w:cs="Arial" w:eastAsia="Arial" w:hAnsi="Arial"/>
                <w:b w:val="false"/>
                <w:bCs w:val="false"/>
                <w:i/>
                <w:iCs/>
                <w:color w:val="D6E8F7"/>
                <w:sz w:val="30"/>
                <w:szCs w:val="30"/>
              </w:rPr>
              <w:t xml:space="preserve">La GMAO de Référence Mondiale</w:t>
            </w:r>
          </w:p>
          <w:p>
            <w:pPr>
              <w:spacing w:before="60" w:after="200" w:line="276"/>
              <w:jc w:val="center"/>
            </w:pPr>
            <w:r>
              <w:rPr>
                <w:rFonts w:ascii="Arial" w:cs="Arial" w:eastAsia="Arial" w:hAnsi="Arial"/>
                <w:b w:val="false"/>
                <w:bCs w:val="false"/>
                <w:i w:val="false"/>
                <w:iCs w:val="false"/>
                <w:color w:val="E0E4EA"/>
                <w:sz w:val="22"/>
                <w:szCs w:val="22"/>
              </w:rPr>
              <w:t xml:space="preserve">Vision Produit Complète — Analyse Approfondie &amp; Fonctionnalités Essentielles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333"/>
              <w:gridCol w:w="2334"/>
              <w:gridCol w:w="2333"/>
            </w:tblGrid>
            <w:tr>
              <w:tc>
                <w:tcPr>
                  <w:tcW w:type="dxa" w:w="2333"/>
                  <w:tcBorders>
                    <w:top w:val="none" w:color="FFFFFF" w:sz="0"/>
                    <w:left w:val="none" w:color="FFFFFF" w:sz="0"/>
                    <w:bottom w:val="none" w:color="FFFFFF" w:sz="0"/>
                    <w:right w:val="none" w:color="FFFFFF" w:sz="0"/>
                  </w:tcBorders>
                  <w:shd w:fill="1A6BAE" w:val="clear"/>
                  <w:tcMar>
                    <w:top w:type="dxa" w:w="120"/>
                    <w:left w:type="dxa" w:w="60"/>
                    <w:bottom w:type="dxa" w:w="120"/>
                    <w:right w:type="dxa" w:w="60"/>
                  </w:tcMar>
                </w:tcPr>
                <w:p>
                  <w:pPr>
                    <w:spacing w:before="60" w:after="60" w:line="276"/>
                    <w:jc w:val="center"/>
                  </w:pPr>
                  <w:r>
                    <w:rPr>
                      <w:rFonts w:ascii="Arial" w:cs="Arial" w:eastAsia="Arial" w:hAnsi="Arial"/>
                      <w:b/>
                      <w:bCs/>
                      <w:i w:val="false"/>
                      <w:iCs w:val="false"/>
                      <w:color w:val="FFFFFF"/>
                      <w:sz w:val="40"/>
                      <w:szCs w:val="40"/>
                    </w:rPr>
                    <w:t xml:space="preserve">42</w:t>
                  </w:r>
                  <w:r>
                    <w:rPr>
                      <w:rFonts w:ascii="Arial" w:cs="Arial" w:eastAsia="Arial" w:hAnsi="Arial"/>
                      <w:b w:val="false"/>
                      <w:bCs w:val="false"/>
                      <w:i w:val="false"/>
                      <w:iCs w:val="false"/>
                      <w:color w:val="D6E8F7"/>
                      <w:sz w:val="18"/>
                      <w:szCs w:val="18"/>
                    </w:rPr>
                    <w:t xml:space="preserve">
Fonctionnalités</w:t>
                  </w:r>
                </w:p>
              </w:tc>
              <w:tc>
                <w:tcPr>
                  <w:tcW w:type="dxa" w:w="2334"/>
                  <w:tcBorders>
                    <w:top w:val="none" w:color="FFFFFF" w:sz="0"/>
                    <w:left w:val="none" w:color="FFFFFF" w:sz="0"/>
                    <w:bottom w:val="none" w:color="FFFFFF" w:sz="0"/>
                    <w:right w:val="none" w:color="FFFFFF" w:sz="0"/>
                  </w:tcBorders>
                  <w:shd w:fill="0E7C7B" w:val="clear"/>
                  <w:tcMar>
                    <w:top w:type="dxa" w:w="120"/>
                    <w:left w:type="dxa" w:w="60"/>
                    <w:bottom w:type="dxa" w:w="120"/>
                    <w:right w:type="dxa" w:w="60"/>
                  </w:tcMar>
                </w:tcPr>
                <w:p>
                  <w:pPr>
                    <w:spacing w:before="60" w:after="60" w:line="276"/>
                    <w:jc w:val="center"/>
                  </w:pPr>
                  <w:r>
                    <w:rPr>
                      <w:rFonts w:ascii="Arial" w:cs="Arial" w:eastAsia="Arial" w:hAnsi="Arial"/>
                      <w:b/>
                      <w:bCs/>
                      <w:i w:val="false"/>
                      <w:iCs w:val="false"/>
                      <w:color w:val="FFFFFF"/>
                      <w:sz w:val="40"/>
                      <w:szCs w:val="40"/>
                    </w:rPr>
                    <w:t xml:space="preserve">10</w:t>
                  </w:r>
                  <w:r>
                    <w:rPr>
                      <w:rFonts w:ascii="Arial" w:cs="Arial" w:eastAsia="Arial" w:hAnsi="Arial"/>
                      <w:b w:val="false"/>
                      <w:bCs w:val="false"/>
                      <w:i w:val="false"/>
                      <w:iCs w:val="false"/>
                      <w:color w:val="D4EDEC"/>
                      <w:sz w:val="18"/>
                      <w:szCs w:val="18"/>
                    </w:rPr>
                    <w:t xml:space="preserve">
Modules</w:t>
                  </w:r>
                </w:p>
              </w:tc>
              <w:tc>
                <w:tcPr>
                  <w:tcW w:type="dxa" w:w="2333"/>
                  <w:tcBorders>
                    <w:top w:val="none" w:color="FFFFFF" w:sz="0"/>
                    <w:left w:val="none" w:color="FFFFFF" w:sz="0"/>
                    <w:bottom w:val="none" w:color="FFFFFF" w:sz="0"/>
                    <w:right w:val="none" w:color="FFFFFF" w:sz="0"/>
                  </w:tcBorders>
                  <w:shd w:fill="D4600A" w:val="clear"/>
                  <w:tcMar>
                    <w:top w:type="dxa" w:w="120"/>
                    <w:left w:type="dxa" w:w="60"/>
                    <w:bottom w:type="dxa" w:w="120"/>
                    <w:right w:type="dxa" w:w="60"/>
                  </w:tcMar>
                </w:tcPr>
                <w:p>
                  <w:pPr>
                    <w:spacing w:before="60" w:after="60" w:line="276"/>
                    <w:jc w:val="center"/>
                  </w:pPr>
                  <w:r>
                    <w:rPr>
                      <w:rFonts w:ascii="Arial" w:cs="Arial" w:eastAsia="Arial" w:hAnsi="Arial"/>
                      <w:b/>
                      <w:bCs/>
                      <w:i w:val="false"/>
                      <w:iCs w:val="false"/>
                      <w:color w:val="FFFFFF"/>
                      <w:sz w:val="40"/>
                      <w:szCs w:val="40"/>
                    </w:rPr>
                    <w:t xml:space="preserve">15</w:t>
                  </w:r>
                  <w:r>
                    <w:rPr>
                      <w:rFonts w:ascii="Arial" w:cs="Arial" w:eastAsia="Arial" w:hAnsi="Arial"/>
                      <w:b w:val="false"/>
                      <w:bCs w:val="false"/>
                      <w:i w:val="false"/>
                      <w:iCs w:val="false"/>
                      <w:color w:val="FDF0E6"/>
                      <w:sz w:val="18"/>
                      <w:szCs w:val="18"/>
                    </w:rPr>
                    <w:t xml:space="preserve">
Nouvelles (analyse)</w:t>
                  </w:r>
                </w:p>
              </w:tc>
            </w:tr>
          </w:tbl>
          <w:p>
            <w:pPr>
              <w:spacing w:before="200" w:after="0"/>
            </w:pPr>
            <w:r>
              <w:rPr>
                <w:rFonts w:ascii="Arial" w:cs="Arial" w:eastAsia="Arial" w:hAnsi="Arial"/>
                <w:b w:val="false"/>
                <w:bCs w:val="false"/>
                <w:i w:val="false"/>
                <w:iCs w:val="false"/>
                <w:color w:val="1C2533"/>
                <w:sz w:val="20"/>
                <w:szCs w:val="20"/>
              </w:rPr>
              <w:t xml:space="preserve"/>
            </w:r>
          </w:p>
          <w:p>
            <w:pPr>
              <w:spacing w:before="60" w:after="60" w:line="276"/>
              <w:jc w:val="center"/>
            </w:pPr>
            <w:r>
              <w:rPr>
                <w:rFonts w:ascii="Arial" w:cs="Arial" w:eastAsia="Arial" w:hAnsi="Arial"/>
                <w:b w:val="false"/>
                <w:bCs w:val="false"/>
                <w:i w:val="false"/>
                <w:iCs w:val="false"/>
                <w:color w:val="8C96A3"/>
                <w:sz w:val="18"/>
                <w:szCs w:val="18"/>
              </w:rPr>
              <w:t xml:space="preserve">Mars 2026  |  Version 2.0  |  Analyse Concurrentielle &amp; Vision Produit  |  Confidentiel — Usage interne</w:t>
            </w:r>
          </w:p>
        </w:tc>
      </w:tr>
    </w:tbl>
    <w:p>
      <w:pPr>
        <w:spacing w:before="300" w:after="0"/>
      </w:pPr>
      <w:r>
        <w:rPr>
          <w:rFonts w:ascii="Arial" w:cs="Arial" w:eastAsia="Arial" w:hAnsi="Arial"/>
          <w:b w:val="false"/>
          <w:bCs w:val="false"/>
          <w:i w:val="false"/>
          <w:iCs w:val="false"/>
          <w:color w:val="1C2533"/>
          <w:sz w:val="20"/>
          <w:szCs w:val="20"/>
        </w:rPr>
        <w:t xml:space="preserve"/>
      </w:r>
    </w:p>
    <w:p>
      <w:pPr>
        <w:pStyle w:val="Heading1"/>
        <w:spacing w:before="400" w:after="200"/>
      </w:pPr>
      <w:r>
        <w:rPr>
          <w:rFonts w:ascii="Arial" w:cs="Arial" w:eastAsia="Arial" w:hAnsi="Arial"/>
          <w:b/>
          <w:bCs/>
          <w:i w:val="false"/>
          <w:iCs w:val="false"/>
          <w:color w:val="0D2B4E"/>
          <w:sz w:val="34"/>
          <w:szCs w:val="34"/>
        </w:rPr>
        <w:t xml:space="preserve">Préambule Méthodologique</w:t>
      </w:r>
    </w:p>
    <w:p>
      <w:pPr>
        <w:spacing w:before="60" w:after="60" w:line="276"/>
        <w:jc w:val="left"/>
      </w:pPr>
      <w:r>
        <w:rPr>
          <w:rFonts w:ascii="Arial" w:cs="Arial" w:eastAsia="Arial" w:hAnsi="Arial"/>
          <w:b w:val="false"/>
          <w:bCs w:val="false"/>
          <w:i w:val="false"/>
          <w:iCs w:val="false"/>
          <w:color w:val="1C2533"/>
          <w:sz w:val="20"/>
          <w:szCs w:val="20"/>
        </w:rPr>
        <w:t xml:space="preserve">Ce document est le prolongement analytique du Cahier des Charges Consolidé (v1.0, Mars 2026). Au-delà de la compilation des fonctionnalités identifiées par benchmarking et par le responsable produit, il constitue une analyse stratégique indépendante visant à répondre à une question centrale :</w:t>
      </w:r>
    </w:p>
    <w:p>
      <w:pPr>
        <w:spacing w:before="80" w:after="0"/>
      </w:pPr>
      <w:r>
        <w:rPr>
          <w:rFonts w:ascii="Arial" w:cs="Arial" w:eastAsia="Arial" w:hAnsi="Arial"/>
          <w:b w:val="false"/>
          <w:bCs w:val="false"/>
          <w:i w:val="false"/>
          <w:iCs w:val="false"/>
          <w:color w:val="1C2533"/>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600A" w:sz="6"/>
              <w:left w:val="single" w:color="D4600A" w:sz="24"/>
              <w:bottom w:val="none" w:color="FFFFFF" w:sz="0"/>
              <w:right w:val="none" w:color="FFFFFF" w:sz="0"/>
            </w:tcBorders>
            <w:shd w:fill="FFF8DC" w:val="clear"/>
            <w:tcMar>
              <w:top w:type="dxa" w:w="120"/>
              <w:left w:type="dxa" w:w="220"/>
              <w:bottom w:type="dxa" w:w="120"/>
              <w:right w:type="dxa" w:w="160"/>
            </w:tcMar>
          </w:tcPr>
          <w:p>
            <w:pPr>
              <w:spacing w:before="40" w:after="40" w:line="276"/>
              <w:jc w:val="left"/>
            </w:pPr>
            <w:r>
              <w:rPr>
                <w:rFonts w:ascii="Arial" w:cs="Arial" w:eastAsia="Arial" w:hAnsi="Arial"/>
                <w:b w:val="false"/>
                <w:bCs w:val="false"/>
                <w:i w:val="false"/>
                <w:iCs w:val="false"/>
                <w:color w:val="1C2533"/>
                <w:sz w:val="20"/>
                <w:szCs w:val="20"/>
              </w:rPr>
              <w:t xml:space="preserve">« Quelles sont toutes les fonctionnalités que doit absolument posséder Maintex pour devenir la GMAO que s'arrachent toutes les entreprises — des PME africaines aux grands groupes industriels mondiaux — pour gérer leur maintenance ? »</w:t>
            </w:r>
          </w:p>
        </w:tc>
      </w:tr>
    </w:tbl>
    <w:p>
      <w:pPr>
        <w:spacing w:before="120" w:after="0"/>
      </w:pPr>
      <w:r>
        <w:rPr>
          <w:rFonts w:ascii="Arial" w:cs="Arial" w:eastAsia="Arial" w:hAnsi="Arial"/>
          <w:b w:val="false"/>
          <w:bCs w:val="false"/>
          <w:i w:val="false"/>
          <w:iCs w:val="false"/>
          <w:color w:val="1C2533"/>
          <w:sz w:val="20"/>
          <w:szCs w:val="20"/>
        </w:rPr>
        <w:t xml:space="preserve"/>
      </w:r>
    </w:p>
    <w:p>
      <w:pPr>
        <w:spacing w:before="60" w:after="60" w:line="276"/>
        <w:jc w:val="left"/>
      </w:pPr>
      <w:r>
        <w:rPr>
          <w:rFonts w:ascii="Arial" w:cs="Arial" w:eastAsia="Arial" w:hAnsi="Arial"/>
          <w:b w:val="false"/>
          <w:bCs w:val="false"/>
          <w:i w:val="false"/>
          <w:iCs w:val="false"/>
          <w:color w:val="1C2533"/>
          <w:sz w:val="20"/>
          <w:szCs w:val="20"/>
        </w:rPr>
        <w:t xml:space="preserve">La démarche combine quatre grilles d'analyse :</w:t>
      </w:r>
    </w:p>
    <w:p>
      <w:pPr>
        <w:spacing w:before="60" w:after="0"/>
      </w:pPr>
      <w:r>
        <w:rPr>
          <w:rFonts w:ascii="Arial" w:cs="Arial" w:eastAsia="Arial" w:hAnsi="Arial"/>
          <w:b w:val="false"/>
          <w:bCs w:val="false"/>
          <w:i w:val="false"/>
          <w:iCs w:val="false"/>
          <w:color w:val="1C2533"/>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none" w:color="FFFFFF" w:sz="0"/>
              <w:left w:val="none" w:color="FFFFFF" w:sz="0"/>
              <w:bottom w:val="none" w:color="FFFFFF" w:sz="0"/>
              <w:right w:val="none" w:color="FFFFFF" w:sz="0"/>
            </w:tcBorders>
            <w:shd w:fill="0D2B4E" w:val="clear"/>
            <w:tcMar>
              <w:top w:type="dxa" w:w="120"/>
              <w:left w:type="dxa" w:w="80"/>
              <w:bottom w:type="dxa" w:w="120"/>
              <w:right w:type="dxa" w:w="80"/>
            </w:tcMar>
            <w:vAlign w:val="center"/>
          </w:tcPr>
          <w:p>
            <w:pPr>
              <w:spacing w:before="60" w:after="60" w:line="276"/>
              <w:jc w:val="center"/>
            </w:pPr>
            <w:r>
              <w:rPr>
                <w:rFonts w:ascii="Arial" w:cs="Arial" w:eastAsia="Arial" w:hAnsi="Arial"/>
                <w:b/>
                <w:bCs/>
                <w:i w:val="false"/>
                <w:iCs w:val="false"/>
                <w:color w:val="FFFFFF"/>
                <w:sz w:val="26"/>
                <w:szCs w:val="26"/>
              </w:rPr>
              <w:t xml:space="preserve">①</w:t>
            </w:r>
          </w:p>
        </w:tc>
        <w:tc>
          <w:tcPr>
            <w:tcW w:type="dxa" w:w="8626"/>
            <w:tcBorders>
              <w:top w:val="single" w:color="E0E4EA" w:sz="1"/>
              <w:left w:val="none" w:color="FFFFFF" w:sz="0"/>
              <w:bottom w:val="single" w:color="E0E4EA" w:sz="1"/>
              <w:right w:val="none" w:color="FFFFFF" w:sz="0"/>
            </w:tcBorders>
            <w:shd w:fill="F4F6F9" w:val="clear"/>
            <w:tcMar>
              <w:top w:type="dxa" w:w="120"/>
              <w:left w:type="dxa" w:w="180"/>
              <w:bottom w:type="dxa" w:w="120"/>
              <w:right w:type="dxa" w:w="120"/>
            </w:tcMar>
          </w:tcPr>
          <w:p>
            <w:pPr>
              <w:spacing w:before="60" w:after="40" w:line="276"/>
              <w:jc w:val="left"/>
            </w:pPr>
            <w:r>
              <w:rPr>
                <w:rFonts w:ascii="Arial" w:cs="Arial" w:eastAsia="Arial" w:hAnsi="Arial"/>
                <w:b/>
                <w:bCs/>
                <w:i w:val="false"/>
                <w:iCs w:val="false"/>
                <w:color w:val="0D2B4E"/>
                <w:sz w:val="20"/>
                <w:szCs w:val="20"/>
              </w:rPr>
              <w:t xml:space="preserve">Benchmark concurrentiel élargi</w:t>
            </w:r>
          </w:p>
          <w:p>
            <w:pPr>
              <w:spacing w:before="60" w:after="60" w:line="276"/>
              <w:jc w:val="left"/>
            </w:pPr>
            <w:r>
              <w:rPr>
                <w:rFonts w:ascii="Arial" w:cs="Arial" w:eastAsia="Arial" w:hAnsi="Arial"/>
                <w:b w:val="false"/>
                <w:bCs w:val="false"/>
                <w:i w:val="false"/>
                <w:iCs w:val="false"/>
                <w:color w:val="8C96A3"/>
                <w:sz w:val="18"/>
                <w:szCs w:val="18"/>
              </w:rPr>
              <w:t xml:space="preserve">Analyse des meilleures pratiques de MaintainX, UpKeep, Fiix, eMaint (Fluke), IBM Maximo, SAP PM, Infor EAM, Limble CMMS, Fracttal, Prometheus Group — les leaders mondiaux du marché GMAO.</w:t>
            </w:r>
          </w:p>
        </w:tc>
      </w:tr>
      <w:tr>
        <w:tc>
          <w:tcPr>
            <w:tcW w:type="dxa" w:w="400"/>
            <w:tcBorders>
              <w:top w:val="none" w:color="FFFFFF" w:sz="0"/>
              <w:left w:val="none" w:color="FFFFFF" w:sz="0"/>
              <w:bottom w:val="none" w:color="FFFFFF" w:sz="0"/>
              <w:right w:val="none" w:color="FFFFFF" w:sz="0"/>
            </w:tcBorders>
            <w:shd w:fill="0D2B4E" w:val="clear"/>
            <w:tcMar>
              <w:top w:type="dxa" w:w="120"/>
              <w:left w:type="dxa" w:w="80"/>
              <w:bottom w:type="dxa" w:w="120"/>
              <w:right w:type="dxa" w:w="80"/>
            </w:tcMar>
            <w:vAlign w:val="center"/>
          </w:tcPr>
          <w:p>
            <w:pPr>
              <w:spacing w:before="60" w:after="60" w:line="276"/>
              <w:jc w:val="center"/>
            </w:pPr>
            <w:r>
              <w:rPr>
                <w:rFonts w:ascii="Arial" w:cs="Arial" w:eastAsia="Arial" w:hAnsi="Arial"/>
                <w:b/>
                <w:bCs/>
                <w:i w:val="false"/>
                <w:iCs w:val="false"/>
                <w:color w:val="FFFFFF"/>
                <w:sz w:val="26"/>
                <w:szCs w:val="26"/>
              </w:rPr>
              <w:t xml:space="preserve">②</w:t>
            </w:r>
          </w:p>
        </w:tc>
        <w:tc>
          <w:tcPr>
            <w:tcW w:type="dxa" w:w="8626"/>
            <w:tcBorders>
              <w:top w:val="single" w:color="E0E4EA" w:sz="1"/>
              <w:left w:val="none" w:color="FFFFFF" w:sz="0"/>
              <w:bottom w:val="single" w:color="E0E4EA" w:sz="1"/>
              <w:right w:val="none" w:color="FFFFFF" w:sz="0"/>
            </w:tcBorders>
            <w:shd w:fill="FFFFFF" w:val="clear"/>
            <w:tcMar>
              <w:top w:type="dxa" w:w="120"/>
              <w:left w:type="dxa" w:w="180"/>
              <w:bottom w:type="dxa" w:w="120"/>
              <w:right w:type="dxa" w:w="120"/>
            </w:tcMar>
          </w:tcPr>
          <w:p>
            <w:pPr>
              <w:spacing w:before="60" w:after="40" w:line="276"/>
              <w:jc w:val="left"/>
            </w:pPr>
            <w:r>
              <w:rPr>
                <w:rFonts w:ascii="Arial" w:cs="Arial" w:eastAsia="Arial" w:hAnsi="Arial"/>
                <w:b/>
                <w:bCs/>
                <w:i w:val="false"/>
                <w:iCs w:val="false"/>
                <w:color w:val="0D2B4E"/>
                <w:sz w:val="20"/>
                <w:szCs w:val="20"/>
              </w:rPr>
              <w:t xml:space="preserve">Analyse des pain points sectoriels</w:t>
            </w:r>
          </w:p>
          <w:p>
            <w:pPr>
              <w:spacing w:before="60" w:after="60" w:line="276"/>
              <w:jc w:val="left"/>
            </w:pPr>
            <w:r>
              <w:rPr>
                <w:rFonts w:ascii="Arial" w:cs="Arial" w:eastAsia="Arial" w:hAnsi="Arial"/>
                <w:b w:val="false"/>
                <w:bCs w:val="false"/>
                <w:i w:val="false"/>
                <w:iCs w:val="false"/>
                <w:color w:val="8C96A3"/>
                <w:sz w:val="18"/>
                <w:szCs w:val="18"/>
              </w:rPr>
              <w:t xml:space="preserve">Identification des lacunes que toutes les GMAO du marché partagent et que Maintex peut transformer en avantages différenciants : expérience technicien terrain, mobilité hors ligne, pilotage énergétique, conformité réglementaire africaine.</w:t>
            </w:r>
          </w:p>
        </w:tc>
      </w:tr>
      <w:tr>
        <w:tc>
          <w:tcPr>
            <w:tcW w:type="dxa" w:w="400"/>
            <w:tcBorders>
              <w:top w:val="none" w:color="FFFFFF" w:sz="0"/>
              <w:left w:val="none" w:color="FFFFFF" w:sz="0"/>
              <w:bottom w:val="none" w:color="FFFFFF" w:sz="0"/>
              <w:right w:val="none" w:color="FFFFFF" w:sz="0"/>
            </w:tcBorders>
            <w:shd w:fill="0D2B4E" w:val="clear"/>
            <w:tcMar>
              <w:top w:type="dxa" w:w="120"/>
              <w:left w:type="dxa" w:w="80"/>
              <w:bottom w:type="dxa" w:w="120"/>
              <w:right w:type="dxa" w:w="80"/>
            </w:tcMar>
            <w:vAlign w:val="center"/>
          </w:tcPr>
          <w:p>
            <w:pPr>
              <w:spacing w:before="60" w:after="60" w:line="276"/>
              <w:jc w:val="center"/>
            </w:pPr>
            <w:r>
              <w:rPr>
                <w:rFonts w:ascii="Arial" w:cs="Arial" w:eastAsia="Arial" w:hAnsi="Arial"/>
                <w:b/>
                <w:bCs/>
                <w:i w:val="false"/>
                <w:iCs w:val="false"/>
                <w:color w:val="FFFFFF"/>
                <w:sz w:val="26"/>
                <w:szCs w:val="26"/>
              </w:rPr>
              <w:t xml:space="preserve">③</w:t>
            </w:r>
          </w:p>
        </w:tc>
        <w:tc>
          <w:tcPr>
            <w:tcW w:type="dxa" w:w="8626"/>
            <w:tcBorders>
              <w:top w:val="single" w:color="E0E4EA" w:sz="1"/>
              <w:left w:val="none" w:color="FFFFFF" w:sz="0"/>
              <w:bottom w:val="single" w:color="E0E4EA" w:sz="1"/>
              <w:right w:val="none" w:color="FFFFFF" w:sz="0"/>
            </w:tcBorders>
            <w:shd w:fill="F4F6F9" w:val="clear"/>
            <w:tcMar>
              <w:top w:type="dxa" w:w="120"/>
              <w:left w:type="dxa" w:w="180"/>
              <w:bottom w:type="dxa" w:w="120"/>
              <w:right w:type="dxa" w:w="120"/>
            </w:tcMar>
          </w:tcPr>
          <w:p>
            <w:pPr>
              <w:spacing w:before="60" w:after="40" w:line="276"/>
              <w:jc w:val="left"/>
            </w:pPr>
            <w:r>
              <w:rPr>
                <w:rFonts w:ascii="Arial" w:cs="Arial" w:eastAsia="Arial" w:hAnsi="Arial"/>
                <w:b/>
                <w:bCs/>
                <w:i w:val="false"/>
                <w:iCs w:val="false"/>
                <w:color w:val="0D2B4E"/>
                <w:sz w:val="20"/>
                <w:szCs w:val="20"/>
              </w:rPr>
              <w:t xml:space="preserve">Tendances technologiques 2025-2030</w:t>
            </w:r>
          </w:p>
          <w:p>
            <w:pPr>
              <w:spacing w:before="60" w:after="60" w:line="276"/>
              <w:jc w:val="left"/>
            </w:pPr>
            <w:r>
              <w:rPr>
                <w:rFonts w:ascii="Arial" w:cs="Arial" w:eastAsia="Arial" w:hAnsi="Arial"/>
                <w:b w:val="false"/>
                <w:bCs w:val="false"/>
                <w:i w:val="false"/>
                <w:iCs w:val="false"/>
                <w:color w:val="8C96A3"/>
                <w:sz w:val="18"/>
                <w:szCs w:val="18"/>
              </w:rPr>
              <w:t xml:space="preserve">IA générative, jumeaux numériques, blockchain pour la traçabilité des actifs, maintenance as a service (MaaS), ESG &amp; bilan carbone — tendances qui redéfinissent les attentes des acheteurs.</w:t>
            </w:r>
          </w:p>
        </w:tc>
      </w:tr>
      <w:tr>
        <w:tc>
          <w:tcPr>
            <w:tcW w:type="dxa" w:w="400"/>
            <w:tcBorders>
              <w:top w:val="none" w:color="FFFFFF" w:sz="0"/>
              <w:left w:val="none" w:color="FFFFFF" w:sz="0"/>
              <w:bottom w:val="none" w:color="FFFFFF" w:sz="0"/>
              <w:right w:val="none" w:color="FFFFFF" w:sz="0"/>
            </w:tcBorders>
            <w:shd w:fill="0D2B4E" w:val="clear"/>
            <w:tcMar>
              <w:top w:type="dxa" w:w="120"/>
              <w:left w:type="dxa" w:w="80"/>
              <w:bottom w:type="dxa" w:w="120"/>
              <w:right w:type="dxa" w:w="80"/>
            </w:tcMar>
            <w:vAlign w:val="center"/>
          </w:tcPr>
          <w:p>
            <w:pPr>
              <w:spacing w:before="60" w:after="60" w:line="276"/>
              <w:jc w:val="center"/>
            </w:pPr>
            <w:r>
              <w:rPr>
                <w:rFonts w:ascii="Arial" w:cs="Arial" w:eastAsia="Arial" w:hAnsi="Arial"/>
                <w:b/>
                <w:bCs/>
                <w:i w:val="false"/>
                <w:iCs w:val="false"/>
                <w:color w:val="FFFFFF"/>
                <w:sz w:val="26"/>
                <w:szCs w:val="26"/>
              </w:rPr>
              <w:t xml:space="preserve">④</w:t>
            </w:r>
          </w:p>
        </w:tc>
        <w:tc>
          <w:tcPr>
            <w:tcW w:type="dxa" w:w="8626"/>
            <w:tcBorders>
              <w:top w:val="single" w:color="E0E4EA" w:sz="1"/>
              <w:left w:val="none" w:color="FFFFFF" w:sz="0"/>
              <w:bottom w:val="single" w:color="E0E4EA" w:sz="1"/>
              <w:right w:val="none" w:color="FFFFFF" w:sz="0"/>
            </w:tcBorders>
            <w:shd w:fill="FFFFFF" w:val="clear"/>
            <w:tcMar>
              <w:top w:type="dxa" w:w="120"/>
              <w:left w:type="dxa" w:w="180"/>
              <w:bottom w:type="dxa" w:w="120"/>
              <w:right w:type="dxa" w:w="120"/>
            </w:tcMar>
          </w:tcPr>
          <w:p>
            <w:pPr>
              <w:spacing w:before="60" w:after="40" w:line="276"/>
              <w:jc w:val="left"/>
            </w:pPr>
            <w:r>
              <w:rPr>
                <w:rFonts w:ascii="Arial" w:cs="Arial" w:eastAsia="Arial" w:hAnsi="Arial"/>
                <w:b/>
                <w:bCs/>
                <w:i w:val="false"/>
                <w:iCs w:val="false"/>
                <w:color w:val="0D2B4E"/>
                <w:sz w:val="20"/>
                <w:szCs w:val="20"/>
              </w:rPr>
              <w:t xml:space="preserve">Positionnement stratégique Maintex</w:t>
            </w:r>
          </w:p>
          <w:p>
            <w:pPr>
              <w:spacing w:before="60" w:after="60" w:line="276"/>
              <w:jc w:val="left"/>
            </w:pPr>
            <w:r>
              <w:rPr>
                <w:rFonts w:ascii="Arial" w:cs="Arial" w:eastAsia="Arial" w:hAnsi="Arial"/>
                <w:b w:val="false"/>
                <w:bCs w:val="false"/>
                <w:i w:val="false"/>
                <w:iCs w:val="false"/>
                <w:color w:val="8C96A3"/>
                <w:sz w:val="18"/>
                <w:szCs w:val="18"/>
              </w:rPr>
              <w:t xml:space="preserve">Fonctionnalités spécifiques au positionnement géographique (Afrique francophone + France) et sectoriel (institutions publiques, mines, énergie, eau, santé, agro-industrie) qui constituent des avantages concurrentiels uniques.</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2B4E" w:val="clear"/>
            <w:tcMar>
              <w:top w:type="dxa" w:w="180"/>
              <w:left w:type="dxa" w:w="240"/>
              <w:bottom w:type="dxa" w:w="180"/>
              <w:right w:type="dxa" w:w="240"/>
            </w:tcMar>
          </w:tcPr>
          <w:p>
            <w:pPr>
              <w:spacing w:before="60" w:after="60" w:line="276"/>
              <w:jc w:val="left"/>
            </w:pPr>
            <w:r>
              <w:rPr>
                <w:rFonts w:ascii="Arial" w:cs="Arial" w:eastAsia="Arial" w:hAnsi="Arial"/>
                <w:b/>
                <w:bCs/>
                <w:i w:val="false"/>
                <w:iCs w:val="false"/>
                <w:color w:val="FFFFFF"/>
                <w:sz w:val="24"/>
                <w:szCs w:val="24"/>
              </w:rPr>
              <w:t xml:space="preserve">PARTIE 1  —  ANALYSE DU MARCHÉ GMAO ET POSITIONNEMENT STRATÉGIQUE</w:t>
            </w:r>
          </w:p>
        </w:tc>
      </w:tr>
    </w:tbl>
    <w:p>
      <w:pPr>
        <w:spacing w:before="120" w:after="0"/>
      </w:pPr>
      <w:r>
        <w:rPr>
          <w:rFonts w:ascii="Arial" w:cs="Arial" w:eastAsia="Arial" w:hAnsi="Arial"/>
          <w:b w:val="false"/>
          <w:bCs w:val="false"/>
          <w:i w:val="false"/>
          <w:iCs w:val="false"/>
          <w:color w:val="1C2533"/>
          <w:sz w:val="20"/>
          <w:szCs w:val="20"/>
        </w:rPr>
        <w:t xml:space="preserve"/>
      </w:r>
    </w:p>
    <w:p>
      <w:pPr>
        <w:pStyle w:val="Heading2"/>
        <w:pBdr>
          <w:bottom w:val="single" w:color="1A6BAE" w:sz="6" w:space="3"/>
        </w:pBdr>
        <w:spacing w:before="300" w:after="140"/>
      </w:pPr>
      <w:r>
        <w:rPr>
          <w:rFonts w:ascii="Arial" w:cs="Arial" w:eastAsia="Arial" w:hAnsi="Arial"/>
          <w:b/>
          <w:bCs/>
          <w:i w:val="false"/>
          <w:iCs w:val="false"/>
          <w:color w:val="1A6BAE"/>
          <w:sz w:val="27"/>
          <w:szCs w:val="27"/>
        </w:rPr>
        <w:t xml:space="preserve">1.1  Le marché mondial de la GMAO en 2026</w:t>
      </w:r>
    </w:p>
    <w:p>
      <w:pPr>
        <w:spacing w:before="60" w:after="60" w:line="276"/>
        <w:jc w:val="left"/>
      </w:pPr>
      <w:r>
        <w:rPr>
          <w:rFonts w:ascii="Arial" w:cs="Arial" w:eastAsia="Arial" w:hAnsi="Arial"/>
          <w:b w:val="false"/>
          <w:bCs w:val="false"/>
          <w:i w:val="false"/>
          <w:iCs w:val="false"/>
          <w:color w:val="1C2533"/>
          <w:sz w:val="20"/>
          <w:szCs w:val="20"/>
        </w:rPr>
        <w:t xml:space="preserve">Le marché global des GMAO dépasse 1,1 milliard de dollars en 2026 et croît à un rythme de 9,3% par an. Trois dynamiques majeures redessinent les attentes des acheteurs :</w:t>
      </w:r>
    </w:p>
    <w:p>
      <w:pPr>
        <w:spacing w:before="80" w:after="0"/>
      </w:pPr>
      <w:r>
        <w:rPr>
          <w:rFonts w:ascii="Arial" w:cs="Arial" w:eastAsia="Arial" w:hAnsi="Arial"/>
          <w:b w:val="false"/>
          <w:bCs w:val="false"/>
          <w:i w:val="false"/>
          <w:iCs w:val="false"/>
          <w:color w:val="1C2533"/>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E0E4EA" w:sz="1"/>
              <w:left w:val="single" w:color="E0E4EA" w:sz="1"/>
              <w:bottom w:val="single" w:color="E0E4EA" w:sz="1"/>
              <w:right w:val="single" w:color="E0E4EA" w:sz="1"/>
            </w:tcBorders>
            <w:shd w:fill="1A6BAE"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FFFFFF"/>
                <w:sz w:val="19"/>
                <w:szCs w:val="19"/>
              </w:rPr>
              <w:t xml:space="preserve">Passage au SaaS cloud</w:t>
            </w:r>
          </w:p>
        </w:tc>
        <w:tc>
          <w:tcPr>
            <w:tcW w:type="dxa" w:w="3008"/>
            <w:tcBorders>
              <w:top w:val="single" w:color="E0E4EA" w:sz="1"/>
              <w:left w:val="single" w:color="E0E4EA" w:sz="1"/>
              <w:bottom w:val="single" w:color="E0E4EA" w:sz="1"/>
              <w:right w:val="single" w:color="E0E4EA" w:sz="1"/>
            </w:tcBorders>
            <w:shd w:fill="0E7C7B"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FFFFFF"/>
                <w:sz w:val="19"/>
                <w:szCs w:val="19"/>
              </w:rPr>
              <w:t xml:space="preserve">IA &amp; Prédictif</w:t>
            </w:r>
          </w:p>
        </w:tc>
        <w:tc>
          <w:tcPr>
            <w:tcW w:type="dxa" w:w="3010"/>
            <w:tcBorders>
              <w:top w:val="single" w:color="E0E4EA" w:sz="1"/>
              <w:left w:val="single" w:color="E0E4EA" w:sz="1"/>
              <w:bottom w:val="single" w:color="E0E4EA" w:sz="1"/>
              <w:right w:val="single" w:color="E0E4EA" w:sz="1"/>
            </w:tcBorders>
            <w:shd w:fill="D4600A"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FFFFFF"/>
                <w:sz w:val="19"/>
                <w:szCs w:val="19"/>
              </w:rPr>
              <w:t xml:space="preserve">Mobilité &amp; Terrain</w:t>
            </w:r>
          </w:p>
        </w:tc>
      </w:tr>
      <w:tr>
        <w:tc>
          <w:tcPr>
            <w:tcW w:type="dxa" w:w="3008"/>
            <w:tcBorders>
              <w:top w:val="single" w:color="E0E4EA" w:sz="1"/>
              <w:left w:val="single" w:color="E0E4EA" w:sz="1"/>
              <w:bottom w:val="single" w:color="E0E4EA" w:sz="1"/>
              <w:right w:val="single" w:color="E0E4EA" w:sz="1"/>
            </w:tcBorders>
            <w:shd w:fill="D6E8F7"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87% des nouvelles installations sont SaaS. Les clients exigent 0 infrastructure serveur, mises à jour automatiques et accès multi-device.</w:t>
            </w:r>
          </w:p>
        </w:tc>
        <w:tc>
          <w:tcPr>
            <w:tcW w:type="dxa" w:w="3008"/>
            <w:tcBorders>
              <w:top w:val="single" w:color="E0E4EA" w:sz="1"/>
              <w:left w:val="single" w:color="E0E4EA" w:sz="1"/>
              <w:bottom w:val="single" w:color="E0E4EA" w:sz="1"/>
              <w:right w:val="single" w:color="E0E4EA" w:sz="1"/>
            </w:tcBorders>
            <w:shd w:fill="D4EDEC"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73% des acheteurs citent « maintenance prédictive » comme critère de sélection. L'IA n'est plus un différenciateur — c'est une table stake.</w:t>
            </w:r>
          </w:p>
        </w:tc>
        <w:tc>
          <w:tcPr>
            <w:tcW w:type="dxa" w:w="3010"/>
            <w:tcBorders>
              <w:top w:val="single" w:color="E0E4EA" w:sz="1"/>
              <w:left w:val="single" w:color="E0E4EA" w:sz="1"/>
              <w:bottom w:val="single" w:color="E0E4EA" w:sz="1"/>
              <w:right w:val="single" w:color="E0E4EA" w:sz="1"/>
            </w:tcBorders>
            <w:shd w:fill="FDF0E6"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65% des techniciens travaillent exclusivement sur mobile. Les GMAO qui n'offrent pas une expérience mobile-first perdent l'adhésion terrain.</w:t>
            </w:r>
          </w:p>
        </w:tc>
      </w:tr>
    </w:tbl>
    <w:p>
      <w:pPr>
        <w:spacing w:before="160" w:after="0"/>
      </w:pPr>
      <w:r>
        <w:rPr>
          <w:rFonts w:ascii="Arial" w:cs="Arial" w:eastAsia="Arial" w:hAnsi="Arial"/>
          <w:b w:val="false"/>
          <w:bCs w:val="false"/>
          <w:i w:val="false"/>
          <w:iCs w:val="false"/>
          <w:color w:val="1C2533"/>
          <w:sz w:val="20"/>
          <w:szCs w:val="20"/>
        </w:rPr>
        <w:t xml:space="preserve"/>
      </w:r>
    </w:p>
    <w:p>
      <w:pPr>
        <w:pStyle w:val="Heading2"/>
        <w:pBdr>
          <w:bottom w:val="single" w:color="1A6BAE" w:sz="6" w:space="3"/>
        </w:pBdr>
        <w:spacing w:before="300" w:after="140"/>
      </w:pPr>
      <w:r>
        <w:rPr>
          <w:rFonts w:ascii="Arial" w:cs="Arial" w:eastAsia="Arial" w:hAnsi="Arial"/>
          <w:b/>
          <w:bCs/>
          <w:i w:val="false"/>
          <w:iCs w:val="false"/>
          <w:color w:val="1A6BAE"/>
          <w:sz w:val="27"/>
          <w:szCs w:val="27"/>
        </w:rPr>
        <w:t xml:space="preserve">1.2  Analyse des pain points universels des GMAO actuelles</w:t>
      </w:r>
    </w:p>
    <w:p>
      <w:pPr>
        <w:spacing w:before="60" w:after="60" w:line="276"/>
        <w:jc w:val="left"/>
      </w:pPr>
      <w:r>
        <w:rPr>
          <w:rFonts w:ascii="Arial" w:cs="Arial" w:eastAsia="Arial" w:hAnsi="Arial"/>
          <w:b w:val="false"/>
          <w:bCs w:val="false"/>
          <w:i w:val="false"/>
          <w:iCs w:val="false"/>
          <w:color w:val="1C2533"/>
          <w:sz w:val="20"/>
          <w:szCs w:val="20"/>
        </w:rPr>
        <w:t xml:space="preserve">Même les leaders du marché souffrent de lacunes structurelles que Maintex peut transformer en avantages différenciants :</w:t>
      </w:r>
    </w:p>
    <w:p>
      <w:pPr>
        <w:spacing w:before="80" w:after="0"/>
      </w:pPr>
      <w:r>
        <w:rPr>
          <w:rFonts w:ascii="Arial" w:cs="Arial" w:eastAsia="Arial" w:hAnsi="Arial"/>
          <w:b w:val="false"/>
          <w:bCs w:val="false"/>
          <w:i w:val="false"/>
          <w:iCs w:val="false"/>
          <w:color w:val="1C2533"/>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E0E4EA" w:sz="1"/>
              <w:left w:val="single" w:color="E0E4EA" w:sz="1"/>
              <w:bottom w:val="single" w:color="E0E4EA" w:sz="1"/>
              <w:right w:val="single" w:color="E0E4EA" w:sz="1"/>
            </w:tcBorders>
            <w:shd w:fill="0D2B4E"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FFFFFF"/>
                <w:sz w:val="19"/>
                <w:szCs w:val="19"/>
              </w:rPr>
              <w:t xml:space="preserve">Pain point universel</w:t>
            </w:r>
          </w:p>
        </w:tc>
        <w:tc>
          <w:tcPr>
            <w:tcW w:type="dxa" w:w="3000"/>
            <w:tcBorders>
              <w:top w:val="single" w:color="E0E4EA" w:sz="1"/>
              <w:left w:val="single" w:color="E0E4EA" w:sz="1"/>
              <w:bottom w:val="single" w:color="E0E4EA" w:sz="1"/>
              <w:right w:val="single" w:color="E0E4EA" w:sz="1"/>
            </w:tcBorders>
            <w:shd w:fill="0D2B4E"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FFFFFF"/>
                <w:sz w:val="19"/>
                <w:szCs w:val="19"/>
              </w:rPr>
              <w:t xml:space="preserve">Impact client</w:t>
            </w:r>
          </w:p>
        </w:tc>
        <w:tc>
          <w:tcPr>
            <w:tcW w:type="dxa" w:w="3026"/>
            <w:tcBorders>
              <w:top w:val="single" w:color="E0E4EA" w:sz="1"/>
              <w:left w:val="single" w:color="E0E4EA" w:sz="1"/>
              <w:bottom w:val="single" w:color="E0E4EA" w:sz="1"/>
              <w:right w:val="single" w:color="E0E4EA" w:sz="1"/>
            </w:tcBorders>
            <w:shd w:fill="0D2B4E"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FFFFFF"/>
                <w:sz w:val="19"/>
                <w:szCs w:val="19"/>
              </w:rPr>
              <w:t xml:space="preserve">Opportunité Maintex</w:t>
            </w:r>
          </w:p>
        </w:tc>
      </w:tr>
      <w:tr>
        <w:tc>
          <w:tcPr>
            <w:tcW w:type="dxa" w:w="30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0D2B4E"/>
                <w:sz w:val="18"/>
                <w:szCs w:val="18"/>
              </w:rPr>
              <w:t xml:space="preserve">Onboarding lent et complexe</w:t>
            </w:r>
          </w:p>
        </w:tc>
        <w:tc>
          <w:tcPr>
            <w:tcW w:type="dxa" w:w="30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Déploiement de 3 à 18 mois. 40% des projets GMAO échouent faute d'adoption.</w:t>
            </w:r>
          </w:p>
        </w:tc>
        <w:tc>
          <w:tcPr>
            <w:tcW w:type="dxa" w:w="3026"/>
            <w:tcBorders>
              <w:top w:val="single" w:color="E0E4EA" w:sz="1"/>
              <w:left w:val="single" w:color="E0E4EA" w:sz="1"/>
              <w:bottom w:val="single" w:color="E0E4EA" w:sz="1"/>
              <w:right w:val="single" w:color="E0E4EA" w:sz="1"/>
            </w:tcBorders>
            <w:shd w:fill="E3F4E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B6B35"/>
                <w:sz w:val="18"/>
                <w:szCs w:val="18"/>
              </w:rPr>
              <w:t xml:space="preserve">Wizard d'onboarding guidé + import automatique depuis Excel + templates sectoriels préconfigurés.</w:t>
            </w:r>
          </w:p>
        </w:tc>
      </w:tr>
      <w:tr>
        <w:tc>
          <w:tcPr>
            <w:tcW w:type="dxa" w:w="30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0D2B4E"/>
                <w:sz w:val="18"/>
                <w:szCs w:val="18"/>
              </w:rPr>
              <w:t xml:space="preserve">Expérience mobile dégradée</w:t>
            </w:r>
          </w:p>
        </w:tc>
        <w:tc>
          <w:tcPr>
            <w:tcW w:type="dxa" w:w="30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Les applications mobiles sont des « portages » de l'interface desktop — inadaptées au terrain.</w:t>
            </w:r>
          </w:p>
        </w:tc>
        <w:tc>
          <w:tcPr>
            <w:tcW w:type="dxa" w:w="3026"/>
            <w:tcBorders>
              <w:top w:val="single" w:color="E0E4EA" w:sz="1"/>
              <w:left w:val="single" w:color="E0E4EA" w:sz="1"/>
              <w:bottom w:val="single" w:color="E0E4EA" w:sz="1"/>
              <w:right w:val="single" w:color="E0E4EA" w:sz="1"/>
            </w:tcBorders>
            <w:shd w:fill="D4EDEC"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B6B35"/>
                <w:sz w:val="18"/>
                <w:szCs w:val="18"/>
              </w:rPr>
              <w:t xml:space="preserve">Mobile-first natif : interface conçue pour les gants, la saleté, le soleil direct, le hors-ligne.</w:t>
            </w:r>
          </w:p>
        </w:tc>
      </w:tr>
      <w:tr>
        <w:tc>
          <w:tcPr>
            <w:tcW w:type="dxa" w:w="30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0D2B4E"/>
                <w:sz w:val="18"/>
                <w:szCs w:val="18"/>
              </w:rPr>
              <w:t xml:space="preserve">Silos données maintenance/finance</w:t>
            </w:r>
          </w:p>
        </w:tc>
        <w:tc>
          <w:tcPr>
            <w:tcW w:type="dxa" w:w="30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Les coûts de maintenance ne remontent pas automatiquement en comptabilité. Doubles saisies chroniques.</w:t>
            </w:r>
          </w:p>
        </w:tc>
        <w:tc>
          <w:tcPr>
            <w:tcW w:type="dxa" w:w="3026"/>
            <w:tcBorders>
              <w:top w:val="single" w:color="E0E4EA" w:sz="1"/>
              <w:left w:val="single" w:color="E0E4EA" w:sz="1"/>
              <w:bottom w:val="single" w:color="E0E4EA" w:sz="1"/>
              <w:right w:val="single" w:color="E0E4EA" w:sz="1"/>
            </w:tcBorders>
            <w:shd w:fill="E3F4E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B6B35"/>
                <w:sz w:val="18"/>
                <w:szCs w:val="18"/>
              </w:rPr>
              <w:t xml:space="preserve">Moteur de synchronisation bi-directionnel avec les ERP africains (Sage, Odoo) et la comptabilité OHADA.</w:t>
            </w:r>
          </w:p>
        </w:tc>
      </w:tr>
      <w:tr>
        <w:tc>
          <w:tcPr>
            <w:tcW w:type="dxa" w:w="30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0D2B4E"/>
                <w:sz w:val="18"/>
                <w:szCs w:val="18"/>
              </w:rPr>
              <w:t xml:space="preserve">Absence de vision énergétique</w:t>
            </w:r>
          </w:p>
        </w:tc>
        <w:tc>
          <w:tcPr>
            <w:tcW w:type="dxa" w:w="30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Aucune GMAO n'intègre nativement le suivi des consommations énergétiques des équipements.</w:t>
            </w:r>
          </w:p>
        </w:tc>
        <w:tc>
          <w:tcPr>
            <w:tcW w:type="dxa" w:w="3026"/>
            <w:tcBorders>
              <w:top w:val="single" w:color="E0E4EA" w:sz="1"/>
              <w:left w:val="single" w:color="E0E4EA" w:sz="1"/>
              <w:bottom w:val="single" w:color="E0E4EA" w:sz="1"/>
              <w:right w:val="single" w:color="E0E4EA" w:sz="1"/>
            </w:tcBorders>
            <w:shd w:fill="D4EDEC"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B6B35"/>
                <w:sz w:val="18"/>
                <w:szCs w:val="18"/>
              </w:rPr>
              <w:t xml:space="preserve">Module Énergie &amp; Empreinte Carbone : différenciateur unique sur le marché africain et ESG.</w:t>
            </w:r>
          </w:p>
        </w:tc>
      </w:tr>
      <w:tr>
        <w:tc>
          <w:tcPr>
            <w:tcW w:type="dxa" w:w="30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0D2B4E"/>
                <w:sz w:val="18"/>
                <w:szCs w:val="18"/>
              </w:rPr>
              <w:t xml:space="preserve">Documentation statique</w:t>
            </w:r>
          </w:p>
        </w:tc>
        <w:tc>
          <w:tcPr>
            <w:tcW w:type="dxa" w:w="30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Les manuels PDF ne sont pas interrogeables. Le technicien perd du temps à chercher la bonne page.</w:t>
            </w:r>
          </w:p>
        </w:tc>
        <w:tc>
          <w:tcPr>
            <w:tcW w:type="dxa" w:w="3026"/>
            <w:tcBorders>
              <w:top w:val="single" w:color="E0E4EA" w:sz="1"/>
              <w:left w:val="single" w:color="E0E4EA" w:sz="1"/>
              <w:bottom w:val="single" w:color="E0E4EA" w:sz="1"/>
              <w:right w:val="single" w:color="E0E4EA" w:sz="1"/>
            </w:tcBorders>
            <w:shd w:fill="E3F4E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B6B35"/>
                <w:sz w:val="18"/>
                <w:szCs w:val="18"/>
              </w:rPr>
              <w:t xml:space="preserve">Base de connaissance IA : le technicien pose sa question en langage naturel et obtient la réponse.</w:t>
            </w:r>
          </w:p>
        </w:tc>
      </w:tr>
      <w:tr>
        <w:tc>
          <w:tcPr>
            <w:tcW w:type="dxa" w:w="30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0D2B4E"/>
                <w:sz w:val="18"/>
                <w:szCs w:val="18"/>
              </w:rPr>
              <w:t xml:space="preserve">Gestion RH maintenance absente</w:t>
            </w:r>
          </w:p>
        </w:tc>
        <w:tc>
          <w:tcPr>
            <w:tcW w:type="dxa" w:w="30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Compétences, certifications, habilitations des techniciens ne sont pas gérées dans la GMAO.</w:t>
            </w:r>
          </w:p>
        </w:tc>
        <w:tc>
          <w:tcPr>
            <w:tcW w:type="dxa" w:w="3026"/>
            <w:tcBorders>
              <w:top w:val="single" w:color="E0E4EA" w:sz="1"/>
              <w:left w:val="single" w:color="E0E4EA" w:sz="1"/>
              <w:bottom w:val="single" w:color="E0E4EA" w:sz="1"/>
              <w:right w:val="single" w:color="E0E4EA" w:sz="1"/>
            </w:tcBorders>
            <w:shd w:fill="D4EDEC"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B6B35"/>
                <w:sz w:val="18"/>
                <w:szCs w:val="18"/>
              </w:rPr>
              <w:t xml:space="preserve">Module RH Maintenance : gestion des compétences, habilitations électriques, formations obligatoires.</w:t>
            </w:r>
          </w:p>
        </w:tc>
      </w:tr>
      <w:tr>
        <w:tc>
          <w:tcPr>
            <w:tcW w:type="dxa" w:w="30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0D2B4E"/>
                <w:sz w:val="18"/>
                <w:szCs w:val="18"/>
              </w:rPr>
              <w:t xml:space="preserve">Reporting figé et non personnalisable</w:t>
            </w:r>
          </w:p>
        </w:tc>
        <w:tc>
          <w:tcPr>
            <w:tcW w:type="dxa" w:w="30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Les directions reçoivent des rapports standard qui ne correspondent pas à leurs KPIs métier.</w:t>
            </w:r>
          </w:p>
        </w:tc>
        <w:tc>
          <w:tcPr>
            <w:tcW w:type="dxa" w:w="3026"/>
            <w:tcBorders>
              <w:top w:val="single" w:color="E0E4EA" w:sz="1"/>
              <w:left w:val="single" w:color="E0E4EA" w:sz="1"/>
              <w:bottom w:val="single" w:color="E0E4EA" w:sz="1"/>
              <w:right w:val="single" w:color="E0E4EA" w:sz="1"/>
            </w:tcBorders>
            <w:shd w:fill="E3F4E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B6B35"/>
                <w:sz w:val="18"/>
                <w:szCs w:val="18"/>
              </w:rPr>
              <w:t xml:space="preserve">Report Builder + API de données ouvertes pour les outils BI des clients.</w:t>
            </w:r>
          </w:p>
        </w:tc>
      </w:tr>
      <w:tr>
        <w:tc>
          <w:tcPr>
            <w:tcW w:type="dxa" w:w="30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0D2B4E"/>
                <w:sz w:val="18"/>
                <w:szCs w:val="18"/>
              </w:rPr>
              <w:t xml:space="preserve">Absence de gamification</w:t>
            </w:r>
          </w:p>
        </w:tc>
        <w:tc>
          <w:tcPr>
            <w:tcW w:type="dxa" w:w="30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L'adhésion des techniciens reste faible. Les GMAO sont perçues comme des outils de contrôle.</w:t>
            </w:r>
          </w:p>
        </w:tc>
        <w:tc>
          <w:tcPr>
            <w:tcW w:type="dxa" w:w="3026"/>
            <w:tcBorders>
              <w:top w:val="single" w:color="E0E4EA" w:sz="1"/>
              <w:left w:val="single" w:color="E0E4EA" w:sz="1"/>
              <w:bottom w:val="single" w:color="E0E4EA" w:sz="1"/>
              <w:right w:val="single" w:color="E0E4EA" w:sz="1"/>
            </w:tcBorders>
            <w:shd w:fill="D4EDEC"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B6B35"/>
                <w:sz w:val="18"/>
                <w:szCs w:val="18"/>
              </w:rPr>
              <w:t xml:space="preserve">Système de badges et points pour encourager la complétion des BT et la qualité des saisies.</w:t>
            </w:r>
          </w:p>
        </w:tc>
      </w:tr>
    </w:tbl>
    <w:p>
      <w:pPr>
        <w:spacing w:before="160" w:after="0"/>
      </w:pPr>
      <w:r>
        <w:rPr>
          <w:rFonts w:ascii="Arial" w:cs="Arial" w:eastAsia="Arial" w:hAnsi="Arial"/>
          <w:b w:val="false"/>
          <w:bCs w:val="false"/>
          <w:i w:val="false"/>
          <w:iCs w:val="false"/>
          <w:color w:val="1C2533"/>
          <w:sz w:val="20"/>
          <w:szCs w:val="20"/>
        </w:rPr>
        <w:t xml:space="preserve"/>
      </w:r>
    </w:p>
    <w:p>
      <w:pPr>
        <w:pStyle w:val="Heading2"/>
        <w:pBdr>
          <w:bottom w:val="single" w:color="1A6BAE" w:sz="6" w:space="3"/>
        </w:pBdr>
        <w:spacing w:before="300" w:after="140"/>
      </w:pPr>
      <w:r>
        <w:rPr>
          <w:rFonts w:ascii="Arial" w:cs="Arial" w:eastAsia="Arial" w:hAnsi="Arial"/>
          <w:b/>
          <w:bCs/>
          <w:i w:val="false"/>
          <w:iCs w:val="false"/>
          <w:color w:val="1A6BAE"/>
          <w:sz w:val="27"/>
          <w:szCs w:val="27"/>
        </w:rPr>
        <w:t xml:space="preserve">1.3  Carte de positionnement concurrentiel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A6BAE" w:sz="24"/>
              <w:bottom w:val="none" w:color="FFFFFF" w:sz="0"/>
              <w:right w:val="none" w:color="FFFFFF" w:sz="0"/>
            </w:tcBorders>
            <w:shd w:fill="D6E8F7" w:val="clear"/>
            <w:tcMar>
              <w:top w:type="dxa" w:w="100"/>
              <w:left w:type="dxa" w:w="200"/>
              <w:bottom w:type="dxa" w:w="100"/>
              <w:right w:type="dxa" w:w="140"/>
            </w:tcMar>
          </w:tcPr>
          <w:p>
            <w:pPr>
              <w:spacing w:before="30" w:after="30" w:line="276"/>
              <w:jc w:val="left"/>
            </w:pPr>
            <w:r>
              <w:rPr>
                <w:rFonts w:ascii="Arial" w:cs="Arial" w:eastAsia="Arial" w:hAnsi="Arial"/>
                <w:b w:val="false"/>
                <w:bCs w:val="false"/>
                <w:i/>
                <w:iCs/>
                <w:color w:val="1C2533"/>
                <w:sz w:val="20"/>
                <w:szCs w:val="20"/>
              </w:rPr>
              <w:t xml:space="preserve">Maintex occupe un positionnement unique : seule GMAO combinant déploiement on-premise + SaaS, support local Afrique francophone, et ambition de couverture fonctionnelle mondiale. Cette position doit être défendue et renforcée par les 15 fonctionnalités nouvelles proposées dans ce document.</w:t>
            </w:r>
          </w:p>
        </w:tc>
      </w:tr>
    </w:tbl>
    <w:p>
      <w:pPr>
        <w:spacing w:before="120" w:after="0"/>
      </w:pPr>
      <w:r>
        <w:rPr>
          <w:rFonts w:ascii="Arial" w:cs="Arial" w:eastAsia="Arial" w:hAnsi="Arial"/>
          <w:b w:val="false"/>
          <w:bCs w:val="false"/>
          <w:i w:val="false"/>
          <w:iCs w:val="false"/>
          <w:color w:val="1C2533"/>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200"/>
        <w:gridCol w:w="1200"/>
        <w:gridCol w:w="1826"/>
      </w:tblGrid>
      <w:tr>
        <w:tc>
          <w:tcPr>
            <w:tcW w:type="dxa" w:w="2000"/>
            <w:tcBorders>
              <w:top w:val="single" w:color="E0E4EA" w:sz="1"/>
              <w:left w:val="single" w:color="E0E4EA" w:sz="1"/>
              <w:bottom w:val="single" w:color="E0E4EA" w:sz="1"/>
              <w:right w:val="single" w:color="E0E4EA" w:sz="1"/>
            </w:tcBorders>
            <w:shd w:fill="0D2B4E"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FFFFFF"/>
                <w:sz w:val="19"/>
                <w:szCs w:val="19"/>
              </w:rPr>
              <w:t xml:space="preserve">Solution</w:t>
            </w:r>
          </w:p>
        </w:tc>
        <w:tc>
          <w:tcPr>
            <w:tcW w:type="dxa" w:w="1400"/>
            <w:tcBorders>
              <w:top w:val="single" w:color="E0E4EA" w:sz="1"/>
              <w:left w:val="single" w:color="E0E4EA" w:sz="1"/>
              <w:bottom w:val="single" w:color="E0E4EA" w:sz="1"/>
              <w:right w:val="single" w:color="E0E4EA" w:sz="1"/>
            </w:tcBorders>
            <w:shd w:fill="0D2B4E" w:val="clear"/>
            <w:tcMar>
              <w:top w:type="dxa" w:w="80"/>
              <w:left w:type="dxa" w:w="130"/>
              <w:bottom w:type="dxa" w:w="80"/>
              <w:right w:type="dxa" w:w="130"/>
            </w:tcMar>
            <w:vAlign w:val="top"/>
          </w:tcPr>
          <w:p>
            <w:pPr>
              <w:spacing w:before="60" w:after="60" w:line="276"/>
              <w:jc w:val="center"/>
            </w:pPr>
            <w:r>
              <w:rPr>
                <w:rFonts w:ascii="Arial" w:cs="Arial" w:eastAsia="Arial" w:hAnsi="Arial"/>
                <w:b/>
                <w:bCs/>
                <w:i w:val="false"/>
                <w:iCs w:val="false"/>
                <w:color w:val="FFFFFF"/>
                <w:sz w:val="19"/>
                <w:szCs w:val="19"/>
              </w:rPr>
              <w:t xml:space="preserve">Afrique</w:t>
            </w:r>
          </w:p>
        </w:tc>
        <w:tc>
          <w:tcPr>
            <w:tcW w:type="dxa" w:w="1400"/>
            <w:tcBorders>
              <w:top w:val="single" w:color="E0E4EA" w:sz="1"/>
              <w:left w:val="single" w:color="E0E4EA" w:sz="1"/>
              <w:bottom w:val="single" w:color="E0E4EA" w:sz="1"/>
              <w:right w:val="single" w:color="E0E4EA" w:sz="1"/>
            </w:tcBorders>
            <w:shd w:fill="0D2B4E" w:val="clear"/>
            <w:tcMar>
              <w:top w:type="dxa" w:w="80"/>
              <w:left w:type="dxa" w:w="130"/>
              <w:bottom w:type="dxa" w:w="80"/>
              <w:right w:type="dxa" w:w="130"/>
            </w:tcMar>
            <w:vAlign w:val="top"/>
          </w:tcPr>
          <w:p>
            <w:pPr>
              <w:spacing w:before="60" w:after="60" w:line="276"/>
              <w:jc w:val="center"/>
            </w:pPr>
            <w:r>
              <w:rPr>
                <w:rFonts w:ascii="Arial" w:cs="Arial" w:eastAsia="Arial" w:hAnsi="Arial"/>
                <w:b/>
                <w:bCs/>
                <w:i w:val="false"/>
                <w:iCs w:val="false"/>
                <w:color w:val="FFFFFF"/>
                <w:sz w:val="19"/>
                <w:szCs w:val="19"/>
              </w:rPr>
              <w:t xml:space="preserve">On-premise</w:t>
            </w:r>
          </w:p>
        </w:tc>
        <w:tc>
          <w:tcPr>
            <w:tcW w:type="dxa" w:w="1200"/>
            <w:tcBorders>
              <w:top w:val="single" w:color="E0E4EA" w:sz="1"/>
              <w:left w:val="single" w:color="E0E4EA" w:sz="1"/>
              <w:bottom w:val="single" w:color="E0E4EA" w:sz="1"/>
              <w:right w:val="single" w:color="E0E4EA" w:sz="1"/>
            </w:tcBorders>
            <w:shd w:fill="0D2B4E" w:val="clear"/>
            <w:tcMar>
              <w:top w:type="dxa" w:w="80"/>
              <w:left w:type="dxa" w:w="130"/>
              <w:bottom w:type="dxa" w:w="80"/>
              <w:right w:type="dxa" w:w="130"/>
            </w:tcMar>
            <w:vAlign w:val="top"/>
          </w:tcPr>
          <w:p>
            <w:pPr>
              <w:spacing w:before="60" w:after="60" w:line="276"/>
              <w:jc w:val="center"/>
            </w:pPr>
            <w:r>
              <w:rPr>
                <w:rFonts w:ascii="Arial" w:cs="Arial" w:eastAsia="Arial" w:hAnsi="Arial"/>
                <w:b/>
                <w:bCs/>
                <w:i w:val="false"/>
                <w:iCs w:val="false"/>
                <w:color w:val="FFFFFF"/>
                <w:sz w:val="19"/>
                <w:szCs w:val="19"/>
              </w:rPr>
              <w:t xml:space="preserve">IA native</w:t>
            </w:r>
          </w:p>
        </w:tc>
        <w:tc>
          <w:tcPr>
            <w:tcW w:type="dxa" w:w="1200"/>
            <w:tcBorders>
              <w:top w:val="single" w:color="E0E4EA" w:sz="1"/>
              <w:left w:val="single" w:color="E0E4EA" w:sz="1"/>
              <w:bottom w:val="single" w:color="E0E4EA" w:sz="1"/>
              <w:right w:val="single" w:color="E0E4EA" w:sz="1"/>
            </w:tcBorders>
            <w:shd w:fill="0D2B4E" w:val="clear"/>
            <w:tcMar>
              <w:top w:type="dxa" w:w="80"/>
              <w:left w:type="dxa" w:w="130"/>
              <w:bottom w:type="dxa" w:w="80"/>
              <w:right w:type="dxa" w:w="130"/>
            </w:tcMar>
            <w:vAlign w:val="top"/>
          </w:tcPr>
          <w:p>
            <w:pPr>
              <w:spacing w:before="60" w:after="60" w:line="276"/>
              <w:jc w:val="center"/>
            </w:pPr>
            <w:r>
              <w:rPr>
                <w:rFonts w:ascii="Arial" w:cs="Arial" w:eastAsia="Arial" w:hAnsi="Arial"/>
                <w:b/>
                <w:bCs/>
                <w:i w:val="false"/>
                <w:iCs w:val="false"/>
                <w:color w:val="FFFFFF"/>
                <w:sz w:val="19"/>
                <w:szCs w:val="19"/>
              </w:rPr>
              <w:t xml:space="preserve">Tarif PME</w:t>
            </w:r>
          </w:p>
        </w:tc>
        <w:tc>
          <w:tcPr>
            <w:tcW w:type="dxa" w:w="1826"/>
            <w:tcBorders>
              <w:top w:val="single" w:color="E0E4EA" w:sz="1"/>
              <w:left w:val="single" w:color="E0E4EA" w:sz="1"/>
              <w:bottom w:val="single" w:color="E0E4EA" w:sz="1"/>
              <w:right w:val="single" w:color="E0E4EA" w:sz="1"/>
            </w:tcBorders>
            <w:shd w:fill="0D2B4E" w:val="clear"/>
            <w:tcMar>
              <w:top w:type="dxa" w:w="80"/>
              <w:left w:type="dxa" w:w="130"/>
              <w:bottom w:type="dxa" w:w="80"/>
              <w:right w:type="dxa" w:w="130"/>
            </w:tcMar>
            <w:vAlign w:val="top"/>
          </w:tcPr>
          <w:p>
            <w:pPr>
              <w:spacing w:before="60" w:after="60" w:line="276"/>
              <w:jc w:val="center"/>
            </w:pPr>
            <w:r>
              <w:rPr>
                <w:rFonts w:ascii="Arial" w:cs="Arial" w:eastAsia="Arial" w:hAnsi="Arial"/>
                <w:b/>
                <w:bCs/>
                <w:i w:val="false"/>
                <w:iCs w:val="false"/>
                <w:color w:val="FFFFFF"/>
                <w:sz w:val="19"/>
                <w:szCs w:val="19"/>
              </w:rPr>
              <w:t xml:space="preserve">Score Global /10</w:t>
            </w:r>
          </w:p>
        </w:tc>
      </w:tr>
      <w:tr>
        <w:tc>
          <w:tcPr>
            <w:tcW w:type="dxa" w:w="20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val="false"/>
                <w:bCs w:val="false"/>
                <w:i w:val="false"/>
                <w:iCs w:val="false"/>
                <w:color w:val="1C2533"/>
                <w:sz w:val="19"/>
                <w:szCs w:val="19"/>
              </w:rPr>
              <w:t xml:space="preserve">MaintainX</w:t>
            </w:r>
          </w:p>
        </w:tc>
        <w:tc>
          <w:tcPr>
            <w:tcW w:type="dxa" w:w="14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C2533"/>
                <w:sz w:val="18"/>
                <w:szCs w:val="18"/>
              </w:rPr>
              <w:t xml:space="preserve">✗</w:t>
            </w:r>
          </w:p>
        </w:tc>
        <w:tc>
          <w:tcPr>
            <w:tcW w:type="dxa" w:w="14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C2533"/>
                <w:sz w:val="18"/>
                <w:szCs w:val="18"/>
              </w:rPr>
              <w:t xml:space="preserve">✗</w:t>
            </w:r>
          </w:p>
        </w:tc>
        <w:tc>
          <w:tcPr>
            <w:tcW w:type="dxa" w:w="12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B6B35"/>
                <w:sz w:val="18"/>
                <w:szCs w:val="18"/>
              </w:rPr>
              <w:t xml:space="preserve">✓✓</w:t>
            </w:r>
          </w:p>
        </w:tc>
        <w:tc>
          <w:tcPr>
            <w:tcW w:type="dxa" w:w="12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C2533"/>
                <w:sz w:val="18"/>
                <w:szCs w:val="18"/>
              </w:rPr>
              <w:t xml:space="preserve">✓</w:t>
            </w:r>
          </w:p>
        </w:tc>
        <w:tc>
          <w:tcPr>
            <w:tcW w:type="dxa" w:w="1826"/>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center"/>
            </w:pPr>
            <w:r>
              <w:rPr>
                <w:rFonts w:ascii="Arial" w:cs="Arial" w:eastAsia="Arial" w:hAnsi="Arial"/>
                <w:b w:val="false"/>
                <w:bCs w:val="false"/>
                <w:i w:val="false"/>
                <w:iCs w:val="false"/>
                <w:color w:val="1C2533"/>
                <w:sz w:val="19"/>
                <w:szCs w:val="19"/>
              </w:rPr>
              <w:t xml:space="preserve">8.5</w:t>
            </w:r>
          </w:p>
        </w:tc>
      </w:tr>
      <w:tr>
        <w:tc>
          <w:tcPr>
            <w:tcW w:type="dxa" w:w="20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val="false"/>
                <w:bCs w:val="false"/>
                <w:i w:val="false"/>
                <w:iCs w:val="false"/>
                <w:color w:val="1C2533"/>
                <w:sz w:val="19"/>
                <w:szCs w:val="19"/>
              </w:rPr>
              <w:t xml:space="preserve">UpKeep</w:t>
            </w:r>
          </w:p>
        </w:tc>
        <w:tc>
          <w:tcPr>
            <w:tcW w:type="dxa" w:w="14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C2533"/>
                <w:sz w:val="18"/>
                <w:szCs w:val="18"/>
              </w:rPr>
              <w:t xml:space="preserve">✗</w:t>
            </w:r>
          </w:p>
        </w:tc>
        <w:tc>
          <w:tcPr>
            <w:tcW w:type="dxa" w:w="14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C2533"/>
                <w:sz w:val="18"/>
                <w:szCs w:val="18"/>
              </w:rPr>
              <w:t xml:space="preserve">✗</w:t>
            </w:r>
          </w:p>
        </w:tc>
        <w:tc>
          <w:tcPr>
            <w:tcW w:type="dxa" w:w="12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B6B35"/>
                <w:sz w:val="18"/>
                <w:szCs w:val="18"/>
              </w:rPr>
              <w:t xml:space="preserve">✓</w:t>
            </w:r>
          </w:p>
        </w:tc>
        <w:tc>
          <w:tcPr>
            <w:tcW w:type="dxa" w:w="12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C2533"/>
                <w:sz w:val="18"/>
                <w:szCs w:val="18"/>
              </w:rPr>
              <w:t xml:space="preserve">✓✓</w:t>
            </w:r>
          </w:p>
        </w:tc>
        <w:tc>
          <w:tcPr>
            <w:tcW w:type="dxa" w:w="1826"/>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center"/>
            </w:pPr>
            <w:r>
              <w:rPr>
                <w:rFonts w:ascii="Arial" w:cs="Arial" w:eastAsia="Arial" w:hAnsi="Arial"/>
                <w:b w:val="false"/>
                <w:bCs w:val="false"/>
                <w:i w:val="false"/>
                <w:iCs w:val="false"/>
                <w:color w:val="1C2533"/>
                <w:sz w:val="19"/>
                <w:szCs w:val="19"/>
              </w:rPr>
              <w:t xml:space="preserve">7.5</w:t>
            </w:r>
          </w:p>
        </w:tc>
      </w:tr>
      <w:tr>
        <w:tc>
          <w:tcPr>
            <w:tcW w:type="dxa" w:w="20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val="false"/>
                <w:bCs w:val="false"/>
                <w:i w:val="false"/>
                <w:iCs w:val="false"/>
                <w:color w:val="1C2533"/>
                <w:sz w:val="19"/>
                <w:szCs w:val="19"/>
              </w:rPr>
              <w:t xml:space="preserve">Fiix (Rockwell)</w:t>
            </w:r>
          </w:p>
        </w:tc>
        <w:tc>
          <w:tcPr>
            <w:tcW w:type="dxa" w:w="14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C2533"/>
                <w:sz w:val="18"/>
                <w:szCs w:val="18"/>
              </w:rPr>
              <w:t xml:space="preserve">✗</w:t>
            </w:r>
          </w:p>
        </w:tc>
        <w:tc>
          <w:tcPr>
            <w:tcW w:type="dxa" w:w="14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C2533"/>
                <w:sz w:val="18"/>
                <w:szCs w:val="18"/>
              </w:rPr>
              <w:t xml:space="preserve">Partiel</w:t>
            </w:r>
          </w:p>
        </w:tc>
        <w:tc>
          <w:tcPr>
            <w:tcW w:type="dxa" w:w="12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B6B35"/>
                <w:sz w:val="18"/>
                <w:szCs w:val="18"/>
              </w:rPr>
              <w:t xml:space="preserve">✓</w:t>
            </w:r>
          </w:p>
        </w:tc>
        <w:tc>
          <w:tcPr>
            <w:tcW w:type="dxa" w:w="12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C2533"/>
                <w:sz w:val="18"/>
                <w:szCs w:val="18"/>
              </w:rPr>
              <w:t xml:space="preserve">✗</w:t>
            </w:r>
          </w:p>
        </w:tc>
        <w:tc>
          <w:tcPr>
            <w:tcW w:type="dxa" w:w="1826"/>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center"/>
            </w:pPr>
            <w:r>
              <w:rPr>
                <w:rFonts w:ascii="Arial" w:cs="Arial" w:eastAsia="Arial" w:hAnsi="Arial"/>
                <w:b w:val="false"/>
                <w:bCs w:val="false"/>
                <w:i w:val="false"/>
                <w:iCs w:val="false"/>
                <w:color w:val="1C2533"/>
                <w:sz w:val="19"/>
                <w:szCs w:val="19"/>
              </w:rPr>
              <w:t xml:space="preserve">7.0</w:t>
            </w:r>
          </w:p>
        </w:tc>
      </w:tr>
      <w:tr>
        <w:tc>
          <w:tcPr>
            <w:tcW w:type="dxa" w:w="20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val="false"/>
                <w:bCs w:val="false"/>
                <w:i w:val="false"/>
                <w:iCs w:val="false"/>
                <w:color w:val="1C2533"/>
                <w:sz w:val="19"/>
                <w:szCs w:val="19"/>
              </w:rPr>
              <w:t xml:space="preserve">IBM Maximo</w:t>
            </w:r>
          </w:p>
        </w:tc>
        <w:tc>
          <w:tcPr>
            <w:tcW w:type="dxa" w:w="14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C2533"/>
                <w:sz w:val="18"/>
                <w:szCs w:val="18"/>
              </w:rPr>
              <w:t xml:space="preserve">✗</w:t>
            </w:r>
          </w:p>
        </w:tc>
        <w:tc>
          <w:tcPr>
            <w:tcW w:type="dxa" w:w="14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C2533"/>
                <w:sz w:val="18"/>
                <w:szCs w:val="18"/>
              </w:rPr>
              <w:t xml:space="preserve">✓✓</w:t>
            </w:r>
          </w:p>
        </w:tc>
        <w:tc>
          <w:tcPr>
            <w:tcW w:type="dxa" w:w="12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B6B35"/>
                <w:sz w:val="18"/>
                <w:szCs w:val="18"/>
              </w:rPr>
              <w:t xml:space="preserve">✓✓</w:t>
            </w:r>
          </w:p>
        </w:tc>
        <w:tc>
          <w:tcPr>
            <w:tcW w:type="dxa" w:w="12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C2533"/>
                <w:sz w:val="18"/>
                <w:szCs w:val="18"/>
              </w:rPr>
              <w:t xml:space="preserve">✗✗</w:t>
            </w:r>
          </w:p>
        </w:tc>
        <w:tc>
          <w:tcPr>
            <w:tcW w:type="dxa" w:w="1826"/>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center"/>
            </w:pPr>
            <w:r>
              <w:rPr>
                <w:rFonts w:ascii="Arial" w:cs="Arial" w:eastAsia="Arial" w:hAnsi="Arial"/>
                <w:b w:val="false"/>
                <w:bCs w:val="false"/>
                <w:i w:val="false"/>
                <w:iCs w:val="false"/>
                <w:color w:val="1C2533"/>
                <w:sz w:val="19"/>
                <w:szCs w:val="19"/>
              </w:rPr>
              <w:t xml:space="preserve">6.5 (complexe)</w:t>
            </w:r>
          </w:p>
        </w:tc>
      </w:tr>
      <w:tr>
        <w:tc>
          <w:tcPr>
            <w:tcW w:type="dxa" w:w="20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val="false"/>
                <w:bCs w:val="false"/>
                <w:i w:val="false"/>
                <w:iCs w:val="false"/>
                <w:color w:val="1C2533"/>
                <w:sz w:val="19"/>
                <w:szCs w:val="19"/>
              </w:rPr>
              <w:t xml:space="preserve">Fracttal (Latam)</w:t>
            </w:r>
          </w:p>
        </w:tc>
        <w:tc>
          <w:tcPr>
            <w:tcW w:type="dxa" w:w="14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C2533"/>
                <w:sz w:val="18"/>
                <w:szCs w:val="18"/>
              </w:rPr>
              <w:t xml:space="preserve">Partiel</w:t>
            </w:r>
          </w:p>
        </w:tc>
        <w:tc>
          <w:tcPr>
            <w:tcW w:type="dxa" w:w="14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C2533"/>
                <w:sz w:val="18"/>
                <w:szCs w:val="18"/>
              </w:rPr>
              <w:t xml:space="preserve">✗</w:t>
            </w:r>
          </w:p>
        </w:tc>
        <w:tc>
          <w:tcPr>
            <w:tcW w:type="dxa" w:w="12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B71C1C"/>
                <w:sz w:val="18"/>
                <w:szCs w:val="18"/>
              </w:rPr>
              <w:t xml:space="preserve">Partiel</w:t>
            </w:r>
          </w:p>
        </w:tc>
        <w:tc>
          <w:tcPr>
            <w:tcW w:type="dxa" w:w="12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C2533"/>
                <w:sz w:val="18"/>
                <w:szCs w:val="18"/>
              </w:rPr>
              <w:t xml:space="preserve">✓</w:t>
            </w:r>
          </w:p>
        </w:tc>
        <w:tc>
          <w:tcPr>
            <w:tcW w:type="dxa" w:w="1826"/>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center"/>
            </w:pPr>
            <w:r>
              <w:rPr>
                <w:rFonts w:ascii="Arial" w:cs="Arial" w:eastAsia="Arial" w:hAnsi="Arial"/>
                <w:b w:val="false"/>
                <w:bCs w:val="false"/>
                <w:i w:val="false"/>
                <w:iCs w:val="false"/>
                <w:color w:val="1C2533"/>
                <w:sz w:val="19"/>
                <w:szCs w:val="19"/>
              </w:rPr>
              <w:t xml:space="preserve">6.5</w:t>
            </w:r>
          </w:p>
        </w:tc>
      </w:tr>
      <w:tr>
        <w:tc>
          <w:tcPr>
            <w:tcW w:type="dxa" w:w="20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val="false"/>
                <w:bCs w:val="false"/>
                <w:i w:val="false"/>
                <w:iCs w:val="false"/>
                <w:color w:val="1C2533"/>
                <w:sz w:val="19"/>
                <w:szCs w:val="19"/>
              </w:rPr>
              <w:t xml:space="preserve">Maintex (actuel)</w:t>
            </w:r>
          </w:p>
        </w:tc>
        <w:tc>
          <w:tcPr>
            <w:tcW w:type="dxa" w:w="14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C2533"/>
                <w:sz w:val="18"/>
                <w:szCs w:val="18"/>
              </w:rPr>
              <w:t xml:space="preserve">✓✓</w:t>
            </w:r>
          </w:p>
        </w:tc>
        <w:tc>
          <w:tcPr>
            <w:tcW w:type="dxa" w:w="14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C2533"/>
                <w:sz w:val="18"/>
                <w:szCs w:val="18"/>
              </w:rPr>
              <w:t xml:space="preserve">✓✓</w:t>
            </w:r>
          </w:p>
        </w:tc>
        <w:tc>
          <w:tcPr>
            <w:tcW w:type="dxa" w:w="12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B71C1C"/>
                <w:sz w:val="18"/>
                <w:szCs w:val="18"/>
              </w:rPr>
              <w:t xml:space="preserve">✗</w:t>
            </w:r>
          </w:p>
        </w:tc>
        <w:tc>
          <w:tcPr>
            <w:tcW w:type="dxa" w:w="12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C2533"/>
                <w:sz w:val="18"/>
                <w:szCs w:val="18"/>
              </w:rPr>
              <w:t xml:space="preserve">✓</w:t>
            </w:r>
          </w:p>
        </w:tc>
        <w:tc>
          <w:tcPr>
            <w:tcW w:type="dxa" w:w="1826"/>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center"/>
            </w:pPr>
            <w:r>
              <w:rPr>
                <w:rFonts w:ascii="Arial" w:cs="Arial" w:eastAsia="Arial" w:hAnsi="Arial"/>
                <w:b w:val="false"/>
                <w:bCs w:val="false"/>
                <w:i w:val="false"/>
                <w:iCs w:val="false"/>
                <w:color w:val="1C2533"/>
                <w:sz w:val="19"/>
                <w:szCs w:val="19"/>
              </w:rPr>
              <w:t xml:space="preserve">6.5</w:t>
            </w:r>
          </w:p>
        </w:tc>
      </w:tr>
      <w:tr>
        <w:tc>
          <w:tcPr>
            <w:tcW w:type="dxa" w:w="2000"/>
            <w:tcBorders>
              <w:top w:val="single" w:color="E0E4EA" w:sz="1"/>
              <w:left w:val="single" w:color="E0E4EA" w:sz="1"/>
              <w:bottom w:val="single" w:color="E0E4EA" w:sz="1"/>
              <w:right w:val="single" w:color="E0E4EA" w:sz="1"/>
            </w:tcBorders>
            <w:shd w:fill="FFF8DC"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A07800"/>
                <w:sz w:val="19"/>
                <w:szCs w:val="19"/>
              </w:rPr>
              <w:t xml:space="preserve">Maintex (vision v2)</w:t>
            </w:r>
          </w:p>
        </w:tc>
        <w:tc>
          <w:tcPr>
            <w:tcW w:type="dxa" w:w="1400"/>
            <w:tcBorders>
              <w:top w:val="single" w:color="E0E4EA" w:sz="1"/>
              <w:left w:val="single" w:color="E0E4EA" w:sz="1"/>
              <w:bottom w:val="single" w:color="E0E4EA" w:sz="1"/>
              <w:right w:val="single" w:color="E0E4EA" w:sz="1"/>
            </w:tcBorders>
            <w:shd w:fill="FFF8DC"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C2533"/>
                <w:sz w:val="18"/>
                <w:szCs w:val="18"/>
              </w:rPr>
              <w:t xml:space="preserve">✓✓</w:t>
            </w:r>
          </w:p>
        </w:tc>
        <w:tc>
          <w:tcPr>
            <w:tcW w:type="dxa" w:w="1400"/>
            <w:tcBorders>
              <w:top w:val="single" w:color="E0E4EA" w:sz="1"/>
              <w:left w:val="single" w:color="E0E4EA" w:sz="1"/>
              <w:bottom w:val="single" w:color="E0E4EA" w:sz="1"/>
              <w:right w:val="single" w:color="E0E4EA" w:sz="1"/>
            </w:tcBorders>
            <w:shd w:fill="FFF8DC"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C2533"/>
                <w:sz w:val="18"/>
                <w:szCs w:val="18"/>
              </w:rPr>
              <w:t xml:space="preserve">✓✓</w:t>
            </w:r>
          </w:p>
        </w:tc>
        <w:tc>
          <w:tcPr>
            <w:tcW w:type="dxa" w:w="1200"/>
            <w:tcBorders>
              <w:top w:val="single" w:color="E0E4EA" w:sz="1"/>
              <w:left w:val="single" w:color="E0E4EA" w:sz="1"/>
              <w:bottom w:val="single" w:color="E0E4EA" w:sz="1"/>
              <w:right w:val="single" w:color="E0E4EA" w:sz="1"/>
            </w:tcBorders>
            <w:shd w:fill="FFF8DC"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B6B35"/>
                <w:sz w:val="18"/>
                <w:szCs w:val="18"/>
              </w:rPr>
              <w:t xml:space="preserve">✓✓</w:t>
            </w:r>
          </w:p>
        </w:tc>
        <w:tc>
          <w:tcPr>
            <w:tcW w:type="dxa" w:w="1200"/>
            <w:tcBorders>
              <w:top w:val="single" w:color="E0E4EA" w:sz="1"/>
              <w:left w:val="single" w:color="E0E4EA" w:sz="1"/>
              <w:bottom w:val="single" w:color="E0E4EA" w:sz="1"/>
              <w:right w:val="single" w:color="E0E4EA" w:sz="1"/>
            </w:tcBorders>
            <w:shd w:fill="FFF8DC"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C2533"/>
                <w:sz w:val="18"/>
                <w:szCs w:val="18"/>
              </w:rPr>
              <w:t xml:space="preserve">✓✓</w:t>
            </w:r>
          </w:p>
        </w:tc>
        <w:tc>
          <w:tcPr>
            <w:tcW w:type="dxa" w:w="1826"/>
            <w:tcBorders>
              <w:top w:val="single" w:color="E0E4EA" w:sz="1"/>
              <w:left w:val="single" w:color="E0E4EA" w:sz="1"/>
              <w:bottom w:val="single" w:color="E0E4EA" w:sz="1"/>
              <w:right w:val="single" w:color="E0E4EA" w:sz="1"/>
            </w:tcBorders>
            <w:shd w:fill="FFF8DC" w:val="clear"/>
            <w:tcMar>
              <w:top w:type="dxa" w:w="80"/>
              <w:left w:type="dxa" w:w="130"/>
              <w:bottom w:type="dxa" w:w="80"/>
              <w:right w:type="dxa" w:w="130"/>
            </w:tcMar>
            <w:vAlign w:val="top"/>
          </w:tcPr>
          <w:p>
            <w:pPr>
              <w:spacing w:before="60" w:after="60" w:line="276"/>
              <w:jc w:val="center"/>
            </w:pPr>
            <w:r>
              <w:rPr>
                <w:rFonts w:ascii="Arial" w:cs="Arial" w:eastAsia="Arial" w:hAnsi="Arial"/>
                <w:b/>
                <w:bCs/>
                <w:i w:val="false"/>
                <w:iCs w:val="false"/>
                <w:color w:val="A07800"/>
                <w:sz w:val="19"/>
                <w:szCs w:val="19"/>
              </w:rPr>
              <w:t xml:space="preserve">9.0 ★</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E7C7B" w:val="clear"/>
            <w:tcMar>
              <w:top w:type="dxa" w:w="180"/>
              <w:left w:type="dxa" w:w="240"/>
              <w:bottom w:type="dxa" w:w="180"/>
              <w:right w:type="dxa" w:w="240"/>
            </w:tcMar>
          </w:tcPr>
          <w:p>
            <w:pPr>
              <w:spacing w:before="60" w:after="60" w:line="276"/>
              <w:jc w:val="left"/>
            </w:pPr>
            <w:r>
              <w:rPr>
                <w:rFonts w:ascii="Arial" w:cs="Arial" w:eastAsia="Arial" w:hAnsi="Arial"/>
                <w:b/>
                <w:bCs/>
                <w:i w:val="false"/>
                <w:iCs w:val="false"/>
                <w:color w:val="FFFFFF"/>
                <w:sz w:val="24"/>
                <w:szCs w:val="24"/>
              </w:rPr>
              <w:t xml:space="preserve">PARTIE 2  —  TABLEAU DE SYNTHÈSE COMPLET : 42 FONCTIONNALITÉS</w:t>
            </w:r>
          </w:p>
        </w:tc>
      </w:tr>
    </w:tbl>
    <w:p>
      <w:pPr>
        <w:spacing w:before="120" w:after="0"/>
      </w:pPr>
      <w:r>
        <w:rPr>
          <w:rFonts w:ascii="Arial" w:cs="Arial" w:eastAsia="Arial" w:hAnsi="Arial"/>
          <w:b w:val="false"/>
          <w:bCs w:val="false"/>
          <w:i w:val="false"/>
          <w:iCs w:val="false"/>
          <w:color w:val="1C2533"/>
          <w:sz w:val="20"/>
          <w:szCs w:val="20"/>
        </w:rPr>
        <w:t xml:space="preserve"/>
      </w:r>
    </w:p>
    <w:p>
      <w:pPr>
        <w:pStyle w:val="Heading2"/>
        <w:pBdr>
          <w:bottom w:val="single" w:color="1A6BAE" w:sz="6" w:space="3"/>
        </w:pBdr>
        <w:spacing w:before="300" w:after="140"/>
      </w:pPr>
      <w:r>
        <w:rPr>
          <w:rFonts w:ascii="Arial" w:cs="Arial" w:eastAsia="Arial" w:hAnsi="Arial"/>
          <w:b/>
          <w:bCs/>
          <w:i w:val="false"/>
          <w:iCs w:val="false"/>
          <w:color w:val="1A6BAE"/>
          <w:sz w:val="27"/>
          <w:szCs w:val="27"/>
        </w:rPr>
        <w:t xml:space="preserve">2.1  Légende et grille de priorisation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E0E4EA" w:sz="1"/>
              <w:left w:val="single" w:color="E0E4EA" w:sz="1"/>
              <w:bottom w:val="single" w:color="E0E4EA" w:sz="1"/>
              <w:right w:val="single" w:color="E0E4EA" w:sz="1"/>
            </w:tcBorders>
            <w:shd w:fill="0D2B4E"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FFFFFF"/>
                <w:sz w:val="19"/>
                <w:szCs w:val="19"/>
              </w:rPr>
              <w:t xml:space="preserve">Priorité</w:t>
            </w:r>
          </w:p>
        </w:tc>
        <w:tc>
          <w:tcPr>
            <w:tcW w:type="dxa" w:w="2256"/>
            <w:tcBorders>
              <w:top w:val="single" w:color="E0E4EA" w:sz="1"/>
              <w:left w:val="single" w:color="E0E4EA" w:sz="1"/>
              <w:bottom w:val="single" w:color="E0E4EA" w:sz="1"/>
              <w:right w:val="single" w:color="E0E4EA" w:sz="1"/>
            </w:tcBorders>
            <w:shd w:fill="0D2B4E"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FFFFFF"/>
                <w:sz w:val="19"/>
                <w:szCs w:val="19"/>
              </w:rPr>
              <w:t xml:space="preserve">Signification</w:t>
            </w:r>
          </w:p>
        </w:tc>
        <w:tc>
          <w:tcPr>
            <w:tcW w:type="dxa" w:w="2256"/>
            <w:tcBorders>
              <w:top w:val="single" w:color="E0E4EA" w:sz="1"/>
              <w:left w:val="single" w:color="E0E4EA" w:sz="1"/>
              <w:bottom w:val="single" w:color="E0E4EA" w:sz="1"/>
              <w:right w:val="single" w:color="E0E4EA" w:sz="1"/>
            </w:tcBorders>
            <w:shd w:fill="0D2B4E"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FFFFFF"/>
                <w:sz w:val="19"/>
                <w:szCs w:val="19"/>
              </w:rPr>
              <w:t xml:space="preserve">Statut</w:t>
            </w:r>
          </w:p>
        </w:tc>
        <w:tc>
          <w:tcPr>
            <w:tcW w:type="dxa" w:w="2258"/>
            <w:tcBorders>
              <w:top w:val="single" w:color="E0E4EA" w:sz="1"/>
              <w:left w:val="single" w:color="E0E4EA" w:sz="1"/>
              <w:bottom w:val="single" w:color="E0E4EA" w:sz="1"/>
              <w:right w:val="single" w:color="E0E4EA" w:sz="1"/>
            </w:tcBorders>
            <w:shd w:fill="0D2B4E"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FFFFFF"/>
                <w:sz w:val="19"/>
                <w:szCs w:val="19"/>
              </w:rPr>
              <w:t xml:space="preserve">Signification</w:t>
            </w:r>
          </w:p>
        </w:tc>
      </w:tr>
      <w:tr>
        <w:tc>
          <w:tcPr>
            <w:tcW w:type="dxa" w:w="2256"/>
            <w:tcBorders>
              <w:top w:val="single" w:color="E0E4EA" w:sz="1"/>
              <w:left w:val="single" w:color="E0E4EA" w:sz="1"/>
              <w:bottom w:val="single" w:color="E0E4EA" w:sz="1"/>
              <w:right w:val="single" w:color="E0E4EA" w:sz="1"/>
            </w:tcBorders>
            <w:shd w:fill="FDECEA"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B71C1C"/>
                <w:sz w:val="19"/>
                <w:szCs w:val="19"/>
              </w:rPr>
              <w:t xml:space="preserve">STRATÉGIQUE</w:t>
            </w:r>
          </w:p>
        </w:tc>
        <w:tc>
          <w:tcPr>
            <w:tcW w:type="dxa" w:w="2256"/>
            <w:tcBorders>
              <w:top w:val="single" w:color="E0E4EA" w:sz="1"/>
              <w:left w:val="single" w:color="E0E4EA" w:sz="1"/>
              <w:bottom w:val="single" w:color="E0E4EA" w:sz="1"/>
              <w:right w:val="single" w:color="E0E4EA" w:sz="1"/>
            </w:tcBorders>
            <w:shd w:fill="FDECEA"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Différenciation concurrentielle majeure, avantage unique</w:t>
            </w:r>
          </w:p>
        </w:tc>
        <w:tc>
          <w:tcPr>
            <w:tcW w:type="dxa" w:w="2256"/>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8C96A3"/>
                <w:sz w:val="19"/>
                <w:szCs w:val="19"/>
              </w:rPr>
              <w:t xml:space="preserve">CONSOLIDÉ</w:t>
            </w:r>
          </w:p>
        </w:tc>
        <w:tc>
          <w:tcPr>
            <w:tcW w:type="dxa" w:w="2258"/>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Fonctionnalité issue du cahier des charges v1.0</w:t>
            </w:r>
          </w:p>
        </w:tc>
      </w:tr>
      <w:tr>
        <w:tc>
          <w:tcPr>
            <w:tcW w:type="dxa" w:w="2256"/>
            <w:tcBorders>
              <w:top w:val="single" w:color="E0E4EA" w:sz="1"/>
              <w:left w:val="single" w:color="E0E4EA" w:sz="1"/>
              <w:bottom w:val="single" w:color="E0E4EA" w:sz="1"/>
              <w:right w:val="single" w:color="E0E4EA" w:sz="1"/>
            </w:tcBorders>
            <w:shd w:fill="FDF0E6"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D4600A"/>
                <w:sz w:val="19"/>
                <w:szCs w:val="19"/>
              </w:rPr>
              <w:t xml:space="preserve">HAUTE</w:t>
            </w:r>
          </w:p>
        </w:tc>
        <w:tc>
          <w:tcPr>
            <w:tcW w:type="dxa" w:w="2256"/>
            <w:tcBorders>
              <w:top w:val="single" w:color="E0E4EA" w:sz="1"/>
              <w:left w:val="single" w:color="E0E4EA" w:sz="1"/>
              <w:bottom w:val="single" w:color="E0E4EA" w:sz="1"/>
              <w:right w:val="single" w:color="E0E4EA" w:sz="1"/>
            </w:tcBorders>
            <w:shd w:fill="FDF0E6"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Forte valeur ajoutée, attendue par les clients</w:t>
            </w:r>
          </w:p>
        </w:tc>
        <w:tc>
          <w:tcPr>
            <w:tcW w:type="dxa" w:w="2256"/>
            <w:tcBorders>
              <w:top w:val="single" w:color="E0E4EA" w:sz="1"/>
              <w:left w:val="single" w:color="E0E4EA" w:sz="1"/>
              <w:bottom w:val="single" w:color="E0E4EA" w:sz="1"/>
              <w:right w:val="single" w:color="E0E4EA" w:sz="1"/>
            </w:tcBorders>
            <w:shd w:fill="D4EDEC"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0E7C7B"/>
                <w:sz w:val="19"/>
                <w:szCs w:val="19"/>
              </w:rPr>
              <w:t xml:space="preserve">ENRICHI</w:t>
            </w:r>
          </w:p>
        </w:tc>
        <w:tc>
          <w:tcPr>
            <w:tcW w:type="dxa" w:w="2258"/>
            <w:tcBorders>
              <w:top w:val="single" w:color="E0E4EA" w:sz="1"/>
              <w:left w:val="single" w:color="E0E4EA" w:sz="1"/>
              <w:bottom w:val="single" w:color="E0E4EA" w:sz="1"/>
              <w:right w:val="single" w:color="E0E4EA" w:sz="1"/>
            </w:tcBorders>
            <w:shd w:fill="D4EDEC"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Fonctionnalité élargie par l'analyse approfondie</w:t>
            </w:r>
          </w:p>
        </w:tc>
      </w:tr>
      <w:tr>
        <w:tc>
          <w:tcPr>
            <w:tcW w:type="dxa" w:w="2256"/>
            <w:tcBorders>
              <w:top w:val="single" w:color="E0E4EA" w:sz="1"/>
              <w:left w:val="single" w:color="E0E4EA" w:sz="1"/>
              <w:bottom w:val="single" w:color="E0E4EA" w:sz="1"/>
              <w:right w:val="single" w:color="E0E4EA" w:sz="1"/>
            </w:tcBorders>
            <w:shd w:fill="D6E8F7"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1A6BAE"/>
                <w:sz w:val="19"/>
                <w:szCs w:val="19"/>
              </w:rPr>
              <w:t xml:space="preserve">MOYENNE</w:t>
            </w:r>
          </w:p>
        </w:tc>
        <w:tc>
          <w:tcPr>
            <w:tcW w:type="dxa" w:w="2256"/>
            <w:tcBorders>
              <w:top w:val="single" w:color="E0E4EA" w:sz="1"/>
              <w:left w:val="single" w:color="E0E4EA" w:sz="1"/>
              <w:bottom w:val="single" w:color="E0E4EA" w:sz="1"/>
              <w:right w:val="single" w:color="E0E4EA" w:sz="1"/>
            </w:tcBorders>
            <w:shd w:fill="D6E8F7"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Valeur certaine, planifiable à moyen terme</w:t>
            </w:r>
          </w:p>
        </w:tc>
        <w:tc>
          <w:tcPr>
            <w:tcW w:type="dxa" w:w="2256"/>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5E1A8A"/>
                <w:sz w:val="19"/>
                <w:szCs w:val="19"/>
              </w:rPr>
              <w:t xml:space="preserve">NOUVEAU</w:t>
            </w:r>
          </w:p>
        </w:tc>
        <w:tc>
          <w:tcPr>
            <w:tcW w:type="dxa" w:w="2258"/>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Fonctionnalité issue exclusivement de l'analyse approfondie</w:t>
            </w:r>
          </w:p>
        </w:tc>
      </w:tr>
    </w:tbl>
    <w:p>
      <w:pPr>
        <w:spacing w:before="160" w:after="0"/>
      </w:pPr>
      <w:r>
        <w:rPr>
          <w:rFonts w:ascii="Arial" w:cs="Arial" w:eastAsia="Arial" w:hAnsi="Arial"/>
          <w:b w:val="false"/>
          <w:bCs w:val="false"/>
          <w:i w:val="false"/>
          <w:iCs w:val="false"/>
          <w:color w:val="1C2533"/>
          <w:sz w:val="20"/>
          <w:szCs w:val="20"/>
        </w:rPr>
        <w:t xml:space="preserve"/>
      </w:r>
    </w:p>
    <w:p>
      <w:pPr>
        <w:pStyle w:val="Heading2"/>
        <w:pBdr>
          <w:bottom w:val="single" w:color="1A6BAE" w:sz="6" w:space="3"/>
        </w:pBdr>
        <w:spacing w:before="300" w:after="140"/>
      </w:pPr>
      <w:r>
        <w:rPr>
          <w:rFonts w:ascii="Arial" w:cs="Arial" w:eastAsia="Arial" w:hAnsi="Arial"/>
          <w:b/>
          <w:bCs/>
          <w:i w:val="false"/>
          <w:iCs w:val="false"/>
          <w:color w:val="1A6BAE"/>
          <w:sz w:val="27"/>
          <w:szCs w:val="27"/>
        </w:rPr>
        <w:t xml:space="preserve">2.2  Les 42 fonctionnalités de la GMAO de référence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1400"/>
        <w:gridCol w:w="1100"/>
        <w:gridCol w:w="900"/>
        <w:gridCol w:w="1726"/>
      </w:tblGrid>
      <w:tr>
        <w:tc>
          <w:tcPr>
            <w:tcW w:type="dxa" w:w="700"/>
            <w:tcBorders>
              <w:top w:val="single" w:color="E0E4EA" w:sz="1"/>
              <w:left w:val="single" w:color="E0E4EA" w:sz="1"/>
              <w:bottom w:val="single" w:color="E0E4EA" w:sz="1"/>
              <w:right w:val="single" w:color="E0E4EA" w:sz="1"/>
            </w:tcBorders>
            <w:shd w:fill="0D2B4E"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FFFFFF"/>
                <w:sz w:val="19"/>
                <w:szCs w:val="19"/>
              </w:rPr>
              <w:t xml:space="preserve">Code</w:t>
            </w:r>
          </w:p>
        </w:tc>
        <w:tc>
          <w:tcPr>
            <w:tcW w:type="dxa" w:w="3200"/>
            <w:tcBorders>
              <w:top w:val="single" w:color="E0E4EA" w:sz="1"/>
              <w:left w:val="single" w:color="E0E4EA" w:sz="1"/>
              <w:bottom w:val="single" w:color="E0E4EA" w:sz="1"/>
              <w:right w:val="single" w:color="E0E4EA" w:sz="1"/>
            </w:tcBorders>
            <w:shd w:fill="0D2B4E"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FFFFFF"/>
                <w:sz w:val="19"/>
                <w:szCs w:val="19"/>
              </w:rPr>
              <w:t xml:space="preserve">Fonctionnalité</w:t>
            </w:r>
          </w:p>
        </w:tc>
        <w:tc>
          <w:tcPr>
            <w:tcW w:type="dxa" w:w="1400"/>
            <w:tcBorders>
              <w:top w:val="single" w:color="E0E4EA" w:sz="1"/>
              <w:left w:val="single" w:color="E0E4EA" w:sz="1"/>
              <w:bottom w:val="single" w:color="E0E4EA" w:sz="1"/>
              <w:right w:val="single" w:color="E0E4EA" w:sz="1"/>
            </w:tcBorders>
            <w:shd w:fill="0D2B4E"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FFFFFF"/>
                <w:sz w:val="19"/>
                <w:szCs w:val="19"/>
              </w:rPr>
              <w:t xml:space="preserve">Module</w:t>
            </w:r>
          </w:p>
        </w:tc>
        <w:tc>
          <w:tcPr>
            <w:tcW w:type="dxa" w:w="1100"/>
            <w:tcBorders>
              <w:top w:val="single" w:color="E0E4EA" w:sz="1"/>
              <w:left w:val="single" w:color="E0E4EA" w:sz="1"/>
              <w:bottom w:val="single" w:color="E0E4EA" w:sz="1"/>
              <w:right w:val="single" w:color="E0E4EA" w:sz="1"/>
            </w:tcBorders>
            <w:shd w:fill="0D2B4E"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FFFFFF"/>
                <w:sz w:val="19"/>
                <w:szCs w:val="19"/>
              </w:rPr>
              <w:t xml:space="preserve">Priorité</w:t>
            </w:r>
          </w:p>
        </w:tc>
        <w:tc>
          <w:tcPr>
            <w:tcW w:type="dxa" w:w="900"/>
            <w:tcBorders>
              <w:top w:val="single" w:color="E0E4EA" w:sz="1"/>
              <w:left w:val="single" w:color="E0E4EA" w:sz="1"/>
              <w:bottom w:val="single" w:color="E0E4EA" w:sz="1"/>
              <w:right w:val="single" w:color="E0E4EA" w:sz="1"/>
            </w:tcBorders>
            <w:shd w:fill="0D2B4E"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FFFFFF"/>
                <w:sz w:val="19"/>
                <w:szCs w:val="19"/>
              </w:rPr>
              <w:t xml:space="preserve">Phase</w:t>
            </w:r>
          </w:p>
        </w:tc>
        <w:tc>
          <w:tcPr>
            <w:tcW w:type="dxa" w:w="1726"/>
            <w:tcBorders>
              <w:top w:val="single" w:color="E0E4EA" w:sz="1"/>
              <w:left w:val="single" w:color="E0E4EA" w:sz="1"/>
              <w:bottom w:val="single" w:color="E0E4EA" w:sz="1"/>
              <w:right w:val="single" w:color="E0E4EA" w:sz="1"/>
            </w:tcBorders>
            <w:shd w:fill="0D2B4E"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FFFFFF"/>
                <w:sz w:val="19"/>
                <w:szCs w:val="19"/>
              </w:rPr>
              <w:t xml:space="preserve">Statut</w:t>
            </w:r>
          </w:p>
        </w:tc>
      </w:tr>
      <w:tr>
        <w:tc>
          <w:tcPr>
            <w:tcW w:type="dxa" w:w="7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B71C1C"/>
                <w:sz w:val="18"/>
                <w:szCs w:val="18"/>
              </w:rPr>
              <w:t xml:space="preserve">F01</w:t>
            </w:r>
          </w:p>
        </w:tc>
        <w:tc>
          <w:tcPr>
            <w:tcW w:type="dxa" w:w="32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Aide au Diagnostic des Pannes (IA)</w:t>
            </w:r>
          </w:p>
        </w:tc>
        <w:tc>
          <w:tcPr>
            <w:tcW w:type="dxa" w:w="14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Interventions</w:t>
            </w:r>
          </w:p>
        </w:tc>
        <w:tc>
          <w:tcPr>
            <w:tcW w:type="dxa" w:w="11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B71C1C"/>
                <w:sz w:val="17"/>
                <w:szCs w:val="17"/>
              </w:rPr>
              <w:t xml:space="preserve">STRATÉGIQUE</w:t>
            </w:r>
          </w:p>
        </w:tc>
        <w:tc>
          <w:tcPr>
            <w:tcW w:type="dxa" w:w="9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Ph.1</w:t>
            </w:r>
          </w:p>
        </w:tc>
        <w:tc>
          <w:tcPr>
            <w:tcW w:type="dxa" w:w="1726"/>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8C96A3"/>
                <w:sz w:val="17"/>
                <w:szCs w:val="17"/>
              </w:rPr>
              <w:t xml:space="preserve">CONSOLIDÉ</w:t>
            </w:r>
          </w:p>
        </w:tc>
      </w:tr>
      <w:tr>
        <w:tc>
          <w:tcPr>
            <w:tcW w:type="dxa" w:w="7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D4600A"/>
                <w:sz w:val="18"/>
                <w:szCs w:val="18"/>
              </w:rPr>
              <w:t xml:space="preserve">F02</w:t>
            </w:r>
          </w:p>
        </w:tc>
        <w:tc>
          <w:tcPr>
            <w:tcW w:type="dxa" w:w="32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Modèles de Bons de Travail</w:t>
            </w:r>
          </w:p>
        </w:tc>
        <w:tc>
          <w:tcPr>
            <w:tcW w:type="dxa" w:w="14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Interventions</w:t>
            </w:r>
          </w:p>
        </w:tc>
        <w:tc>
          <w:tcPr>
            <w:tcW w:type="dxa" w:w="11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D4600A"/>
                <w:sz w:val="17"/>
                <w:szCs w:val="17"/>
              </w:rPr>
              <w:t xml:space="preserve">HAUTE</w:t>
            </w:r>
          </w:p>
        </w:tc>
        <w:tc>
          <w:tcPr>
            <w:tcW w:type="dxa" w:w="9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Ph.1</w:t>
            </w:r>
          </w:p>
        </w:tc>
        <w:tc>
          <w:tcPr>
            <w:tcW w:type="dxa" w:w="1726"/>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8C96A3"/>
                <w:sz w:val="17"/>
                <w:szCs w:val="17"/>
              </w:rPr>
              <w:t xml:space="preserve">CONSOLIDÉ</w:t>
            </w:r>
          </w:p>
        </w:tc>
      </w:tr>
      <w:tr>
        <w:tc>
          <w:tcPr>
            <w:tcW w:type="dxa" w:w="7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D4600A"/>
                <w:sz w:val="18"/>
                <w:szCs w:val="18"/>
              </w:rPr>
              <w:t xml:space="preserve">F03</w:t>
            </w:r>
          </w:p>
        </w:tc>
        <w:tc>
          <w:tcPr>
            <w:tcW w:type="dxa" w:w="32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Procédures &amp; Gammes Enrichies</w:t>
            </w:r>
          </w:p>
        </w:tc>
        <w:tc>
          <w:tcPr>
            <w:tcW w:type="dxa" w:w="14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Planification</w:t>
            </w:r>
          </w:p>
        </w:tc>
        <w:tc>
          <w:tcPr>
            <w:tcW w:type="dxa" w:w="11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D4600A"/>
                <w:sz w:val="17"/>
                <w:szCs w:val="17"/>
              </w:rPr>
              <w:t xml:space="preserve">HAUTE</w:t>
            </w:r>
          </w:p>
        </w:tc>
        <w:tc>
          <w:tcPr>
            <w:tcW w:type="dxa" w:w="9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Ph.2</w:t>
            </w:r>
          </w:p>
        </w:tc>
        <w:tc>
          <w:tcPr>
            <w:tcW w:type="dxa" w:w="1726"/>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8C96A3"/>
                <w:sz w:val="17"/>
                <w:szCs w:val="17"/>
              </w:rPr>
              <w:t xml:space="preserve">CONSOLIDÉ</w:t>
            </w:r>
          </w:p>
        </w:tc>
      </w:tr>
      <w:tr>
        <w:tc>
          <w:tcPr>
            <w:tcW w:type="dxa" w:w="7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D4600A"/>
                <w:sz w:val="18"/>
                <w:szCs w:val="18"/>
              </w:rPr>
              <w:t xml:space="preserve">F04</w:t>
            </w:r>
          </w:p>
        </w:tc>
        <w:tc>
          <w:tcPr>
            <w:tcW w:type="dxa" w:w="32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Ordres de Travail Récurrents Avancés</w:t>
            </w:r>
          </w:p>
        </w:tc>
        <w:tc>
          <w:tcPr>
            <w:tcW w:type="dxa" w:w="14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Planification</w:t>
            </w:r>
          </w:p>
        </w:tc>
        <w:tc>
          <w:tcPr>
            <w:tcW w:type="dxa" w:w="11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D4600A"/>
                <w:sz w:val="17"/>
                <w:szCs w:val="17"/>
              </w:rPr>
              <w:t xml:space="preserve">HAUTE</w:t>
            </w:r>
          </w:p>
        </w:tc>
        <w:tc>
          <w:tcPr>
            <w:tcW w:type="dxa" w:w="9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Ph.1</w:t>
            </w:r>
          </w:p>
        </w:tc>
        <w:tc>
          <w:tcPr>
            <w:tcW w:type="dxa" w:w="1726"/>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8C96A3"/>
                <w:sz w:val="17"/>
                <w:szCs w:val="17"/>
              </w:rPr>
              <w:t xml:space="preserve">CONSOLIDÉ</w:t>
            </w:r>
          </w:p>
        </w:tc>
      </w:tr>
      <w:tr>
        <w:tc>
          <w:tcPr>
            <w:tcW w:type="dxa" w:w="7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B71C1C"/>
                <w:sz w:val="18"/>
                <w:szCs w:val="18"/>
              </w:rPr>
              <w:t xml:space="preserve">F05</w:t>
            </w:r>
          </w:p>
        </w:tc>
        <w:tc>
          <w:tcPr>
            <w:tcW w:type="dxa" w:w="32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Détection d'Anomalies par IA</w:t>
            </w:r>
          </w:p>
        </w:tc>
        <w:tc>
          <w:tcPr>
            <w:tcW w:type="dxa" w:w="14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Analytics/IA</w:t>
            </w:r>
          </w:p>
        </w:tc>
        <w:tc>
          <w:tcPr>
            <w:tcW w:type="dxa" w:w="11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B71C1C"/>
                <w:sz w:val="17"/>
                <w:szCs w:val="17"/>
              </w:rPr>
              <w:t xml:space="preserve">STRATÉGIQUE</w:t>
            </w:r>
          </w:p>
        </w:tc>
        <w:tc>
          <w:tcPr>
            <w:tcW w:type="dxa" w:w="9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Ph.3</w:t>
            </w:r>
          </w:p>
        </w:tc>
        <w:tc>
          <w:tcPr>
            <w:tcW w:type="dxa" w:w="1726"/>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8C96A3"/>
                <w:sz w:val="17"/>
                <w:szCs w:val="17"/>
              </w:rPr>
              <w:t xml:space="preserve">CONSOLIDÉ</w:t>
            </w:r>
          </w:p>
        </w:tc>
      </w:tr>
      <w:tr>
        <w:tc>
          <w:tcPr>
            <w:tcW w:type="dxa" w:w="7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D4600A"/>
                <w:sz w:val="18"/>
                <w:szCs w:val="18"/>
              </w:rPr>
              <w:t xml:space="preserve">F06</w:t>
            </w:r>
          </w:p>
        </w:tc>
        <w:tc>
          <w:tcPr>
            <w:tcW w:type="dxa" w:w="32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Portail Requérant</w:t>
            </w:r>
          </w:p>
        </w:tc>
        <w:tc>
          <w:tcPr>
            <w:tcW w:type="dxa" w:w="14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Interventions</w:t>
            </w:r>
          </w:p>
        </w:tc>
        <w:tc>
          <w:tcPr>
            <w:tcW w:type="dxa" w:w="11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D4600A"/>
                <w:sz w:val="17"/>
                <w:szCs w:val="17"/>
              </w:rPr>
              <w:t xml:space="preserve">HAUTE</w:t>
            </w:r>
          </w:p>
        </w:tc>
        <w:tc>
          <w:tcPr>
            <w:tcW w:type="dxa" w:w="9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Ph.1</w:t>
            </w:r>
          </w:p>
        </w:tc>
        <w:tc>
          <w:tcPr>
            <w:tcW w:type="dxa" w:w="1726"/>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8C96A3"/>
                <w:sz w:val="17"/>
                <w:szCs w:val="17"/>
              </w:rPr>
              <w:t xml:space="preserve">CONSOLIDÉ</w:t>
            </w:r>
          </w:p>
        </w:tc>
      </w:tr>
      <w:tr>
        <w:tc>
          <w:tcPr>
            <w:tcW w:type="dxa" w:w="7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1A6BAE"/>
                <w:sz w:val="18"/>
                <w:szCs w:val="18"/>
              </w:rPr>
              <w:t xml:space="preserve">F07</w:t>
            </w:r>
          </w:p>
        </w:tc>
        <w:tc>
          <w:tcPr>
            <w:tcW w:type="dxa" w:w="32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SSO / Authentification Centralisée</w:t>
            </w:r>
          </w:p>
        </w:tc>
        <w:tc>
          <w:tcPr>
            <w:tcW w:type="dxa" w:w="14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Administration</w:t>
            </w:r>
          </w:p>
        </w:tc>
        <w:tc>
          <w:tcPr>
            <w:tcW w:type="dxa" w:w="11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1A6BAE"/>
                <w:sz w:val="17"/>
                <w:szCs w:val="17"/>
              </w:rPr>
              <w:t xml:space="preserve">MOYENNE</w:t>
            </w:r>
          </w:p>
        </w:tc>
        <w:tc>
          <w:tcPr>
            <w:tcW w:type="dxa" w:w="9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Ph.2</w:t>
            </w:r>
          </w:p>
        </w:tc>
        <w:tc>
          <w:tcPr>
            <w:tcW w:type="dxa" w:w="1726"/>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8C96A3"/>
                <w:sz w:val="17"/>
                <w:szCs w:val="17"/>
              </w:rPr>
              <w:t xml:space="preserve">CONSOLIDÉ</w:t>
            </w:r>
          </w:p>
        </w:tc>
      </w:tr>
      <w:tr>
        <w:tc>
          <w:tcPr>
            <w:tcW w:type="dxa" w:w="7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D4600A"/>
                <w:sz w:val="18"/>
                <w:szCs w:val="18"/>
              </w:rPr>
              <w:t xml:space="preserve">F08</w:t>
            </w:r>
          </w:p>
        </w:tc>
        <w:tc>
          <w:tcPr>
            <w:tcW w:type="dxa" w:w="32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Report Builder</w:t>
            </w:r>
          </w:p>
        </w:tc>
        <w:tc>
          <w:tcPr>
            <w:tcW w:type="dxa" w:w="14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Éditions</w:t>
            </w:r>
          </w:p>
        </w:tc>
        <w:tc>
          <w:tcPr>
            <w:tcW w:type="dxa" w:w="11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D4600A"/>
                <w:sz w:val="17"/>
                <w:szCs w:val="17"/>
              </w:rPr>
              <w:t xml:space="preserve">HAUTE</w:t>
            </w:r>
          </w:p>
        </w:tc>
        <w:tc>
          <w:tcPr>
            <w:tcW w:type="dxa" w:w="9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Ph.2</w:t>
            </w:r>
          </w:p>
        </w:tc>
        <w:tc>
          <w:tcPr>
            <w:tcW w:type="dxa" w:w="1726"/>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8C96A3"/>
                <w:sz w:val="17"/>
                <w:szCs w:val="17"/>
              </w:rPr>
              <w:t xml:space="preserve">CONSOLIDÉ</w:t>
            </w:r>
          </w:p>
        </w:tc>
      </w:tr>
      <w:tr>
        <w:tc>
          <w:tcPr>
            <w:tcW w:type="dxa" w:w="7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1A6BAE"/>
                <w:sz w:val="18"/>
                <w:szCs w:val="18"/>
              </w:rPr>
              <w:t xml:space="preserve">F09</w:t>
            </w:r>
          </w:p>
        </w:tc>
        <w:tc>
          <w:tcPr>
            <w:tcW w:type="dxa" w:w="32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Tableaux de Bord Personnalisables</w:t>
            </w:r>
          </w:p>
        </w:tc>
        <w:tc>
          <w:tcPr>
            <w:tcW w:type="dxa" w:w="14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Analytics</w:t>
            </w:r>
          </w:p>
        </w:tc>
        <w:tc>
          <w:tcPr>
            <w:tcW w:type="dxa" w:w="11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1A6BAE"/>
                <w:sz w:val="17"/>
                <w:szCs w:val="17"/>
              </w:rPr>
              <w:t xml:space="preserve">MOYENNE</w:t>
            </w:r>
          </w:p>
        </w:tc>
        <w:tc>
          <w:tcPr>
            <w:tcW w:type="dxa" w:w="9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Ph.2</w:t>
            </w:r>
          </w:p>
        </w:tc>
        <w:tc>
          <w:tcPr>
            <w:tcW w:type="dxa" w:w="1726"/>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8C96A3"/>
                <w:sz w:val="17"/>
                <w:szCs w:val="17"/>
              </w:rPr>
              <w:t xml:space="preserve">CONSOLIDÉ</w:t>
            </w:r>
          </w:p>
        </w:tc>
      </w:tr>
      <w:tr>
        <w:tc>
          <w:tcPr>
            <w:tcW w:type="dxa" w:w="7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1A6BAE"/>
                <w:sz w:val="18"/>
                <w:szCs w:val="18"/>
              </w:rPr>
              <w:t xml:space="preserve">F10</w:t>
            </w:r>
          </w:p>
        </w:tc>
        <w:tc>
          <w:tcPr>
            <w:tcW w:type="dxa" w:w="32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Comptages Cycliques de Stock</w:t>
            </w:r>
          </w:p>
        </w:tc>
        <w:tc>
          <w:tcPr>
            <w:tcW w:type="dxa" w:w="14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Stock</w:t>
            </w:r>
          </w:p>
        </w:tc>
        <w:tc>
          <w:tcPr>
            <w:tcW w:type="dxa" w:w="11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1A6BAE"/>
                <w:sz w:val="17"/>
                <w:szCs w:val="17"/>
              </w:rPr>
              <w:t xml:space="preserve">MOYENNE</w:t>
            </w:r>
          </w:p>
        </w:tc>
        <w:tc>
          <w:tcPr>
            <w:tcW w:type="dxa" w:w="9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Ph.1</w:t>
            </w:r>
          </w:p>
        </w:tc>
        <w:tc>
          <w:tcPr>
            <w:tcW w:type="dxa" w:w="1726"/>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8C96A3"/>
                <w:sz w:val="17"/>
                <w:szCs w:val="17"/>
              </w:rPr>
              <w:t xml:space="preserve">CONSOLIDÉ</w:t>
            </w:r>
          </w:p>
        </w:tc>
      </w:tr>
      <w:tr>
        <w:tc>
          <w:tcPr>
            <w:tcW w:type="dxa" w:w="7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D4600A"/>
                <w:sz w:val="18"/>
                <w:szCs w:val="18"/>
              </w:rPr>
              <w:t xml:space="preserve">F11</w:t>
            </w:r>
          </w:p>
        </w:tc>
        <w:tc>
          <w:tcPr>
            <w:tcW w:type="dxa" w:w="32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Relevés Compteurs &amp; IoT</w:t>
            </w:r>
          </w:p>
        </w:tc>
        <w:tc>
          <w:tcPr>
            <w:tcW w:type="dxa" w:w="14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Planification</w:t>
            </w:r>
          </w:p>
        </w:tc>
        <w:tc>
          <w:tcPr>
            <w:tcW w:type="dxa" w:w="11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D4600A"/>
                <w:sz w:val="17"/>
                <w:szCs w:val="17"/>
              </w:rPr>
              <w:t xml:space="preserve">HAUTE</w:t>
            </w:r>
          </w:p>
        </w:tc>
        <w:tc>
          <w:tcPr>
            <w:tcW w:type="dxa" w:w="9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Ph.3</w:t>
            </w:r>
          </w:p>
        </w:tc>
        <w:tc>
          <w:tcPr>
            <w:tcW w:type="dxa" w:w="1726"/>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8C96A3"/>
                <w:sz w:val="17"/>
                <w:szCs w:val="17"/>
              </w:rPr>
              <w:t xml:space="preserve">CONSOLIDÉ</w:t>
            </w:r>
          </w:p>
        </w:tc>
      </w:tr>
      <w:tr>
        <w:tc>
          <w:tcPr>
            <w:tcW w:type="dxa" w:w="7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B71C1C"/>
                <w:sz w:val="18"/>
                <w:szCs w:val="18"/>
              </w:rPr>
              <w:t xml:space="preserve">F12</w:t>
            </w:r>
          </w:p>
        </w:tc>
        <w:tc>
          <w:tcPr>
            <w:tcW w:type="dxa" w:w="32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Moteur d'Automatisation de Flux</w:t>
            </w:r>
          </w:p>
        </w:tc>
        <w:tc>
          <w:tcPr>
            <w:tcW w:type="dxa" w:w="14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Administration</w:t>
            </w:r>
          </w:p>
        </w:tc>
        <w:tc>
          <w:tcPr>
            <w:tcW w:type="dxa" w:w="11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B71C1C"/>
                <w:sz w:val="17"/>
                <w:szCs w:val="17"/>
              </w:rPr>
              <w:t xml:space="preserve">STRATÉGIQUE</w:t>
            </w:r>
          </w:p>
        </w:tc>
        <w:tc>
          <w:tcPr>
            <w:tcW w:type="dxa" w:w="9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Ph.3</w:t>
            </w:r>
          </w:p>
        </w:tc>
        <w:tc>
          <w:tcPr>
            <w:tcW w:type="dxa" w:w="1726"/>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8C96A3"/>
                <w:sz w:val="17"/>
                <w:szCs w:val="17"/>
              </w:rPr>
              <w:t xml:space="preserve">CONSOLIDÉ</w:t>
            </w:r>
          </w:p>
        </w:tc>
      </w:tr>
      <w:tr>
        <w:tc>
          <w:tcPr>
            <w:tcW w:type="dxa" w:w="7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1A6BAE"/>
                <w:sz w:val="18"/>
                <w:szCs w:val="18"/>
              </w:rPr>
              <w:t xml:space="preserve">F13</w:t>
            </w:r>
          </w:p>
        </w:tc>
        <w:tc>
          <w:tcPr>
            <w:tcW w:type="dxa" w:w="32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Amortissements d'Actifs</w:t>
            </w:r>
          </w:p>
        </w:tc>
        <w:tc>
          <w:tcPr>
            <w:tcW w:type="dxa" w:w="14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Finance</w:t>
            </w:r>
          </w:p>
        </w:tc>
        <w:tc>
          <w:tcPr>
            <w:tcW w:type="dxa" w:w="11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1A6BAE"/>
                <w:sz w:val="17"/>
                <w:szCs w:val="17"/>
              </w:rPr>
              <w:t xml:space="preserve">MOYENNE</w:t>
            </w:r>
          </w:p>
        </w:tc>
        <w:tc>
          <w:tcPr>
            <w:tcW w:type="dxa" w:w="9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Ph.2</w:t>
            </w:r>
          </w:p>
        </w:tc>
        <w:tc>
          <w:tcPr>
            <w:tcW w:type="dxa" w:w="1726"/>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8C96A3"/>
                <w:sz w:val="17"/>
                <w:szCs w:val="17"/>
              </w:rPr>
              <w:t xml:space="preserve">CONSOLIDÉ</w:t>
            </w:r>
          </w:p>
        </w:tc>
      </w:tr>
      <w:tr>
        <w:tc>
          <w:tcPr>
            <w:tcW w:type="dxa" w:w="7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1A6BAE"/>
                <w:sz w:val="18"/>
                <w:szCs w:val="18"/>
              </w:rPr>
              <w:t xml:space="preserve">F14</w:t>
            </w:r>
          </w:p>
        </w:tc>
        <w:tc>
          <w:tcPr>
            <w:tcW w:type="dxa" w:w="32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Gestion Documentaire (DMS)</w:t>
            </w:r>
          </w:p>
        </w:tc>
        <w:tc>
          <w:tcPr>
            <w:tcW w:type="dxa" w:w="14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Nomenclature</w:t>
            </w:r>
          </w:p>
        </w:tc>
        <w:tc>
          <w:tcPr>
            <w:tcW w:type="dxa" w:w="11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1A6BAE"/>
                <w:sz w:val="17"/>
                <w:szCs w:val="17"/>
              </w:rPr>
              <w:t xml:space="preserve">MOYENNE</w:t>
            </w:r>
          </w:p>
        </w:tc>
        <w:tc>
          <w:tcPr>
            <w:tcW w:type="dxa" w:w="9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Ph.2</w:t>
            </w:r>
          </w:p>
        </w:tc>
        <w:tc>
          <w:tcPr>
            <w:tcW w:type="dxa" w:w="1726"/>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8C96A3"/>
                <w:sz w:val="17"/>
                <w:szCs w:val="17"/>
              </w:rPr>
              <w:t xml:space="preserve">CONSOLIDÉ</w:t>
            </w:r>
          </w:p>
        </w:tc>
      </w:tr>
      <w:tr>
        <w:tc>
          <w:tcPr>
            <w:tcW w:type="dxa" w:w="7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D4600A"/>
                <w:sz w:val="18"/>
                <w:szCs w:val="18"/>
              </w:rPr>
              <w:t xml:space="preserve">F15</w:t>
            </w:r>
          </w:p>
        </w:tc>
        <w:tc>
          <w:tcPr>
            <w:tcW w:type="dxa" w:w="32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Planning Équipements (Gantt)</w:t>
            </w:r>
          </w:p>
        </w:tc>
        <w:tc>
          <w:tcPr>
            <w:tcW w:type="dxa" w:w="14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Données de base</w:t>
            </w:r>
          </w:p>
        </w:tc>
        <w:tc>
          <w:tcPr>
            <w:tcW w:type="dxa" w:w="11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D4600A"/>
                <w:sz w:val="17"/>
                <w:szCs w:val="17"/>
              </w:rPr>
              <w:t xml:space="preserve">HAUTE</w:t>
            </w:r>
          </w:p>
        </w:tc>
        <w:tc>
          <w:tcPr>
            <w:tcW w:type="dxa" w:w="9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Ph.1</w:t>
            </w:r>
          </w:p>
        </w:tc>
        <w:tc>
          <w:tcPr>
            <w:tcW w:type="dxa" w:w="1726"/>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8C96A3"/>
                <w:sz w:val="17"/>
                <w:szCs w:val="17"/>
              </w:rPr>
              <w:t xml:space="preserve">CONSOLIDÉ</w:t>
            </w:r>
          </w:p>
        </w:tc>
      </w:tr>
      <w:tr>
        <w:tc>
          <w:tcPr>
            <w:tcW w:type="dxa" w:w="7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D4600A"/>
                <w:sz w:val="18"/>
                <w:szCs w:val="18"/>
              </w:rPr>
              <w:t xml:space="preserve">F16</w:t>
            </w:r>
          </w:p>
        </w:tc>
        <w:tc>
          <w:tcPr>
            <w:tcW w:type="dxa" w:w="32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Planning &amp; Transfert Charge Intervenants</w:t>
            </w:r>
          </w:p>
        </w:tc>
        <w:tc>
          <w:tcPr>
            <w:tcW w:type="dxa" w:w="14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Planification</w:t>
            </w:r>
          </w:p>
        </w:tc>
        <w:tc>
          <w:tcPr>
            <w:tcW w:type="dxa" w:w="11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D4600A"/>
                <w:sz w:val="17"/>
                <w:szCs w:val="17"/>
              </w:rPr>
              <w:t xml:space="preserve">HAUTE</w:t>
            </w:r>
          </w:p>
        </w:tc>
        <w:tc>
          <w:tcPr>
            <w:tcW w:type="dxa" w:w="9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Ph.1</w:t>
            </w:r>
          </w:p>
        </w:tc>
        <w:tc>
          <w:tcPr>
            <w:tcW w:type="dxa" w:w="1726"/>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8C96A3"/>
                <w:sz w:val="17"/>
                <w:szCs w:val="17"/>
              </w:rPr>
              <w:t xml:space="preserve">CONSOLIDÉ</w:t>
            </w:r>
          </w:p>
        </w:tc>
      </w:tr>
      <w:tr>
        <w:tc>
          <w:tcPr>
            <w:tcW w:type="dxa" w:w="7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D4600A"/>
                <w:sz w:val="18"/>
                <w:szCs w:val="18"/>
              </w:rPr>
              <w:t xml:space="preserve">F17</w:t>
            </w:r>
          </w:p>
        </w:tc>
        <w:tc>
          <w:tcPr>
            <w:tcW w:type="dxa" w:w="32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Workflow Validation Interventions</w:t>
            </w:r>
          </w:p>
        </w:tc>
        <w:tc>
          <w:tcPr>
            <w:tcW w:type="dxa" w:w="14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Interventions</w:t>
            </w:r>
          </w:p>
        </w:tc>
        <w:tc>
          <w:tcPr>
            <w:tcW w:type="dxa" w:w="11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D4600A"/>
                <w:sz w:val="17"/>
                <w:szCs w:val="17"/>
              </w:rPr>
              <w:t xml:space="preserve">HAUTE</w:t>
            </w:r>
          </w:p>
        </w:tc>
        <w:tc>
          <w:tcPr>
            <w:tcW w:type="dxa" w:w="9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Ph.2</w:t>
            </w:r>
          </w:p>
        </w:tc>
        <w:tc>
          <w:tcPr>
            <w:tcW w:type="dxa" w:w="1726"/>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8C96A3"/>
                <w:sz w:val="17"/>
                <w:szCs w:val="17"/>
              </w:rPr>
              <w:t xml:space="preserve">CONSOLIDÉ</w:t>
            </w:r>
          </w:p>
        </w:tc>
      </w:tr>
      <w:tr>
        <w:tc>
          <w:tcPr>
            <w:tcW w:type="dxa" w:w="7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D4600A"/>
                <w:sz w:val="18"/>
                <w:szCs w:val="18"/>
              </w:rPr>
              <w:t xml:space="preserve">F18</w:t>
            </w:r>
          </w:p>
        </w:tc>
        <w:tc>
          <w:tcPr>
            <w:tcW w:type="dxa" w:w="32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Arbre de Défaillance (RCA)</w:t>
            </w:r>
          </w:p>
        </w:tc>
        <w:tc>
          <w:tcPr>
            <w:tcW w:type="dxa" w:w="14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Interventions</w:t>
            </w:r>
          </w:p>
        </w:tc>
        <w:tc>
          <w:tcPr>
            <w:tcW w:type="dxa" w:w="11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D4600A"/>
                <w:sz w:val="17"/>
                <w:szCs w:val="17"/>
              </w:rPr>
              <w:t xml:space="preserve">HAUTE</w:t>
            </w:r>
          </w:p>
        </w:tc>
        <w:tc>
          <w:tcPr>
            <w:tcW w:type="dxa" w:w="9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Ph.2</w:t>
            </w:r>
          </w:p>
        </w:tc>
        <w:tc>
          <w:tcPr>
            <w:tcW w:type="dxa" w:w="1726"/>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8C96A3"/>
                <w:sz w:val="17"/>
                <w:szCs w:val="17"/>
              </w:rPr>
              <w:t xml:space="preserve">CONSOLIDÉ</w:t>
            </w:r>
          </w:p>
        </w:tc>
      </w:tr>
      <w:tr>
        <w:tc>
          <w:tcPr>
            <w:tcW w:type="dxa" w:w="7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D4600A"/>
                <w:sz w:val="18"/>
                <w:szCs w:val="18"/>
              </w:rPr>
              <w:t xml:space="preserve">F19</w:t>
            </w:r>
          </w:p>
        </w:tc>
        <w:tc>
          <w:tcPr>
            <w:tcW w:type="dxa" w:w="32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Module Achats Complet (DA/DP/AO)</w:t>
            </w:r>
          </w:p>
        </w:tc>
        <w:tc>
          <w:tcPr>
            <w:tcW w:type="dxa" w:w="14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Achats</w:t>
            </w:r>
          </w:p>
        </w:tc>
        <w:tc>
          <w:tcPr>
            <w:tcW w:type="dxa" w:w="11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D4600A"/>
                <w:sz w:val="17"/>
                <w:szCs w:val="17"/>
              </w:rPr>
              <w:t xml:space="preserve">HAUTE</w:t>
            </w:r>
          </w:p>
        </w:tc>
        <w:tc>
          <w:tcPr>
            <w:tcW w:type="dxa" w:w="9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Ph.2</w:t>
            </w:r>
          </w:p>
        </w:tc>
        <w:tc>
          <w:tcPr>
            <w:tcW w:type="dxa" w:w="1726"/>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8C96A3"/>
                <w:sz w:val="17"/>
                <w:szCs w:val="17"/>
              </w:rPr>
              <w:t xml:space="preserve">CONSOLIDÉ</w:t>
            </w:r>
          </w:p>
        </w:tc>
      </w:tr>
      <w:tr>
        <w:tc>
          <w:tcPr>
            <w:tcW w:type="dxa" w:w="7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D4600A"/>
                <w:sz w:val="18"/>
                <w:szCs w:val="18"/>
              </w:rPr>
              <w:t xml:space="preserve">F20</w:t>
            </w:r>
          </w:p>
        </w:tc>
        <w:tc>
          <w:tcPr>
            <w:tcW w:type="dxa" w:w="32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Suggestion de Réapprovisionnement</w:t>
            </w:r>
          </w:p>
        </w:tc>
        <w:tc>
          <w:tcPr>
            <w:tcW w:type="dxa" w:w="14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Stock</w:t>
            </w:r>
          </w:p>
        </w:tc>
        <w:tc>
          <w:tcPr>
            <w:tcW w:type="dxa" w:w="11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D4600A"/>
                <w:sz w:val="17"/>
                <w:szCs w:val="17"/>
              </w:rPr>
              <w:t xml:space="preserve">HAUTE</w:t>
            </w:r>
          </w:p>
        </w:tc>
        <w:tc>
          <w:tcPr>
            <w:tcW w:type="dxa" w:w="9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Ph.1</w:t>
            </w:r>
          </w:p>
        </w:tc>
        <w:tc>
          <w:tcPr>
            <w:tcW w:type="dxa" w:w="1726"/>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8C96A3"/>
                <w:sz w:val="17"/>
                <w:szCs w:val="17"/>
              </w:rPr>
              <w:t xml:space="preserve">CONSOLIDÉ</w:t>
            </w:r>
          </w:p>
        </w:tc>
      </w:tr>
      <w:tr>
        <w:tc>
          <w:tcPr>
            <w:tcW w:type="dxa" w:w="7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D4600A"/>
                <w:sz w:val="18"/>
                <w:szCs w:val="18"/>
              </w:rPr>
              <w:t xml:space="preserve">F21</w:t>
            </w:r>
          </w:p>
        </w:tc>
        <w:tc>
          <w:tcPr>
            <w:tcW w:type="dxa" w:w="32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Gestion Budgétaire Avancée</w:t>
            </w:r>
          </w:p>
        </w:tc>
        <w:tc>
          <w:tcPr>
            <w:tcW w:type="dxa" w:w="14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Finance</w:t>
            </w:r>
          </w:p>
        </w:tc>
        <w:tc>
          <w:tcPr>
            <w:tcW w:type="dxa" w:w="11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D4600A"/>
                <w:sz w:val="17"/>
                <w:szCs w:val="17"/>
              </w:rPr>
              <w:t xml:space="preserve">HAUTE</w:t>
            </w:r>
          </w:p>
        </w:tc>
        <w:tc>
          <w:tcPr>
            <w:tcW w:type="dxa" w:w="9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Ph.2</w:t>
            </w:r>
          </w:p>
        </w:tc>
        <w:tc>
          <w:tcPr>
            <w:tcW w:type="dxa" w:w="1726"/>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8C96A3"/>
                <w:sz w:val="17"/>
                <w:szCs w:val="17"/>
              </w:rPr>
              <w:t xml:space="preserve"/>
            </w:r>
          </w:p>
        </w:tc>
      </w:tr>
      <w:tr>
        <w:tc>
          <w:tcPr>
            <w:tcW w:type="dxa" w:w="7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1A6BAE"/>
                <w:sz w:val="18"/>
                <w:szCs w:val="18"/>
              </w:rPr>
              <w:t xml:space="preserve">F22</w:t>
            </w:r>
          </w:p>
        </w:tc>
        <w:tc>
          <w:tcPr>
            <w:tcW w:type="dxa" w:w="32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Suivi de Projet Intégré</w:t>
            </w:r>
          </w:p>
        </w:tc>
        <w:tc>
          <w:tcPr>
            <w:tcW w:type="dxa" w:w="14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Projet</w:t>
            </w:r>
          </w:p>
        </w:tc>
        <w:tc>
          <w:tcPr>
            <w:tcW w:type="dxa" w:w="11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1A6BAE"/>
                <w:sz w:val="17"/>
                <w:szCs w:val="17"/>
              </w:rPr>
              <w:t xml:space="preserve">MOYENNE</w:t>
            </w:r>
          </w:p>
        </w:tc>
        <w:tc>
          <w:tcPr>
            <w:tcW w:type="dxa" w:w="9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Ph.2</w:t>
            </w:r>
          </w:p>
        </w:tc>
        <w:tc>
          <w:tcPr>
            <w:tcW w:type="dxa" w:w="1726"/>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8C96A3"/>
                <w:sz w:val="17"/>
                <w:szCs w:val="17"/>
              </w:rPr>
              <w:t xml:space="preserve">CONSOLIDÉ</w:t>
            </w:r>
          </w:p>
        </w:tc>
      </w:tr>
      <w:tr>
        <w:tc>
          <w:tcPr>
            <w:tcW w:type="dxa" w:w="7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1A6BAE"/>
                <w:sz w:val="18"/>
                <w:szCs w:val="18"/>
              </w:rPr>
              <w:t xml:space="preserve">F23</w:t>
            </w:r>
          </w:p>
        </w:tc>
        <w:tc>
          <w:tcPr>
            <w:tcW w:type="dxa" w:w="32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Géolocalisation GPS Équipements</w:t>
            </w:r>
          </w:p>
        </w:tc>
        <w:tc>
          <w:tcPr>
            <w:tcW w:type="dxa" w:w="14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Données de base</w:t>
            </w:r>
          </w:p>
        </w:tc>
        <w:tc>
          <w:tcPr>
            <w:tcW w:type="dxa" w:w="11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1A6BAE"/>
                <w:sz w:val="17"/>
                <w:szCs w:val="17"/>
              </w:rPr>
              <w:t xml:space="preserve">MOYENNE</w:t>
            </w:r>
          </w:p>
        </w:tc>
        <w:tc>
          <w:tcPr>
            <w:tcW w:type="dxa" w:w="9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Ph.3</w:t>
            </w:r>
          </w:p>
        </w:tc>
        <w:tc>
          <w:tcPr>
            <w:tcW w:type="dxa" w:w="1726"/>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8C96A3"/>
                <w:sz w:val="17"/>
                <w:szCs w:val="17"/>
              </w:rPr>
              <w:t xml:space="preserve">CONSOLIDÉ</w:t>
            </w:r>
          </w:p>
        </w:tc>
      </w:tr>
      <w:tr>
        <w:tc>
          <w:tcPr>
            <w:tcW w:type="dxa" w:w="7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D4600A"/>
                <w:sz w:val="18"/>
                <w:szCs w:val="18"/>
              </w:rPr>
              <w:t xml:space="preserve">F24</w:t>
            </w:r>
          </w:p>
        </w:tc>
        <w:tc>
          <w:tcPr>
            <w:tcW w:type="dxa" w:w="32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Indisponibilités &amp; Chaîne Équipements</w:t>
            </w:r>
          </w:p>
        </w:tc>
        <w:tc>
          <w:tcPr>
            <w:tcW w:type="dxa" w:w="14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Données de base</w:t>
            </w:r>
          </w:p>
        </w:tc>
        <w:tc>
          <w:tcPr>
            <w:tcW w:type="dxa" w:w="11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D4600A"/>
                <w:sz w:val="17"/>
                <w:szCs w:val="17"/>
              </w:rPr>
              <w:t xml:space="preserve">HAUTE</w:t>
            </w:r>
          </w:p>
        </w:tc>
        <w:tc>
          <w:tcPr>
            <w:tcW w:type="dxa" w:w="9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Ph.2</w:t>
            </w:r>
          </w:p>
        </w:tc>
        <w:tc>
          <w:tcPr>
            <w:tcW w:type="dxa" w:w="1726"/>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8C96A3"/>
                <w:sz w:val="17"/>
                <w:szCs w:val="17"/>
              </w:rPr>
              <w:t xml:space="preserve">CONSOLIDÉ</w:t>
            </w:r>
          </w:p>
        </w:tc>
      </w:tr>
      <w:tr>
        <w:tc>
          <w:tcPr>
            <w:tcW w:type="dxa" w:w="7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D4600A"/>
                <w:sz w:val="18"/>
                <w:szCs w:val="18"/>
              </w:rPr>
              <w:t xml:space="preserve">F25</w:t>
            </w:r>
          </w:p>
        </w:tc>
        <w:tc>
          <w:tcPr>
            <w:tcW w:type="dxa" w:w="32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Permis de Travail &amp; Sécurité</w:t>
            </w:r>
          </w:p>
        </w:tc>
        <w:tc>
          <w:tcPr>
            <w:tcW w:type="dxa" w:w="14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Interventions</w:t>
            </w:r>
          </w:p>
        </w:tc>
        <w:tc>
          <w:tcPr>
            <w:tcW w:type="dxa" w:w="11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D4600A"/>
                <w:sz w:val="17"/>
                <w:szCs w:val="17"/>
              </w:rPr>
              <w:t xml:space="preserve">HAUTE</w:t>
            </w:r>
          </w:p>
        </w:tc>
        <w:tc>
          <w:tcPr>
            <w:tcW w:type="dxa" w:w="9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Ph.2</w:t>
            </w:r>
          </w:p>
        </w:tc>
        <w:tc>
          <w:tcPr>
            <w:tcW w:type="dxa" w:w="1726"/>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8C96A3"/>
                <w:sz w:val="17"/>
                <w:szCs w:val="17"/>
              </w:rPr>
              <w:t xml:space="preserve">CONSOLIDÉ</w:t>
            </w:r>
          </w:p>
        </w:tc>
      </w:tr>
      <w:tr>
        <w:tc>
          <w:tcPr>
            <w:tcW w:type="dxa" w:w="7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1A6BAE"/>
                <w:sz w:val="18"/>
                <w:szCs w:val="18"/>
              </w:rPr>
              <w:t xml:space="preserve">F26</w:t>
            </w:r>
          </w:p>
        </w:tc>
        <w:tc>
          <w:tcPr>
            <w:tcW w:type="dxa" w:w="32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Gestion des Outillages</w:t>
            </w:r>
          </w:p>
        </w:tc>
        <w:tc>
          <w:tcPr>
            <w:tcW w:type="dxa" w:w="14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Stock</w:t>
            </w:r>
          </w:p>
        </w:tc>
        <w:tc>
          <w:tcPr>
            <w:tcW w:type="dxa" w:w="11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1A6BAE"/>
                <w:sz w:val="17"/>
                <w:szCs w:val="17"/>
              </w:rPr>
              <w:t xml:space="preserve">MOYENNE</w:t>
            </w:r>
          </w:p>
        </w:tc>
        <w:tc>
          <w:tcPr>
            <w:tcW w:type="dxa" w:w="9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Ph.3</w:t>
            </w:r>
          </w:p>
        </w:tc>
        <w:tc>
          <w:tcPr>
            <w:tcW w:type="dxa" w:w="1726"/>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8C96A3"/>
                <w:sz w:val="17"/>
                <w:szCs w:val="17"/>
              </w:rPr>
              <w:t xml:space="preserve">CONSOLIDÉ</w:t>
            </w:r>
          </w:p>
        </w:tc>
      </w:tr>
      <w:tr>
        <w:tc>
          <w:tcPr>
            <w:tcW w:type="dxa" w:w="7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1A6BAE"/>
                <w:sz w:val="18"/>
                <w:szCs w:val="18"/>
              </w:rPr>
              <w:t xml:space="preserve">F27</w:t>
            </w:r>
          </w:p>
        </w:tc>
        <w:tc>
          <w:tcPr>
            <w:tcW w:type="dxa" w:w="32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Personnalisation des Éditions</w:t>
            </w:r>
          </w:p>
        </w:tc>
        <w:tc>
          <w:tcPr>
            <w:tcW w:type="dxa" w:w="14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Éditions</w:t>
            </w:r>
          </w:p>
        </w:tc>
        <w:tc>
          <w:tcPr>
            <w:tcW w:type="dxa" w:w="11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1A6BAE"/>
                <w:sz w:val="17"/>
                <w:szCs w:val="17"/>
              </w:rPr>
              <w:t xml:space="preserve">MOYENNE</w:t>
            </w:r>
          </w:p>
        </w:tc>
        <w:tc>
          <w:tcPr>
            <w:tcW w:type="dxa" w:w="9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Ph.3</w:t>
            </w:r>
          </w:p>
        </w:tc>
        <w:tc>
          <w:tcPr>
            <w:tcW w:type="dxa" w:w="1726"/>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8C96A3"/>
                <w:sz w:val="17"/>
                <w:szCs w:val="17"/>
              </w:rPr>
              <w:t xml:space="preserve">CONSOLIDÉ</w:t>
            </w:r>
          </w:p>
        </w:tc>
      </w:tr>
      <w:tr>
        <w:tc>
          <w:tcPr>
            <w:tcW w:type="dxa" w:w="700"/>
            <w:tcBorders>
              <w:top w:val="single" w:color="E0E4EA" w:sz="1"/>
              <w:left w:val="single" w:color="E0E4EA" w:sz="1"/>
              <w:bottom w:val="single" w:color="E0E4EA" w:sz="1"/>
              <w:right w:val="single" w:color="E0E4EA" w:sz="1"/>
            </w:tcBorders>
            <w:shd w:fill="D4EDEC"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B71C1C"/>
                <w:sz w:val="18"/>
                <w:szCs w:val="18"/>
              </w:rPr>
              <w:t xml:space="preserve">F28</w:t>
            </w:r>
          </w:p>
        </w:tc>
        <w:tc>
          <w:tcPr>
            <w:tcW w:type="dxa" w:w="3200"/>
            <w:tcBorders>
              <w:top w:val="single" w:color="E0E4EA" w:sz="1"/>
              <w:left w:val="single" w:color="E0E4EA" w:sz="1"/>
              <w:bottom w:val="single" w:color="E0E4EA" w:sz="1"/>
              <w:right w:val="single" w:color="E0E4EA" w:sz="1"/>
            </w:tcBorders>
            <w:shd w:fill="D4EDEC"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Expérience Mobile-First &amp; Mode Hors-Ligne</w:t>
            </w:r>
          </w:p>
        </w:tc>
        <w:tc>
          <w:tcPr>
            <w:tcW w:type="dxa" w:w="1400"/>
            <w:tcBorders>
              <w:top w:val="single" w:color="E0E4EA" w:sz="1"/>
              <w:left w:val="single" w:color="E0E4EA" w:sz="1"/>
              <w:bottom w:val="single" w:color="E0E4EA" w:sz="1"/>
              <w:right w:val="single" w:color="E0E4EA" w:sz="1"/>
            </w:tcBorders>
            <w:shd w:fill="D4EDEC"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Mobile</w:t>
            </w:r>
          </w:p>
        </w:tc>
        <w:tc>
          <w:tcPr>
            <w:tcW w:type="dxa" w:w="1100"/>
            <w:tcBorders>
              <w:top w:val="single" w:color="E0E4EA" w:sz="1"/>
              <w:left w:val="single" w:color="E0E4EA" w:sz="1"/>
              <w:bottom w:val="single" w:color="E0E4EA" w:sz="1"/>
              <w:right w:val="single" w:color="E0E4EA" w:sz="1"/>
            </w:tcBorders>
            <w:shd w:fill="D4EDEC"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B71C1C"/>
                <w:sz w:val="17"/>
                <w:szCs w:val="17"/>
              </w:rPr>
              <w:t xml:space="preserve">STRATÉGIQUE</w:t>
            </w:r>
          </w:p>
        </w:tc>
        <w:tc>
          <w:tcPr>
            <w:tcW w:type="dxa" w:w="900"/>
            <w:tcBorders>
              <w:top w:val="single" w:color="E0E4EA" w:sz="1"/>
              <w:left w:val="single" w:color="E0E4EA" w:sz="1"/>
              <w:bottom w:val="single" w:color="E0E4EA" w:sz="1"/>
              <w:right w:val="single" w:color="E0E4EA" w:sz="1"/>
            </w:tcBorders>
            <w:shd w:fill="D4EDEC"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Ph.1</w:t>
            </w:r>
          </w:p>
        </w:tc>
        <w:tc>
          <w:tcPr>
            <w:tcW w:type="dxa" w:w="1726"/>
            <w:tcBorders>
              <w:top w:val="single" w:color="E0E4EA" w:sz="1"/>
              <w:left w:val="single" w:color="E0E4EA" w:sz="1"/>
              <w:bottom w:val="single" w:color="E0E4EA" w:sz="1"/>
              <w:right w:val="single" w:color="E0E4EA" w:sz="1"/>
            </w:tcBorders>
            <w:shd w:fill="D4EDEC"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0E7C7B"/>
                <w:sz w:val="17"/>
                <w:szCs w:val="17"/>
              </w:rPr>
              <w:t xml:space="preserve">ENRICHI</w:t>
            </w:r>
          </w:p>
        </w:tc>
      </w:tr>
      <w:tr>
        <w:tc>
          <w:tcPr>
            <w:tcW w:type="dxa" w:w="700"/>
            <w:tcBorders>
              <w:top w:val="single" w:color="E0E4EA" w:sz="1"/>
              <w:left w:val="single" w:color="E0E4EA" w:sz="1"/>
              <w:bottom w:val="single" w:color="E0E4EA" w:sz="1"/>
              <w:right w:val="single" w:color="E0E4EA" w:sz="1"/>
            </w:tcBorders>
            <w:shd w:fill="D4EDEC"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D4600A"/>
                <w:sz w:val="18"/>
                <w:szCs w:val="18"/>
              </w:rPr>
              <w:t xml:space="preserve">F29</w:t>
            </w:r>
          </w:p>
        </w:tc>
        <w:tc>
          <w:tcPr>
            <w:tcW w:type="dxa" w:w="3200"/>
            <w:tcBorders>
              <w:top w:val="single" w:color="E0E4EA" w:sz="1"/>
              <w:left w:val="single" w:color="E0E4EA" w:sz="1"/>
              <w:bottom w:val="single" w:color="E0E4EA" w:sz="1"/>
              <w:right w:val="single" w:color="E0E4EA" w:sz="1"/>
            </w:tcBorders>
            <w:shd w:fill="D4EDEC"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Onboarding Guidé &amp; Import Intelligent</w:t>
            </w:r>
          </w:p>
        </w:tc>
        <w:tc>
          <w:tcPr>
            <w:tcW w:type="dxa" w:w="1400"/>
            <w:tcBorders>
              <w:top w:val="single" w:color="E0E4EA" w:sz="1"/>
              <w:left w:val="single" w:color="E0E4EA" w:sz="1"/>
              <w:bottom w:val="single" w:color="E0E4EA" w:sz="1"/>
              <w:right w:val="single" w:color="E0E4EA" w:sz="1"/>
            </w:tcBorders>
            <w:shd w:fill="D4EDEC"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Adoption</w:t>
            </w:r>
          </w:p>
        </w:tc>
        <w:tc>
          <w:tcPr>
            <w:tcW w:type="dxa" w:w="1100"/>
            <w:tcBorders>
              <w:top w:val="single" w:color="E0E4EA" w:sz="1"/>
              <w:left w:val="single" w:color="E0E4EA" w:sz="1"/>
              <w:bottom w:val="single" w:color="E0E4EA" w:sz="1"/>
              <w:right w:val="single" w:color="E0E4EA" w:sz="1"/>
            </w:tcBorders>
            <w:shd w:fill="D4EDEC"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D4600A"/>
                <w:sz w:val="17"/>
                <w:szCs w:val="17"/>
              </w:rPr>
              <w:t xml:space="preserve">HAUTE</w:t>
            </w:r>
          </w:p>
        </w:tc>
        <w:tc>
          <w:tcPr>
            <w:tcW w:type="dxa" w:w="900"/>
            <w:tcBorders>
              <w:top w:val="single" w:color="E0E4EA" w:sz="1"/>
              <w:left w:val="single" w:color="E0E4EA" w:sz="1"/>
              <w:bottom w:val="single" w:color="E0E4EA" w:sz="1"/>
              <w:right w:val="single" w:color="E0E4EA" w:sz="1"/>
            </w:tcBorders>
            <w:shd w:fill="D4EDEC"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Ph.1</w:t>
            </w:r>
          </w:p>
        </w:tc>
        <w:tc>
          <w:tcPr>
            <w:tcW w:type="dxa" w:w="1726"/>
            <w:tcBorders>
              <w:top w:val="single" w:color="E0E4EA" w:sz="1"/>
              <w:left w:val="single" w:color="E0E4EA" w:sz="1"/>
              <w:bottom w:val="single" w:color="E0E4EA" w:sz="1"/>
              <w:right w:val="single" w:color="E0E4EA" w:sz="1"/>
            </w:tcBorders>
            <w:shd w:fill="D4EDEC"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0E7C7B"/>
                <w:sz w:val="17"/>
                <w:szCs w:val="17"/>
              </w:rPr>
              <w:t xml:space="preserve">ENRICHI</w:t>
            </w:r>
          </w:p>
        </w:tc>
      </w:tr>
      <w:tr>
        <w:tc>
          <w:tcPr>
            <w:tcW w:type="dxa" w:w="700"/>
            <w:tcBorders>
              <w:top w:val="single" w:color="E0E4EA" w:sz="1"/>
              <w:left w:val="single" w:color="E0E4EA" w:sz="1"/>
              <w:bottom w:val="single" w:color="E0E4EA" w:sz="1"/>
              <w:right w:val="single" w:color="E0E4EA" w:sz="1"/>
            </w:tcBorders>
            <w:shd w:fill="D4EDEC"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B71C1C"/>
                <w:sz w:val="18"/>
                <w:szCs w:val="18"/>
              </w:rPr>
              <w:t xml:space="preserve">F30</w:t>
            </w:r>
          </w:p>
        </w:tc>
        <w:tc>
          <w:tcPr>
            <w:tcW w:type="dxa" w:w="3200"/>
            <w:tcBorders>
              <w:top w:val="single" w:color="E0E4EA" w:sz="1"/>
              <w:left w:val="single" w:color="E0E4EA" w:sz="1"/>
              <w:bottom w:val="single" w:color="E0E4EA" w:sz="1"/>
              <w:right w:val="single" w:color="E0E4EA" w:sz="1"/>
            </w:tcBorders>
            <w:shd w:fill="D4EDEC"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Base de Connaissance IA (Chatbot Technique)</w:t>
            </w:r>
          </w:p>
        </w:tc>
        <w:tc>
          <w:tcPr>
            <w:tcW w:type="dxa" w:w="1400"/>
            <w:tcBorders>
              <w:top w:val="single" w:color="E0E4EA" w:sz="1"/>
              <w:left w:val="single" w:color="E0E4EA" w:sz="1"/>
              <w:bottom w:val="single" w:color="E0E4EA" w:sz="1"/>
              <w:right w:val="single" w:color="E0E4EA" w:sz="1"/>
            </w:tcBorders>
            <w:shd w:fill="D4EDEC"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IA/Support</w:t>
            </w:r>
          </w:p>
        </w:tc>
        <w:tc>
          <w:tcPr>
            <w:tcW w:type="dxa" w:w="1100"/>
            <w:tcBorders>
              <w:top w:val="single" w:color="E0E4EA" w:sz="1"/>
              <w:left w:val="single" w:color="E0E4EA" w:sz="1"/>
              <w:bottom w:val="single" w:color="E0E4EA" w:sz="1"/>
              <w:right w:val="single" w:color="E0E4EA" w:sz="1"/>
            </w:tcBorders>
            <w:shd w:fill="D4EDEC"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B71C1C"/>
                <w:sz w:val="17"/>
                <w:szCs w:val="17"/>
              </w:rPr>
              <w:t xml:space="preserve">STRATÉGIQUE</w:t>
            </w:r>
          </w:p>
        </w:tc>
        <w:tc>
          <w:tcPr>
            <w:tcW w:type="dxa" w:w="900"/>
            <w:tcBorders>
              <w:top w:val="single" w:color="E0E4EA" w:sz="1"/>
              <w:left w:val="single" w:color="E0E4EA" w:sz="1"/>
              <w:bottom w:val="single" w:color="E0E4EA" w:sz="1"/>
              <w:right w:val="single" w:color="E0E4EA" w:sz="1"/>
            </w:tcBorders>
            <w:shd w:fill="D4EDEC"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Ph.2</w:t>
            </w:r>
          </w:p>
        </w:tc>
        <w:tc>
          <w:tcPr>
            <w:tcW w:type="dxa" w:w="1726"/>
            <w:tcBorders>
              <w:top w:val="single" w:color="E0E4EA" w:sz="1"/>
              <w:left w:val="single" w:color="E0E4EA" w:sz="1"/>
              <w:bottom w:val="single" w:color="E0E4EA" w:sz="1"/>
              <w:right w:val="single" w:color="E0E4EA" w:sz="1"/>
            </w:tcBorders>
            <w:shd w:fill="D4EDEC"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0E7C7B"/>
                <w:sz w:val="17"/>
                <w:szCs w:val="17"/>
              </w:rPr>
              <w:t xml:space="preserve">ENRICHI</w:t>
            </w:r>
          </w:p>
        </w:tc>
      </w:tr>
      <w:tr>
        <w:tc>
          <w:tcPr>
            <w:tcW w:type="dxa" w:w="7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B71C1C"/>
                <w:sz w:val="18"/>
                <w:szCs w:val="18"/>
              </w:rPr>
              <w:t xml:space="preserve">F31</w:t>
            </w:r>
          </w:p>
        </w:tc>
        <w:tc>
          <w:tcPr>
            <w:tcW w:type="dxa" w:w="32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Gestion des Compétences &amp; Habilitations</w:t>
            </w:r>
          </w:p>
        </w:tc>
        <w:tc>
          <w:tcPr>
            <w:tcW w:type="dxa" w:w="14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RH Maintenance</w:t>
            </w:r>
          </w:p>
        </w:tc>
        <w:tc>
          <w:tcPr>
            <w:tcW w:type="dxa" w:w="11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B71C1C"/>
                <w:sz w:val="17"/>
                <w:szCs w:val="17"/>
              </w:rPr>
              <w:t xml:space="preserve">STRATÉGIQUE</w:t>
            </w:r>
          </w:p>
        </w:tc>
        <w:tc>
          <w:tcPr>
            <w:tcW w:type="dxa" w:w="9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Ph.2</w:t>
            </w:r>
          </w:p>
        </w:tc>
        <w:tc>
          <w:tcPr>
            <w:tcW w:type="dxa" w:w="1726"/>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5E1A8A"/>
                <w:sz w:val="17"/>
                <w:szCs w:val="17"/>
              </w:rPr>
              <w:t xml:space="preserve">NOUVEAU</w:t>
            </w:r>
          </w:p>
        </w:tc>
      </w:tr>
      <w:tr>
        <w:tc>
          <w:tcPr>
            <w:tcW w:type="dxa" w:w="7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B71C1C"/>
                <w:sz w:val="18"/>
                <w:szCs w:val="18"/>
              </w:rPr>
              <w:t xml:space="preserve">F32</w:t>
            </w:r>
          </w:p>
        </w:tc>
        <w:tc>
          <w:tcPr>
            <w:tcW w:type="dxa" w:w="32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Module Énergie &amp; Empreinte Carbone (ESG)</w:t>
            </w:r>
          </w:p>
        </w:tc>
        <w:tc>
          <w:tcPr>
            <w:tcW w:type="dxa" w:w="14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Énergie/ESG</w:t>
            </w:r>
          </w:p>
        </w:tc>
        <w:tc>
          <w:tcPr>
            <w:tcW w:type="dxa" w:w="11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B71C1C"/>
                <w:sz w:val="17"/>
                <w:szCs w:val="17"/>
              </w:rPr>
              <w:t xml:space="preserve">STRATÉGIQUE</w:t>
            </w:r>
          </w:p>
        </w:tc>
        <w:tc>
          <w:tcPr>
            <w:tcW w:type="dxa" w:w="9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Ph.2</w:t>
            </w:r>
          </w:p>
        </w:tc>
        <w:tc>
          <w:tcPr>
            <w:tcW w:type="dxa" w:w="1726"/>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5E1A8A"/>
                <w:sz w:val="17"/>
                <w:szCs w:val="17"/>
              </w:rPr>
              <w:t xml:space="preserve">NOUVEAU</w:t>
            </w:r>
          </w:p>
        </w:tc>
      </w:tr>
      <w:tr>
        <w:tc>
          <w:tcPr>
            <w:tcW w:type="dxa" w:w="7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D4600A"/>
                <w:sz w:val="18"/>
                <w:szCs w:val="18"/>
              </w:rPr>
              <w:t xml:space="preserve">F33</w:t>
            </w:r>
          </w:p>
        </w:tc>
        <w:tc>
          <w:tcPr>
            <w:tcW w:type="dxa" w:w="32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Marketplace Prestataires &amp; Sous-traitance</w:t>
            </w:r>
          </w:p>
        </w:tc>
        <w:tc>
          <w:tcPr>
            <w:tcW w:type="dxa" w:w="14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Écosystème</w:t>
            </w:r>
          </w:p>
        </w:tc>
        <w:tc>
          <w:tcPr>
            <w:tcW w:type="dxa" w:w="11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D4600A"/>
                <w:sz w:val="17"/>
                <w:szCs w:val="17"/>
              </w:rPr>
              <w:t xml:space="preserve">HAUTE</w:t>
            </w:r>
          </w:p>
        </w:tc>
        <w:tc>
          <w:tcPr>
            <w:tcW w:type="dxa" w:w="9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Ph.2</w:t>
            </w:r>
          </w:p>
        </w:tc>
        <w:tc>
          <w:tcPr>
            <w:tcW w:type="dxa" w:w="1726"/>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5E1A8A"/>
                <w:sz w:val="17"/>
                <w:szCs w:val="17"/>
              </w:rPr>
              <w:t xml:space="preserve">NOUVEAU</w:t>
            </w:r>
          </w:p>
        </w:tc>
      </w:tr>
      <w:tr>
        <w:tc>
          <w:tcPr>
            <w:tcW w:type="dxa" w:w="7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D4600A"/>
                <w:sz w:val="18"/>
                <w:szCs w:val="18"/>
              </w:rPr>
              <w:t xml:space="preserve">F34</w:t>
            </w:r>
          </w:p>
        </w:tc>
        <w:tc>
          <w:tcPr>
            <w:tcW w:type="dxa" w:w="32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Contrats de Maintenance &amp; SLA</w:t>
            </w:r>
          </w:p>
        </w:tc>
        <w:tc>
          <w:tcPr>
            <w:tcW w:type="dxa" w:w="14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Contrats</w:t>
            </w:r>
          </w:p>
        </w:tc>
        <w:tc>
          <w:tcPr>
            <w:tcW w:type="dxa" w:w="11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D4600A"/>
                <w:sz w:val="17"/>
                <w:szCs w:val="17"/>
              </w:rPr>
              <w:t xml:space="preserve">HAUTE</w:t>
            </w:r>
          </w:p>
        </w:tc>
        <w:tc>
          <w:tcPr>
            <w:tcW w:type="dxa" w:w="9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Ph.2</w:t>
            </w:r>
          </w:p>
        </w:tc>
        <w:tc>
          <w:tcPr>
            <w:tcW w:type="dxa" w:w="1726"/>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5E1A8A"/>
                <w:sz w:val="17"/>
                <w:szCs w:val="17"/>
              </w:rPr>
              <w:t xml:space="preserve">NOUVEAU</w:t>
            </w:r>
          </w:p>
        </w:tc>
      </w:tr>
      <w:tr>
        <w:tc>
          <w:tcPr>
            <w:tcW w:type="dxa" w:w="7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B71C1C"/>
                <w:sz w:val="18"/>
                <w:szCs w:val="18"/>
              </w:rPr>
              <w:t xml:space="preserve">F35</w:t>
            </w:r>
          </w:p>
        </w:tc>
        <w:tc>
          <w:tcPr>
            <w:tcW w:type="dxa" w:w="32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Jumeau Numérique des Actifs (Digital Twin)</w:t>
            </w:r>
          </w:p>
        </w:tc>
        <w:tc>
          <w:tcPr>
            <w:tcW w:type="dxa" w:w="14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IA/Assets</w:t>
            </w:r>
          </w:p>
        </w:tc>
        <w:tc>
          <w:tcPr>
            <w:tcW w:type="dxa" w:w="11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B71C1C"/>
                <w:sz w:val="17"/>
                <w:szCs w:val="17"/>
              </w:rPr>
              <w:t xml:space="preserve">STRATÉGIQUE</w:t>
            </w:r>
          </w:p>
        </w:tc>
        <w:tc>
          <w:tcPr>
            <w:tcW w:type="dxa" w:w="9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Ph.3</w:t>
            </w:r>
          </w:p>
        </w:tc>
        <w:tc>
          <w:tcPr>
            <w:tcW w:type="dxa" w:w="1726"/>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5E1A8A"/>
                <w:sz w:val="17"/>
                <w:szCs w:val="17"/>
              </w:rPr>
              <w:t xml:space="preserve">NOUVEAU</w:t>
            </w:r>
          </w:p>
        </w:tc>
      </w:tr>
      <w:tr>
        <w:tc>
          <w:tcPr>
            <w:tcW w:type="dxa" w:w="7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1A6BAE"/>
                <w:sz w:val="18"/>
                <w:szCs w:val="18"/>
              </w:rPr>
              <w:t xml:space="preserve">F36</w:t>
            </w:r>
          </w:p>
        </w:tc>
        <w:tc>
          <w:tcPr>
            <w:tcW w:type="dxa" w:w="32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Gamification &amp; Engagement Technicien</w:t>
            </w:r>
          </w:p>
        </w:tc>
        <w:tc>
          <w:tcPr>
            <w:tcW w:type="dxa" w:w="14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Adoption</w:t>
            </w:r>
          </w:p>
        </w:tc>
        <w:tc>
          <w:tcPr>
            <w:tcW w:type="dxa" w:w="11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1A6BAE"/>
                <w:sz w:val="17"/>
                <w:szCs w:val="17"/>
              </w:rPr>
              <w:t xml:space="preserve">MOYENNE</w:t>
            </w:r>
          </w:p>
        </w:tc>
        <w:tc>
          <w:tcPr>
            <w:tcW w:type="dxa" w:w="9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Ph.2</w:t>
            </w:r>
          </w:p>
        </w:tc>
        <w:tc>
          <w:tcPr>
            <w:tcW w:type="dxa" w:w="1726"/>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5E1A8A"/>
                <w:sz w:val="17"/>
                <w:szCs w:val="17"/>
              </w:rPr>
              <w:t xml:space="preserve">NOUVEAU</w:t>
            </w:r>
          </w:p>
        </w:tc>
      </w:tr>
      <w:tr>
        <w:tc>
          <w:tcPr>
            <w:tcW w:type="dxa" w:w="7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D4600A"/>
                <w:sz w:val="18"/>
                <w:szCs w:val="18"/>
              </w:rPr>
              <w:t xml:space="preserve">F37</w:t>
            </w:r>
          </w:p>
        </w:tc>
        <w:tc>
          <w:tcPr>
            <w:tcW w:type="dxa" w:w="32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Application Client (Portail Multi-tenant)</w:t>
            </w:r>
          </w:p>
        </w:tc>
        <w:tc>
          <w:tcPr>
            <w:tcW w:type="dxa" w:w="14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Écosystème</w:t>
            </w:r>
          </w:p>
        </w:tc>
        <w:tc>
          <w:tcPr>
            <w:tcW w:type="dxa" w:w="11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D4600A"/>
                <w:sz w:val="17"/>
                <w:szCs w:val="17"/>
              </w:rPr>
              <w:t xml:space="preserve">HAUTE</w:t>
            </w:r>
          </w:p>
        </w:tc>
        <w:tc>
          <w:tcPr>
            <w:tcW w:type="dxa" w:w="9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Ph.2</w:t>
            </w:r>
          </w:p>
        </w:tc>
        <w:tc>
          <w:tcPr>
            <w:tcW w:type="dxa" w:w="1726"/>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5E1A8A"/>
                <w:sz w:val="17"/>
                <w:szCs w:val="17"/>
              </w:rPr>
              <w:t xml:space="preserve">NOUVEAU</w:t>
            </w:r>
          </w:p>
        </w:tc>
      </w:tr>
      <w:tr>
        <w:tc>
          <w:tcPr>
            <w:tcW w:type="dxa" w:w="7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D4600A"/>
                <w:sz w:val="18"/>
                <w:szCs w:val="18"/>
              </w:rPr>
              <w:t xml:space="preserve">F38</w:t>
            </w:r>
          </w:p>
        </w:tc>
        <w:tc>
          <w:tcPr>
            <w:tcW w:type="dxa" w:w="32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Conformité Réglementaire Africaine (OHADA/UEMOA)</w:t>
            </w:r>
          </w:p>
        </w:tc>
        <w:tc>
          <w:tcPr>
            <w:tcW w:type="dxa" w:w="14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Conformité</w:t>
            </w:r>
          </w:p>
        </w:tc>
        <w:tc>
          <w:tcPr>
            <w:tcW w:type="dxa" w:w="11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D4600A"/>
                <w:sz w:val="17"/>
                <w:szCs w:val="17"/>
              </w:rPr>
              <w:t xml:space="preserve">HAUTE</w:t>
            </w:r>
          </w:p>
        </w:tc>
        <w:tc>
          <w:tcPr>
            <w:tcW w:type="dxa" w:w="9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Ph.2</w:t>
            </w:r>
          </w:p>
        </w:tc>
        <w:tc>
          <w:tcPr>
            <w:tcW w:type="dxa" w:w="1726"/>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5E1A8A"/>
                <w:sz w:val="17"/>
                <w:szCs w:val="17"/>
              </w:rPr>
              <w:t xml:space="preserve">NOUVEAU</w:t>
            </w:r>
          </w:p>
        </w:tc>
      </w:tr>
      <w:tr>
        <w:tc>
          <w:tcPr>
            <w:tcW w:type="dxa" w:w="7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B71C1C"/>
                <w:sz w:val="18"/>
                <w:szCs w:val="18"/>
              </w:rPr>
              <w:t xml:space="preserve">F39</w:t>
            </w:r>
          </w:p>
        </w:tc>
        <w:tc>
          <w:tcPr>
            <w:tcW w:type="dxa" w:w="32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Maintenance Conditionnelle (CBM)</w:t>
            </w:r>
          </w:p>
        </w:tc>
        <w:tc>
          <w:tcPr>
            <w:tcW w:type="dxa" w:w="14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Planification</w:t>
            </w:r>
          </w:p>
        </w:tc>
        <w:tc>
          <w:tcPr>
            <w:tcW w:type="dxa" w:w="11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B71C1C"/>
                <w:sz w:val="17"/>
                <w:szCs w:val="17"/>
              </w:rPr>
              <w:t xml:space="preserve">STRATÉGIQUE</w:t>
            </w:r>
          </w:p>
        </w:tc>
        <w:tc>
          <w:tcPr>
            <w:tcW w:type="dxa" w:w="9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Ph.3</w:t>
            </w:r>
          </w:p>
        </w:tc>
        <w:tc>
          <w:tcPr>
            <w:tcW w:type="dxa" w:w="1726"/>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5E1A8A"/>
                <w:sz w:val="17"/>
                <w:szCs w:val="17"/>
              </w:rPr>
              <w:t xml:space="preserve">NOUVEAU</w:t>
            </w:r>
          </w:p>
        </w:tc>
      </w:tr>
      <w:tr>
        <w:tc>
          <w:tcPr>
            <w:tcW w:type="dxa" w:w="7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1A6BAE"/>
                <w:sz w:val="18"/>
                <w:szCs w:val="18"/>
              </w:rPr>
              <w:t xml:space="preserve">F40</w:t>
            </w:r>
          </w:p>
        </w:tc>
        <w:tc>
          <w:tcPr>
            <w:tcW w:type="dxa" w:w="32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Gestion des Garanties Équipements</w:t>
            </w:r>
          </w:p>
        </w:tc>
        <w:tc>
          <w:tcPr>
            <w:tcW w:type="dxa" w:w="14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Finance</w:t>
            </w:r>
          </w:p>
        </w:tc>
        <w:tc>
          <w:tcPr>
            <w:tcW w:type="dxa" w:w="11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1A6BAE"/>
                <w:sz w:val="17"/>
                <w:szCs w:val="17"/>
              </w:rPr>
              <w:t xml:space="preserve">MOYENNE</w:t>
            </w:r>
          </w:p>
        </w:tc>
        <w:tc>
          <w:tcPr>
            <w:tcW w:type="dxa" w:w="9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Ph.2</w:t>
            </w:r>
          </w:p>
        </w:tc>
        <w:tc>
          <w:tcPr>
            <w:tcW w:type="dxa" w:w="1726"/>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5E1A8A"/>
                <w:sz w:val="17"/>
                <w:szCs w:val="17"/>
              </w:rPr>
              <w:t xml:space="preserve">NOUVEAU</w:t>
            </w:r>
          </w:p>
        </w:tc>
      </w:tr>
      <w:tr>
        <w:tc>
          <w:tcPr>
            <w:tcW w:type="dxa" w:w="7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D4600A"/>
                <w:sz w:val="18"/>
                <w:szCs w:val="18"/>
              </w:rPr>
              <w:t xml:space="preserve">F41</w:t>
            </w:r>
          </w:p>
        </w:tc>
        <w:tc>
          <w:tcPr>
            <w:tcW w:type="dxa" w:w="32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Module Santé, Sécurité, Environnement (HSE+)</w:t>
            </w:r>
          </w:p>
        </w:tc>
        <w:tc>
          <w:tcPr>
            <w:tcW w:type="dxa" w:w="14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HSE</w:t>
            </w:r>
          </w:p>
        </w:tc>
        <w:tc>
          <w:tcPr>
            <w:tcW w:type="dxa" w:w="11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D4600A"/>
                <w:sz w:val="17"/>
                <w:szCs w:val="17"/>
              </w:rPr>
              <w:t xml:space="preserve">HAUTE</w:t>
            </w:r>
          </w:p>
        </w:tc>
        <w:tc>
          <w:tcPr>
            <w:tcW w:type="dxa" w:w="9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Ph.2</w:t>
            </w:r>
          </w:p>
        </w:tc>
        <w:tc>
          <w:tcPr>
            <w:tcW w:type="dxa" w:w="1726"/>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5E1A8A"/>
                <w:sz w:val="17"/>
                <w:szCs w:val="17"/>
              </w:rPr>
              <w:t xml:space="preserve">NOUVEAU</w:t>
            </w:r>
          </w:p>
        </w:tc>
      </w:tr>
      <w:tr>
        <w:tc>
          <w:tcPr>
            <w:tcW w:type="dxa" w:w="7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D4600A"/>
                <w:sz w:val="18"/>
                <w:szCs w:val="18"/>
              </w:rPr>
              <w:t xml:space="preserve">F42</w:t>
            </w:r>
          </w:p>
        </w:tc>
        <w:tc>
          <w:tcPr>
            <w:tcW w:type="dxa" w:w="32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Intelligence Tarifaire &amp; Scoring Fournisseurs</w:t>
            </w:r>
          </w:p>
        </w:tc>
        <w:tc>
          <w:tcPr>
            <w:tcW w:type="dxa" w:w="14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Achats</w:t>
            </w:r>
          </w:p>
        </w:tc>
        <w:tc>
          <w:tcPr>
            <w:tcW w:type="dxa" w:w="11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D4600A"/>
                <w:sz w:val="17"/>
                <w:szCs w:val="17"/>
              </w:rPr>
              <w:t xml:space="preserve">HAUTE</w:t>
            </w:r>
          </w:p>
        </w:tc>
        <w:tc>
          <w:tcPr>
            <w:tcW w:type="dxa" w:w="900"/>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Ph.3</w:t>
            </w:r>
          </w:p>
        </w:tc>
        <w:tc>
          <w:tcPr>
            <w:tcW w:type="dxa" w:w="1726"/>
            <w:tcBorders>
              <w:top w:val="single" w:color="E0E4EA" w:sz="1"/>
              <w:left w:val="single" w:color="E0E4EA" w:sz="1"/>
              <w:bottom w:val="single" w:color="E0E4EA" w:sz="1"/>
              <w:right w:val="single" w:color="E0E4EA" w:sz="1"/>
            </w:tcBorders>
            <w:shd w:fill="F1E8FA"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5E1A8A"/>
                <w:sz w:val="17"/>
                <w:szCs w:val="17"/>
              </w:rPr>
              <w:t xml:space="preserve">NOUVEAU</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5E1A8A" w:val="clear"/>
            <w:tcMar>
              <w:top w:type="dxa" w:w="180"/>
              <w:left w:type="dxa" w:w="240"/>
              <w:bottom w:type="dxa" w:w="180"/>
              <w:right w:type="dxa" w:w="240"/>
            </w:tcMar>
          </w:tcPr>
          <w:p>
            <w:pPr>
              <w:spacing w:before="60" w:after="60" w:line="276"/>
              <w:jc w:val="left"/>
            </w:pPr>
            <w:r>
              <w:rPr>
                <w:rFonts w:ascii="Arial" w:cs="Arial" w:eastAsia="Arial" w:hAnsi="Arial"/>
                <w:b/>
                <w:bCs/>
                <w:i w:val="false"/>
                <w:iCs w:val="false"/>
                <w:color w:val="FFFFFF"/>
                <w:sz w:val="24"/>
                <w:szCs w:val="24"/>
              </w:rPr>
              <w:t xml:space="preserve">PARTIE 3  —  ANALYSE DÉTAILLÉE : 15 FONCTIONNALITÉS NOUVELLES ET ENRICHIES</w:t>
            </w:r>
          </w:p>
        </w:tc>
      </w:tr>
    </w:tbl>
    <w:p>
      <w:pPr>
        <w:spacing w:before="120" w:after="0"/>
      </w:pPr>
      <w:r>
        <w:rPr>
          <w:rFonts w:ascii="Arial" w:cs="Arial" w:eastAsia="Arial" w:hAnsi="Arial"/>
          <w:b w:val="false"/>
          <w:bCs w:val="false"/>
          <w:i w:val="false"/>
          <w:iCs w:val="false"/>
          <w:color w:val="1C2533"/>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5E1A8A" w:sz="24"/>
              <w:bottom w:val="none" w:color="FFFFFF" w:sz="0"/>
              <w:right w:val="none" w:color="FFFFFF" w:sz="0"/>
            </w:tcBorders>
            <w:shd w:fill="F1E8FA" w:val="clear"/>
            <w:tcMar>
              <w:top w:type="dxa" w:w="100"/>
              <w:left w:type="dxa" w:w="200"/>
              <w:bottom w:type="dxa" w:w="100"/>
              <w:right w:type="dxa" w:w="140"/>
            </w:tcMar>
          </w:tcPr>
          <w:p>
            <w:pPr>
              <w:spacing w:before="30" w:after="30" w:line="276"/>
              <w:jc w:val="left"/>
            </w:pPr>
            <w:r>
              <w:rPr>
                <w:rFonts w:ascii="Arial" w:cs="Arial" w:eastAsia="Arial" w:hAnsi="Arial"/>
                <w:b w:val="false"/>
                <w:bCs w:val="false"/>
                <w:i/>
                <w:iCs/>
                <w:color w:val="1C2533"/>
                <w:sz w:val="20"/>
                <w:szCs w:val="20"/>
              </w:rPr>
              <w:t xml:space="preserve">Les 15 fonctionnalités suivantes (F28 à F42) sont le résultat de l'analyse approfondie indépendante. Certaines (F28, F29, F30) enrichissent des fonctionnalités existantes. Les 12 autres (F31 à F42) sont entièrement nouvelles et constituent le socle différenciateur de la vision « GMAO de référence mondiale ».</w:t>
            </w:r>
          </w:p>
        </w:tc>
      </w:tr>
    </w:tbl>
    <w:p>
      <w:pPr>
        <w:spacing w:before="160" w:after="0"/>
      </w:pPr>
      <w:r>
        <w:rPr>
          <w:rFonts w:ascii="Arial" w:cs="Arial" w:eastAsia="Arial" w:hAnsi="Arial"/>
          <w:b w:val="false"/>
          <w:bCs w:val="false"/>
          <w:i w:val="false"/>
          <w:iCs w:val="false"/>
          <w:color w:val="1C2533"/>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71C1C" w:sz="30"/>
              <w:bottom w:val="none" w:color="FFFFFF" w:sz="0"/>
              <w:right w:val="none" w:color="FFFFFF" w:sz="0"/>
            </w:tcBorders>
            <w:shd w:fill="F4F6F9" w:val="clear"/>
            <w:tcMar>
              <w:top w:type="dxa" w:w="140"/>
              <w:left w:type="dxa" w:w="200"/>
              <w:bottom w:type="dxa" w:w="140"/>
              <w:right w:type="dxa" w:w="200"/>
            </w:tcMar>
          </w:tcPr>
          <w:p>
            <w:pPr>
              <w:spacing w:before="60" w:after="60" w:line="276"/>
              <w:jc w:val="left"/>
            </w:pPr>
            <w:r>
              <w:rPr>
                <w:rFonts w:ascii="Arial" w:cs="Arial" w:eastAsia="Arial" w:hAnsi="Arial"/>
                <w:b/>
                <w:bCs/>
                <w:i w:val="false"/>
                <w:iCs w:val="false"/>
                <w:color w:val="B71C1C"/>
                <w:sz w:val="22"/>
                <w:szCs w:val="22"/>
              </w:rPr>
              <w:t xml:space="preserve">F28  </w:t>
            </w:r>
            <w:r>
              <w:rPr>
                <w:rFonts w:ascii="Arial" w:cs="Arial" w:eastAsia="Arial" w:hAnsi="Arial"/>
                <w:b/>
                <w:bCs/>
                <w:i w:val="false"/>
                <w:iCs w:val="false"/>
                <w:color w:val="0D2B4E"/>
                <w:sz w:val="24"/>
                <w:szCs w:val="24"/>
              </w:rPr>
              <w:t xml:space="preserve">Expérience Mobile-First &amp; Mode Hors-Ligne Avancé</w:t>
            </w:r>
          </w:p>
          <w:p>
            <w:pPr>
              <w:spacing w:before="60" w:after="60" w:line="276"/>
              <w:jc w:val="left"/>
            </w:pPr>
            <w:r>
              <w:rPr>
                <w:rFonts w:ascii="Arial" w:cs="Arial" w:eastAsia="Arial" w:hAnsi="Arial"/>
                <w:b/>
                <w:bCs/>
                <w:i w:val="false"/>
                <w:iCs w:val="false"/>
                <w:color w:val="8C96A3"/>
                <w:sz w:val="18"/>
                <w:szCs w:val="18"/>
              </w:rPr>
              <w:t xml:space="preserve">Catégorie : </w:t>
            </w:r>
            <w:r>
              <w:rPr>
                <w:rFonts w:ascii="Arial" w:cs="Arial" w:eastAsia="Arial" w:hAnsi="Arial"/>
                <w:b w:val="false"/>
                <w:bCs w:val="false"/>
                <w:i w:val="false"/>
                <w:iCs w:val="false"/>
                <w:color w:val="1C2533"/>
                <w:sz w:val="18"/>
                <w:szCs w:val="18"/>
              </w:rPr>
              <w:t xml:space="preserve">Mobile    </w:t>
            </w:r>
            <w:r>
              <w:rPr>
                <w:rFonts w:ascii="Arial" w:cs="Arial" w:eastAsia="Arial" w:hAnsi="Arial"/>
                <w:b/>
                <w:bCs/>
                <w:i w:val="false"/>
                <w:iCs w:val="false"/>
                <w:color w:val="8C96A3"/>
                <w:sz w:val="18"/>
                <w:szCs w:val="18"/>
              </w:rPr>
              <w:t xml:space="preserve">│  Priorité : </w:t>
            </w:r>
            <w:r>
              <w:rPr>
                <w:rFonts w:ascii="Arial" w:cs="Arial" w:eastAsia="Arial" w:hAnsi="Arial"/>
                <w:b/>
                <w:bCs/>
                <w:i w:val="false"/>
                <w:iCs w:val="false"/>
                <w:color w:val="B71C1C"/>
                <w:sz w:val="18"/>
                <w:szCs w:val="18"/>
              </w:rPr>
              <w:t xml:space="preserve">STRATÉGIQUE    </w:t>
            </w:r>
            <w:r>
              <w:rPr>
                <w:rFonts w:ascii="Arial" w:cs="Arial" w:eastAsia="Arial" w:hAnsi="Arial"/>
                <w:b/>
                <w:bCs/>
                <w:i w:val="false"/>
                <w:iCs w:val="false"/>
                <w:color w:val="8C96A3"/>
                <w:sz w:val="18"/>
                <w:szCs w:val="18"/>
              </w:rPr>
              <w:t xml:space="preserve">│  Effort : </w:t>
            </w:r>
            <w:r>
              <w:rPr>
                <w:rFonts w:ascii="Arial" w:cs="Arial" w:eastAsia="Arial" w:hAnsi="Arial"/>
                <w:b w:val="false"/>
                <w:bCs w:val="false"/>
                <w:i w:val="false"/>
                <w:iCs w:val="false"/>
                <w:color w:val="1C2533"/>
                <w:sz w:val="18"/>
                <w:szCs w:val="18"/>
              </w:rPr>
              <w:t xml:space="preserve">Élevé    </w:t>
            </w:r>
            <w:r>
              <w:rPr>
                <w:rFonts w:ascii="Arial" w:cs="Arial" w:eastAsia="Arial" w:hAnsi="Arial"/>
                <w:b/>
                <w:bCs/>
                <w:i w:val="false"/>
                <w:iCs w:val="false"/>
                <w:color w:val="8C96A3"/>
                <w:sz w:val="18"/>
                <w:szCs w:val="18"/>
              </w:rPr>
              <w:t xml:space="preserve">│  Phase : </w:t>
            </w:r>
            <w:r>
              <w:rPr>
                <w:rFonts w:ascii="Arial" w:cs="Arial" w:eastAsia="Arial" w:hAnsi="Arial"/>
                <w:b w:val="false"/>
                <w:bCs w:val="false"/>
                <w:i w:val="false"/>
                <w:iCs w:val="false"/>
                <w:color w:val="1C2533"/>
                <w:sz w:val="18"/>
                <w:szCs w:val="18"/>
              </w:rPr>
              <w:t xml:space="preserve">Phase 1    </w:t>
            </w:r>
            <w:r>
              <w:rPr>
                <w:rFonts w:ascii="Arial" w:cs="Arial" w:eastAsia="Arial" w:hAnsi="Arial"/>
                <w:b/>
                <w:bCs/>
                <w:i w:val="false"/>
                <w:iCs w:val="false"/>
                <w:color w:val="8C96A3"/>
                <w:sz w:val="18"/>
                <w:szCs w:val="18"/>
              </w:rPr>
              <w:t xml:space="preserve">│  Statut : </w:t>
            </w:r>
            <w:r>
              <w:rPr>
                <w:rFonts w:ascii="Arial" w:cs="Arial" w:eastAsia="Arial" w:hAnsi="Arial"/>
                <w:b/>
                <w:bCs/>
                <w:i w:val="false"/>
                <w:iCs w:val="false"/>
                <w:color w:val="0E7C7B"/>
                <w:sz w:val="18"/>
                <w:szCs w:val="18"/>
              </w:rPr>
              <w:t xml:space="preserve">ENRICHI</w:t>
            </w:r>
          </w:p>
        </w:tc>
      </w:tr>
    </w:tbl>
    <w:p>
      <w:pPr>
        <w:spacing w:before="80" w:after="0"/>
      </w:pPr>
      <w:r>
        <w:rPr>
          <w:rFonts w:ascii="Arial" w:cs="Arial" w:eastAsia="Arial" w:hAnsi="Arial"/>
          <w:b w:val="false"/>
          <w:bCs w:val="false"/>
          <w:i w:val="false"/>
          <w:iCs w:val="false"/>
          <w:color w:val="1C2533"/>
          <w:sz w:val="20"/>
          <w:szCs w:val="20"/>
        </w:rPr>
        <w:t xml:space="preserve"/>
      </w:r>
    </w:p>
    <w:p>
      <w:pPr>
        <w:pStyle w:val="Heading3"/>
        <w:spacing w:before="220" w:after="100"/>
      </w:pPr>
      <w:r>
        <w:rPr>
          <w:rFonts w:ascii="Arial" w:cs="Arial" w:eastAsia="Arial" w:hAnsi="Arial"/>
          <w:b/>
          <w:bCs/>
          <w:i w:val="false"/>
          <w:iCs w:val="false"/>
          <w:color w:val="D4600A"/>
          <w:sz w:val="23"/>
          <w:szCs w:val="23"/>
        </w:rPr>
        <w:t xml:space="preserve">Pourquoi c'est un manque critique</w:t>
      </w:r>
    </w:p>
    <w:p>
      <w:pPr>
        <w:spacing w:before="60" w:after="60" w:line="276"/>
        <w:jc w:val="left"/>
      </w:pPr>
      <w:r>
        <w:rPr>
          <w:rFonts w:ascii="Arial" w:cs="Arial" w:eastAsia="Arial" w:hAnsi="Arial"/>
          <w:b w:val="false"/>
          <w:bCs w:val="false"/>
          <w:i w:val="false"/>
          <w:iCs w:val="false"/>
          <w:color w:val="1C2533"/>
          <w:sz w:val="20"/>
          <w:szCs w:val="20"/>
        </w:rPr>
        <w:t xml:space="preserve">Les GMAO actuelles — y compris MaintainX — ont des applications mobiles qui sont des portages de l'interface desktop. Un technicien dans une mine souterraine, sur une plateforme pétrolière ou dans une zone rurale sans réseau ne peut pas travailler. Maintex doit concevoir une expérience mobile-first pensée pour les contraintes réelles du terrain africain et industriel : soleil direct sur l'écran, mains gantées, réseau intermittent, lecteurs de QR codes artisanaux.</w:t>
      </w:r>
    </w:p>
    <w:p>
      <w:pPr>
        <w:spacing w:before="80" w:after="0"/>
      </w:pPr>
      <w:r>
        <w:rPr>
          <w:rFonts w:ascii="Arial" w:cs="Arial" w:eastAsia="Arial" w:hAnsi="Arial"/>
          <w:b w:val="false"/>
          <w:bCs w:val="false"/>
          <w:i w:val="false"/>
          <w:iCs w:val="false"/>
          <w:color w:val="1C2533"/>
          <w:sz w:val="20"/>
          <w:szCs w:val="20"/>
        </w:rPr>
        <w:t xml:space="preserve"/>
      </w:r>
    </w:p>
    <w:p>
      <w:pPr>
        <w:pStyle w:val="Heading4"/>
        <w:spacing w:before="160" w:after="80"/>
      </w:pPr>
      <w:r>
        <w:rPr>
          <w:rFonts w:ascii="Arial" w:cs="Arial" w:eastAsia="Arial" w:hAnsi="Arial"/>
          <w:b/>
          <w:bCs/>
          <w:i w:val="false"/>
          <w:iCs w:val="false"/>
          <w:color w:val="0E7C7B"/>
          <w:sz w:val="21"/>
          <w:szCs w:val="21"/>
        </w:rPr>
        <w:t xml:space="preserve">Ce que la concurrence ne fait pas (et que Maintex fera)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4EA" w:sz="1"/>
              <w:left w:val="single" w:color="E0E4EA" w:sz="1"/>
              <w:bottom w:val="single" w:color="E0E4EA" w:sz="1"/>
              <w:right w:val="single" w:color="E0E4EA" w:sz="1"/>
            </w:tcBorders>
            <w:shd w:fill="E3F4E9"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Interface conçue pour être utilisée avec des gants de travail : zones de clic ≥ 44px, boutons larges, swipe intuitif</w:t>
            </w:r>
          </w:p>
        </w:tc>
      </w:tr>
      <w:tr>
        <w:tc>
          <w:tcPr>
            <w:tcW w:type="dxa" w:w="9026"/>
            <w:tcBorders>
              <w:top w:val="single" w:color="E0E4EA" w:sz="1"/>
              <w:left w:val="single" w:color="E0E4EA" w:sz="1"/>
              <w:bottom w:val="single" w:color="E0E4EA" w:sz="1"/>
              <w:right w:val="single" w:color="E0E4EA" w:sz="1"/>
            </w:tcBorders>
            <w:shd w:fill="FFFFFF"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Mode hors-ligne complet : synchronisation intelligente — les BT, gammes, historiques équipements et pièces sont mis en cache. Toutes les saisies sont possibles sans réseau et synchronisées au retour de connexion</w:t>
            </w:r>
          </w:p>
        </w:tc>
      </w:tr>
      <w:tr>
        <w:tc>
          <w:tcPr>
            <w:tcW w:type="dxa" w:w="9026"/>
            <w:tcBorders>
              <w:top w:val="single" w:color="E0E4EA" w:sz="1"/>
              <w:left w:val="single" w:color="E0E4EA" w:sz="1"/>
              <w:bottom w:val="single" w:color="E0E4EA" w:sz="1"/>
              <w:right w:val="single" w:color="E0E4EA" w:sz="1"/>
            </w:tcBorders>
            <w:shd w:fill="E3F4E9"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Scan QR code et code-barres natif (sans app tierce) pour l'identification des équipements, des articles de stock et des emplacements</w:t>
            </w:r>
          </w:p>
        </w:tc>
      </w:tr>
      <w:tr>
        <w:tc>
          <w:tcPr>
            <w:tcW w:type="dxa" w:w="9026"/>
            <w:tcBorders>
              <w:top w:val="single" w:color="E0E4EA" w:sz="1"/>
              <w:left w:val="single" w:color="E0E4EA" w:sz="1"/>
              <w:bottom w:val="single" w:color="E0E4EA" w:sz="1"/>
              <w:right w:val="single" w:color="E0E4EA" w:sz="1"/>
            </w:tcBorders>
            <w:shd w:fill="FFFFFF"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Prise de photo et vidéo contextuelle : attachée automatiquement au BT en cours, compressée pour économiser la bande passante</w:t>
            </w:r>
          </w:p>
        </w:tc>
      </w:tr>
      <w:tr>
        <w:tc>
          <w:tcPr>
            <w:tcW w:type="dxa" w:w="9026"/>
            <w:tcBorders>
              <w:top w:val="single" w:color="E0E4EA" w:sz="1"/>
              <w:left w:val="single" w:color="E0E4EA" w:sz="1"/>
              <w:bottom w:val="single" w:color="E0E4EA" w:sz="1"/>
              <w:right w:val="single" w:color="E0E4EA" w:sz="1"/>
            </w:tcBorders>
            <w:shd w:fill="E3F4E9"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Mode nuit et contraste élevé : lisibilité dans les environnements industriels (forte luminosité extérieure, sombre en intérieur)</w:t>
            </w:r>
          </w:p>
        </w:tc>
      </w:tr>
      <w:tr>
        <w:tc>
          <w:tcPr>
            <w:tcW w:type="dxa" w:w="9026"/>
            <w:tcBorders>
              <w:top w:val="single" w:color="E0E4EA" w:sz="1"/>
              <w:left w:val="single" w:color="E0E4EA" w:sz="1"/>
              <w:bottom w:val="single" w:color="E0E4EA" w:sz="1"/>
              <w:right w:val="single" w:color="E0E4EA" w:sz="1"/>
            </w:tcBorders>
            <w:shd w:fill="FFFFFF"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Notifications intelligentes : regroupement des alertes pour éviter la surcharge, priorisation par criticité</w:t>
            </w:r>
          </w:p>
        </w:tc>
      </w:tr>
      <w:tr>
        <w:tc>
          <w:tcPr>
            <w:tcW w:type="dxa" w:w="9026"/>
            <w:tcBorders>
              <w:top w:val="single" w:color="E0E4EA" w:sz="1"/>
              <w:left w:val="single" w:color="E0E4EA" w:sz="1"/>
              <w:bottom w:val="single" w:color="E0E4EA" w:sz="1"/>
              <w:right w:val="single" w:color="E0E4EA" w:sz="1"/>
            </w:tcBorders>
            <w:shd w:fill="E3F4E9"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Installation PWA (Progressive Web App) : pas besoin de passer par les stores, mise à jour automatique transparente</w:t>
            </w:r>
          </w:p>
        </w:tc>
      </w:tr>
    </w:tbl>
    <w:p>
      <w:pPr>
        <w:spacing w:before="120" w:after="0"/>
      </w:pPr>
      <w:r>
        <w:rPr>
          <w:rFonts w:ascii="Arial" w:cs="Arial" w:eastAsia="Arial" w:hAnsi="Arial"/>
          <w:b w:val="false"/>
          <w:bCs w:val="false"/>
          <w:i w:val="false"/>
          <w:iCs w:val="false"/>
          <w:color w:val="1C2533"/>
          <w:sz w:val="20"/>
          <w:szCs w:val="20"/>
        </w:rPr>
        <w:t xml:space="preserve"/>
      </w:r>
    </w:p>
    <w:p>
      <w:pPr>
        <w:pStyle w:val="Heading4"/>
        <w:spacing w:before="160" w:after="80"/>
      </w:pPr>
      <w:r>
        <w:rPr>
          <w:rFonts w:ascii="Arial" w:cs="Arial" w:eastAsia="Arial" w:hAnsi="Arial"/>
          <w:b/>
          <w:bCs/>
          <w:i w:val="false"/>
          <w:iCs w:val="false"/>
          <w:color w:val="0E7C7B"/>
          <w:sz w:val="21"/>
          <w:szCs w:val="21"/>
        </w:rPr>
        <w:t xml:space="preserve">Guide d'implémentation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E0E4EA" w:sz="1"/>
              <w:left w:val="single" w:color="E0E4EA" w:sz="1"/>
              <w:bottom w:val="single" w:color="E0E4EA" w:sz="1"/>
              <w:right w:val="single" w:color="E0E4EA" w:sz="1"/>
            </w:tcBorders>
            <w:shd w:fill="0D2B4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1</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Architecture offline-first avec Service Workers + IndexedDB (côté client). Synchronisation différentielle : seules les données modifiées sont transmises. Gestion des conflits par règle « last-write-wins » avec notification du responsable en cas de conflit critique.</w:t>
            </w:r>
          </w:p>
        </w:tc>
      </w:tr>
      <w:tr>
        <w:tc>
          <w:tcPr>
            <w:tcW w:type="dxa" w:w="800"/>
            <w:tcBorders>
              <w:top w:val="single" w:color="E0E4EA" w:sz="1"/>
              <w:left w:val="single" w:color="E0E4EA" w:sz="1"/>
              <w:bottom w:val="single" w:color="E0E4EA" w:sz="1"/>
              <w:right w:val="single" w:color="E0E4EA" w:sz="1"/>
            </w:tcBorders>
            <w:shd w:fill="1A6BA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2</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Définir le périmètre du cache hors-ligne configurable par l'administrateur : équipements assignés au technicien, BT des 30 prochains jours, gammes et procédures associées, catalogue articles avec stock, arbres de diagnostic.</w:t>
            </w:r>
          </w:p>
        </w:tc>
      </w:tr>
      <w:tr>
        <w:tc>
          <w:tcPr>
            <w:tcW w:type="dxa" w:w="800"/>
            <w:tcBorders>
              <w:top w:val="single" w:color="E0E4EA" w:sz="1"/>
              <w:left w:val="single" w:color="E0E4EA" w:sz="1"/>
              <w:bottom w:val="single" w:color="E0E4EA" w:sz="1"/>
              <w:right w:val="single" w:color="E0E4EA" w:sz="1"/>
            </w:tcBorders>
            <w:shd w:fill="0D2B4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3</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Interface mobile React Native (ou PWA avec Capacitor) avec composants dédiés : BottomSheet pour les formulaires, FlatList virtualisée pour les longues listes, caméra native via API Capacitor.</w:t>
            </w:r>
          </w:p>
        </w:tc>
      </w:tr>
      <w:tr>
        <w:tc>
          <w:tcPr>
            <w:tcW w:type="dxa" w:w="800"/>
            <w:tcBorders>
              <w:top w:val="single" w:color="E0E4EA" w:sz="1"/>
              <w:left w:val="single" w:color="E0E4EA" w:sz="1"/>
              <w:bottom w:val="single" w:color="E0E4EA" w:sz="1"/>
              <w:right w:val="single" w:color="E0E4EA" w:sz="1"/>
            </w:tcBorders>
            <w:shd w:fill="1A6BA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4</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QR code scanner intégré via bibliothèque ZXing (open source, Apache 2.0). Scan immédiat à l'ouverture sans navigation préalable — bouton scan flottant sur toutes les écrans principaux.</w:t>
            </w:r>
          </w:p>
        </w:tc>
      </w:tr>
      <w:tr>
        <w:tc>
          <w:tcPr>
            <w:tcW w:type="dxa" w:w="800"/>
            <w:tcBorders>
              <w:top w:val="single" w:color="E0E4EA" w:sz="1"/>
              <w:left w:val="single" w:color="E0E4EA" w:sz="1"/>
              <w:bottom w:val="single" w:color="E0E4EA" w:sz="1"/>
              <w:right w:val="single" w:color="E0E4EA" w:sz="1"/>
            </w:tcBorders>
            <w:shd w:fill="0D2B4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5</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Indicateur de synchronisation visible en permanence : dernière sync réussie, nombre d'éléments en attente de sync, bouton sync manuelle. Alertes si données critiques non synchronisées depuis &gt;24h.</w:t>
            </w:r>
          </w:p>
        </w:tc>
      </w:tr>
      <w:tr>
        <w:tc>
          <w:tcPr>
            <w:tcW w:type="dxa" w:w="800"/>
            <w:tcBorders>
              <w:top w:val="single" w:color="E0E4EA" w:sz="1"/>
              <w:left w:val="single" w:color="E0E4EA" w:sz="1"/>
              <w:bottom w:val="single" w:color="E0E4EA" w:sz="1"/>
              <w:right w:val="single" w:color="E0E4EA" w:sz="1"/>
            </w:tcBorders>
            <w:shd w:fill="1A6BA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6</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Tests utilisateur obligatoires avec des techniciens réels en conditions terrain avant mise en production. Mesure du NPS (Net Promoter Score) mobile pour itérer rapidement.</w:t>
            </w:r>
          </w:p>
        </w:tc>
      </w:tr>
    </w:tbl>
    <w:p>
      <w:pPr>
        <w:spacing w:before="200" w:after="0"/>
      </w:pPr>
      <w:r>
        <w:rPr>
          <w:rFonts w:ascii="Arial" w:cs="Arial" w:eastAsia="Arial" w:hAnsi="Arial"/>
          <w:b w:val="false"/>
          <w:bCs w:val="false"/>
          <w:i w:val="false"/>
          <w:iCs w:val="false"/>
          <w:color w:val="1C2533"/>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D4600A" w:sz="30"/>
              <w:bottom w:val="none" w:color="FFFFFF" w:sz="0"/>
              <w:right w:val="none" w:color="FFFFFF" w:sz="0"/>
            </w:tcBorders>
            <w:shd w:fill="F4F6F9" w:val="clear"/>
            <w:tcMar>
              <w:top w:type="dxa" w:w="140"/>
              <w:left w:type="dxa" w:w="200"/>
              <w:bottom w:type="dxa" w:w="140"/>
              <w:right w:type="dxa" w:w="200"/>
            </w:tcMar>
          </w:tcPr>
          <w:p>
            <w:pPr>
              <w:spacing w:before="60" w:after="60" w:line="276"/>
              <w:jc w:val="left"/>
            </w:pPr>
            <w:r>
              <w:rPr>
                <w:rFonts w:ascii="Arial" w:cs="Arial" w:eastAsia="Arial" w:hAnsi="Arial"/>
                <w:b/>
                <w:bCs/>
                <w:i w:val="false"/>
                <w:iCs w:val="false"/>
                <w:color w:val="D4600A"/>
                <w:sz w:val="22"/>
                <w:szCs w:val="22"/>
              </w:rPr>
              <w:t xml:space="preserve">F29  </w:t>
            </w:r>
            <w:r>
              <w:rPr>
                <w:rFonts w:ascii="Arial" w:cs="Arial" w:eastAsia="Arial" w:hAnsi="Arial"/>
                <w:b/>
                <w:bCs/>
                <w:i w:val="false"/>
                <w:iCs w:val="false"/>
                <w:color w:val="0D2B4E"/>
                <w:sz w:val="24"/>
                <w:szCs w:val="24"/>
              </w:rPr>
              <w:t xml:space="preserve">Onboarding Guidé, Import Intelligent &amp; Templates Sectoriels</w:t>
            </w:r>
          </w:p>
          <w:p>
            <w:pPr>
              <w:spacing w:before="60" w:after="60" w:line="276"/>
              <w:jc w:val="left"/>
            </w:pPr>
            <w:r>
              <w:rPr>
                <w:rFonts w:ascii="Arial" w:cs="Arial" w:eastAsia="Arial" w:hAnsi="Arial"/>
                <w:b/>
                <w:bCs/>
                <w:i w:val="false"/>
                <w:iCs w:val="false"/>
                <w:color w:val="8C96A3"/>
                <w:sz w:val="18"/>
                <w:szCs w:val="18"/>
              </w:rPr>
              <w:t xml:space="preserve">Catégorie : </w:t>
            </w:r>
            <w:r>
              <w:rPr>
                <w:rFonts w:ascii="Arial" w:cs="Arial" w:eastAsia="Arial" w:hAnsi="Arial"/>
                <w:b w:val="false"/>
                <w:bCs w:val="false"/>
                <w:i w:val="false"/>
                <w:iCs w:val="false"/>
                <w:color w:val="1C2533"/>
                <w:sz w:val="18"/>
                <w:szCs w:val="18"/>
              </w:rPr>
              <w:t xml:space="preserve">Adoption    </w:t>
            </w:r>
            <w:r>
              <w:rPr>
                <w:rFonts w:ascii="Arial" w:cs="Arial" w:eastAsia="Arial" w:hAnsi="Arial"/>
                <w:b/>
                <w:bCs/>
                <w:i w:val="false"/>
                <w:iCs w:val="false"/>
                <w:color w:val="8C96A3"/>
                <w:sz w:val="18"/>
                <w:szCs w:val="18"/>
              </w:rPr>
              <w:t xml:space="preserve">│  Priorité : </w:t>
            </w:r>
            <w:r>
              <w:rPr>
                <w:rFonts w:ascii="Arial" w:cs="Arial" w:eastAsia="Arial" w:hAnsi="Arial"/>
                <w:b/>
                <w:bCs/>
                <w:i w:val="false"/>
                <w:iCs w:val="false"/>
                <w:color w:val="D4600A"/>
                <w:sz w:val="18"/>
                <w:szCs w:val="18"/>
              </w:rPr>
              <w:t xml:space="preserve">HAUTE    </w:t>
            </w:r>
            <w:r>
              <w:rPr>
                <w:rFonts w:ascii="Arial" w:cs="Arial" w:eastAsia="Arial" w:hAnsi="Arial"/>
                <w:b/>
                <w:bCs/>
                <w:i w:val="false"/>
                <w:iCs w:val="false"/>
                <w:color w:val="8C96A3"/>
                <w:sz w:val="18"/>
                <w:szCs w:val="18"/>
              </w:rPr>
              <w:t xml:space="preserve">│  Effort : </w:t>
            </w:r>
            <w:r>
              <w:rPr>
                <w:rFonts w:ascii="Arial" w:cs="Arial" w:eastAsia="Arial" w:hAnsi="Arial"/>
                <w:b w:val="false"/>
                <w:bCs w:val="false"/>
                <w:i w:val="false"/>
                <w:iCs w:val="false"/>
                <w:color w:val="1C2533"/>
                <w:sz w:val="18"/>
                <w:szCs w:val="18"/>
              </w:rPr>
              <w:t xml:space="preserve">Moyen    </w:t>
            </w:r>
            <w:r>
              <w:rPr>
                <w:rFonts w:ascii="Arial" w:cs="Arial" w:eastAsia="Arial" w:hAnsi="Arial"/>
                <w:b/>
                <w:bCs/>
                <w:i w:val="false"/>
                <w:iCs w:val="false"/>
                <w:color w:val="8C96A3"/>
                <w:sz w:val="18"/>
                <w:szCs w:val="18"/>
              </w:rPr>
              <w:t xml:space="preserve">│  Phase : </w:t>
            </w:r>
            <w:r>
              <w:rPr>
                <w:rFonts w:ascii="Arial" w:cs="Arial" w:eastAsia="Arial" w:hAnsi="Arial"/>
                <w:b w:val="false"/>
                <w:bCs w:val="false"/>
                <w:i w:val="false"/>
                <w:iCs w:val="false"/>
                <w:color w:val="1C2533"/>
                <w:sz w:val="18"/>
                <w:szCs w:val="18"/>
              </w:rPr>
              <w:t xml:space="preserve">Phase 1    </w:t>
            </w:r>
            <w:r>
              <w:rPr>
                <w:rFonts w:ascii="Arial" w:cs="Arial" w:eastAsia="Arial" w:hAnsi="Arial"/>
                <w:b/>
                <w:bCs/>
                <w:i w:val="false"/>
                <w:iCs w:val="false"/>
                <w:color w:val="8C96A3"/>
                <w:sz w:val="18"/>
                <w:szCs w:val="18"/>
              </w:rPr>
              <w:t xml:space="preserve">│  Statut : </w:t>
            </w:r>
            <w:r>
              <w:rPr>
                <w:rFonts w:ascii="Arial" w:cs="Arial" w:eastAsia="Arial" w:hAnsi="Arial"/>
                <w:b/>
                <w:bCs/>
                <w:i w:val="false"/>
                <w:iCs w:val="false"/>
                <w:color w:val="0E7C7B"/>
                <w:sz w:val="18"/>
                <w:szCs w:val="18"/>
              </w:rPr>
              <w:t xml:space="preserve">ENRICHI</w:t>
            </w:r>
          </w:p>
        </w:tc>
      </w:tr>
    </w:tbl>
    <w:p>
      <w:pPr>
        <w:spacing w:before="80" w:after="0"/>
      </w:pPr>
      <w:r>
        <w:rPr>
          <w:rFonts w:ascii="Arial" w:cs="Arial" w:eastAsia="Arial" w:hAnsi="Arial"/>
          <w:b w:val="false"/>
          <w:bCs w:val="false"/>
          <w:i w:val="false"/>
          <w:iCs w:val="false"/>
          <w:color w:val="1C2533"/>
          <w:sz w:val="20"/>
          <w:szCs w:val="20"/>
        </w:rPr>
        <w:t xml:space="preserve"/>
      </w:r>
    </w:p>
    <w:p>
      <w:pPr>
        <w:pStyle w:val="Heading3"/>
        <w:spacing w:before="220" w:after="100"/>
      </w:pPr>
      <w:r>
        <w:rPr>
          <w:rFonts w:ascii="Arial" w:cs="Arial" w:eastAsia="Arial" w:hAnsi="Arial"/>
          <w:b/>
          <w:bCs/>
          <w:i w:val="false"/>
          <w:iCs w:val="false"/>
          <w:color w:val="D4600A"/>
          <w:sz w:val="23"/>
          <w:szCs w:val="23"/>
        </w:rPr>
        <w:t xml:space="preserve">Le problème de l'adoption : l'ennemi numéro 1 des GMAO</w:t>
      </w:r>
    </w:p>
    <w:p>
      <w:pPr>
        <w:spacing w:before="60" w:after="60" w:line="276"/>
        <w:jc w:val="left"/>
      </w:pPr>
      <w:r>
        <w:rPr>
          <w:rFonts w:ascii="Arial" w:cs="Arial" w:eastAsia="Arial" w:hAnsi="Arial"/>
          <w:b w:val="false"/>
          <w:bCs w:val="false"/>
          <w:i w:val="false"/>
          <w:iCs w:val="false"/>
          <w:color w:val="1C2533"/>
          <w:sz w:val="20"/>
          <w:szCs w:val="20"/>
        </w:rPr>
        <w:t xml:space="preserve">Statistique clé du secteur : 40% des projets GMAO échouent non pas pour des raisons techniques, mais par défaut d'adoption. Le premier mois d'utilisation est décisif. Si les utilisateurs ne voient pas de valeur immédiate, ils reviennent aux fichiers Excel. Maintex doit rendre l'onboarding aussi fluide que l'inscription sur une application grand public.</w:t>
      </w:r>
    </w:p>
    <w:p>
      <w:pPr>
        <w:spacing w:before="80" w:after="0"/>
      </w:pPr>
      <w:r>
        <w:rPr>
          <w:rFonts w:ascii="Arial" w:cs="Arial" w:eastAsia="Arial" w:hAnsi="Arial"/>
          <w:b w:val="false"/>
          <w:bCs w:val="false"/>
          <w:i w:val="false"/>
          <w:iCs w:val="false"/>
          <w:color w:val="1C2533"/>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4EA" w:sz="1"/>
              <w:left w:val="single" w:color="E0E4EA" w:sz="1"/>
              <w:bottom w:val="single" w:color="E0E4EA" w:sz="1"/>
              <w:right w:val="single" w:color="E0E4EA" w:sz="1"/>
            </w:tcBorders>
            <w:shd w:fill="E3F4E9"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Assistant de configuration guidé (wizard) : l'administrateur est guidé pas à pas (Créer votre premier site → Importer vos équipements → Configurer vos équipes → Créer votre première FMP → Lancer votre premier BT). Durée cible : 2 heures pour une PME de 50 équipements</w:t>
            </w:r>
          </w:p>
        </w:tc>
      </w:tr>
      <w:tr>
        <w:tc>
          <w:tcPr>
            <w:tcW w:type="dxa" w:w="9026"/>
            <w:tcBorders>
              <w:top w:val="single" w:color="E0E4EA" w:sz="1"/>
              <w:left w:val="single" w:color="E0E4EA" w:sz="1"/>
              <w:bottom w:val="single" w:color="E0E4EA" w:sz="1"/>
              <w:right w:val="single" w:color="E0E4EA" w:sz="1"/>
            </w:tcBorders>
            <w:shd w:fill="FFFFFF"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Import intelligent depuis Excel : détection automatique des colonnes (l'algorithme reconnaît « Code équipement », « N° inventaire », « Machine », « Désignation » comme synonymes), mapping intelligent, prévisualisation avant import, rapport d'erreurs actionnable</w:t>
            </w:r>
          </w:p>
        </w:tc>
      </w:tr>
      <w:tr>
        <w:tc>
          <w:tcPr>
            <w:tcW w:type="dxa" w:w="9026"/>
            <w:tcBorders>
              <w:top w:val="single" w:color="E0E4EA" w:sz="1"/>
              <w:left w:val="single" w:color="E0E4EA" w:sz="1"/>
              <w:bottom w:val="single" w:color="E0E4EA" w:sz="1"/>
              <w:right w:val="single" w:color="E0E4EA" w:sz="1"/>
            </w:tcBorders>
            <w:shd w:fill="E3F4E9"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Templates sectoriels préconfigurés : Industries minières / Énergie &amp; eau / Santé &amp; hôpitaux / Agro-industrie / Transport &amp; logistique / Bâtiment &amp; facilities. Chaque template inclut : familles d'équipements types, gammes standard du secteur, KPIs pertinents, modèles de BT courants</w:t>
            </w:r>
          </w:p>
        </w:tc>
      </w:tr>
      <w:tr>
        <w:tc>
          <w:tcPr>
            <w:tcW w:type="dxa" w:w="9026"/>
            <w:tcBorders>
              <w:top w:val="single" w:color="E0E4EA" w:sz="1"/>
              <w:left w:val="single" w:color="E0E4EA" w:sz="1"/>
              <w:bottom w:val="single" w:color="E0E4EA" w:sz="1"/>
              <w:right w:val="single" w:color="E0E4EA" w:sz="1"/>
            </w:tcBorders>
            <w:shd w:fill="FFFFFF"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Progression de complétion visible : tableau de bord « Maturité de votre GMAO » (0 à 100%) avec les prochaines étapes suggérées pour monter en puissance</w:t>
            </w:r>
          </w:p>
        </w:tc>
      </w:tr>
      <w:tr>
        <w:tc>
          <w:tcPr>
            <w:tcW w:type="dxa" w:w="9026"/>
            <w:tcBorders>
              <w:top w:val="single" w:color="E0E4EA" w:sz="1"/>
              <w:left w:val="single" w:color="E0E4EA" w:sz="1"/>
              <w:bottom w:val="single" w:color="E0E4EA" w:sz="1"/>
              <w:right w:val="single" w:color="E0E4EA" w:sz="1"/>
            </w:tcBorders>
            <w:shd w:fill="E3F4E9"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Vidéos contextuelle intégrées : à chaque fonctionnalité, une vidéo de 60 secondes accessible sans quitter l'interface</w:t>
            </w:r>
          </w:p>
        </w:tc>
      </w:tr>
    </w:tbl>
    <w:p>
      <w:pPr>
        <w:spacing w:before="120" w:after="0"/>
      </w:pPr>
      <w:r>
        <w:rPr>
          <w:rFonts w:ascii="Arial" w:cs="Arial" w:eastAsia="Arial" w:hAnsi="Arial"/>
          <w:b w:val="false"/>
          <w:bCs w:val="false"/>
          <w:i w:val="false"/>
          <w:iCs w:val="false"/>
          <w:color w:val="1C2533"/>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E0E4EA" w:sz="1"/>
              <w:left w:val="single" w:color="E0E4EA" w:sz="1"/>
              <w:bottom w:val="single" w:color="E0E4EA" w:sz="1"/>
              <w:right w:val="single" w:color="E0E4EA" w:sz="1"/>
            </w:tcBorders>
            <w:shd w:fill="0D2B4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1</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Créer la table ONBOARDING_PROGRESS (société_id, étape, statut, complété_le, données_JSON). Job quotidien calculant le score de maturité et proposant les actions suivantes.</w:t>
            </w:r>
          </w:p>
        </w:tc>
      </w:tr>
      <w:tr>
        <w:tc>
          <w:tcPr>
            <w:tcW w:type="dxa" w:w="800"/>
            <w:tcBorders>
              <w:top w:val="single" w:color="E0E4EA" w:sz="1"/>
              <w:left w:val="single" w:color="E0E4EA" w:sz="1"/>
              <w:bottom w:val="single" w:color="E0E4EA" w:sz="1"/>
              <w:right w:val="single" w:color="E0E4EA" w:sz="1"/>
            </w:tcBorders>
            <w:shd w:fill="1A6BA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2</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Moteur d'import Excel universel : utilisez SheetJS + un algorithme de matching de colonnes par similarité (distance de Levenshtein sur les en-têtes). Afficher un rapport d'import avec 3 catégories : Importé avec succès / Importé avec avertissements / Non importé (avec raison).</w:t>
            </w:r>
          </w:p>
        </w:tc>
      </w:tr>
      <w:tr>
        <w:tc>
          <w:tcPr>
            <w:tcW w:type="dxa" w:w="800"/>
            <w:tcBorders>
              <w:top w:val="single" w:color="E0E4EA" w:sz="1"/>
              <w:left w:val="single" w:color="E0E4EA" w:sz="1"/>
              <w:bottom w:val="single" w:color="E0E4EA" w:sz="1"/>
              <w:right w:val="single" w:color="E0E4EA" w:sz="1"/>
            </w:tcBorders>
            <w:shd w:fill="0D2B4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3</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Bibliothèque de templates sectoriels : fichier JSON structuré par secteur contenant les données de référence. Chargées en 1 clic, modifiables après import.</w:t>
            </w:r>
          </w:p>
        </w:tc>
      </w:tr>
      <w:tr>
        <w:tc>
          <w:tcPr>
            <w:tcW w:type="dxa" w:w="800"/>
            <w:tcBorders>
              <w:top w:val="single" w:color="E0E4EA" w:sz="1"/>
              <w:left w:val="single" w:color="E0E4EA" w:sz="1"/>
              <w:bottom w:val="single" w:color="E0E4EA" w:sz="1"/>
              <w:right w:val="single" w:color="E0E4EA" w:sz="1"/>
            </w:tcBorders>
            <w:shd w:fill="1A6BA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4</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Score de maturité GMAO : 10 indicateurs pondérés (équipements créés, BT réalisés ce mois, PM planifiées, techniciens actifs sur mobile, etc.). Score affiché dans le tableau de bord admin.</w:t>
            </w:r>
          </w:p>
        </w:tc>
      </w:tr>
    </w:tbl>
    <w:p>
      <w:pPr>
        <w:spacing w:before="200" w:after="0"/>
      </w:pPr>
      <w:r>
        <w:rPr>
          <w:rFonts w:ascii="Arial" w:cs="Arial" w:eastAsia="Arial" w:hAnsi="Arial"/>
          <w:b w:val="false"/>
          <w:bCs w:val="false"/>
          <w:i w:val="false"/>
          <w:iCs w:val="false"/>
          <w:color w:val="1C2533"/>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71C1C" w:sz="30"/>
              <w:bottom w:val="none" w:color="FFFFFF" w:sz="0"/>
              <w:right w:val="none" w:color="FFFFFF" w:sz="0"/>
            </w:tcBorders>
            <w:shd w:fill="F4F6F9" w:val="clear"/>
            <w:tcMar>
              <w:top w:type="dxa" w:w="140"/>
              <w:left w:type="dxa" w:w="200"/>
              <w:bottom w:type="dxa" w:w="140"/>
              <w:right w:type="dxa" w:w="200"/>
            </w:tcMar>
          </w:tcPr>
          <w:p>
            <w:pPr>
              <w:spacing w:before="60" w:after="60" w:line="276"/>
              <w:jc w:val="left"/>
            </w:pPr>
            <w:r>
              <w:rPr>
                <w:rFonts w:ascii="Arial" w:cs="Arial" w:eastAsia="Arial" w:hAnsi="Arial"/>
                <w:b/>
                <w:bCs/>
                <w:i w:val="false"/>
                <w:iCs w:val="false"/>
                <w:color w:val="B71C1C"/>
                <w:sz w:val="22"/>
                <w:szCs w:val="22"/>
              </w:rPr>
              <w:t xml:space="preserve">F30  </w:t>
            </w:r>
            <w:r>
              <w:rPr>
                <w:rFonts w:ascii="Arial" w:cs="Arial" w:eastAsia="Arial" w:hAnsi="Arial"/>
                <w:b/>
                <w:bCs/>
                <w:i w:val="false"/>
                <w:iCs w:val="false"/>
                <w:color w:val="0D2B4E"/>
                <w:sz w:val="24"/>
                <w:szCs w:val="24"/>
              </w:rPr>
              <w:t xml:space="preserve">Base de Connaissance IA &amp; Chatbot Technique Intégré</w:t>
            </w:r>
          </w:p>
          <w:p>
            <w:pPr>
              <w:spacing w:before="60" w:after="60" w:line="276"/>
              <w:jc w:val="left"/>
            </w:pPr>
            <w:r>
              <w:rPr>
                <w:rFonts w:ascii="Arial" w:cs="Arial" w:eastAsia="Arial" w:hAnsi="Arial"/>
                <w:b/>
                <w:bCs/>
                <w:i w:val="false"/>
                <w:iCs w:val="false"/>
                <w:color w:val="8C96A3"/>
                <w:sz w:val="18"/>
                <w:szCs w:val="18"/>
              </w:rPr>
              <w:t xml:space="preserve">Catégorie : </w:t>
            </w:r>
            <w:r>
              <w:rPr>
                <w:rFonts w:ascii="Arial" w:cs="Arial" w:eastAsia="Arial" w:hAnsi="Arial"/>
                <w:b w:val="false"/>
                <w:bCs w:val="false"/>
                <w:i w:val="false"/>
                <w:iCs w:val="false"/>
                <w:color w:val="1C2533"/>
                <w:sz w:val="18"/>
                <w:szCs w:val="18"/>
              </w:rPr>
              <w:t xml:space="preserve">IA / Support    </w:t>
            </w:r>
            <w:r>
              <w:rPr>
                <w:rFonts w:ascii="Arial" w:cs="Arial" w:eastAsia="Arial" w:hAnsi="Arial"/>
                <w:b/>
                <w:bCs/>
                <w:i w:val="false"/>
                <w:iCs w:val="false"/>
                <w:color w:val="8C96A3"/>
                <w:sz w:val="18"/>
                <w:szCs w:val="18"/>
              </w:rPr>
              <w:t xml:space="preserve">│  Priorité : </w:t>
            </w:r>
            <w:r>
              <w:rPr>
                <w:rFonts w:ascii="Arial" w:cs="Arial" w:eastAsia="Arial" w:hAnsi="Arial"/>
                <w:b/>
                <w:bCs/>
                <w:i w:val="false"/>
                <w:iCs w:val="false"/>
                <w:color w:val="B71C1C"/>
                <w:sz w:val="18"/>
                <w:szCs w:val="18"/>
              </w:rPr>
              <w:t xml:space="preserve">STRATÉGIQUE    </w:t>
            </w:r>
            <w:r>
              <w:rPr>
                <w:rFonts w:ascii="Arial" w:cs="Arial" w:eastAsia="Arial" w:hAnsi="Arial"/>
                <w:b/>
                <w:bCs/>
                <w:i w:val="false"/>
                <w:iCs w:val="false"/>
                <w:color w:val="8C96A3"/>
                <w:sz w:val="18"/>
                <w:szCs w:val="18"/>
              </w:rPr>
              <w:t xml:space="preserve">│  Effort : </w:t>
            </w:r>
            <w:r>
              <w:rPr>
                <w:rFonts w:ascii="Arial" w:cs="Arial" w:eastAsia="Arial" w:hAnsi="Arial"/>
                <w:b w:val="false"/>
                <w:bCs w:val="false"/>
                <w:i w:val="false"/>
                <w:iCs w:val="false"/>
                <w:color w:val="1C2533"/>
                <w:sz w:val="18"/>
                <w:szCs w:val="18"/>
              </w:rPr>
              <w:t xml:space="preserve">Élevé    </w:t>
            </w:r>
            <w:r>
              <w:rPr>
                <w:rFonts w:ascii="Arial" w:cs="Arial" w:eastAsia="Arial" w:hAnsi="Arial"/>
                <w:b/>
                <w:bCs/>
                <w:i w:val="false"/>
                <w:iCs w:val="false"/>
                <w:color w:val="8C96A3"/>
                <w:sz w:val="18"/>
                <w:szCs w:val="18"/>
              </w:rPr>
              <w:t xml:space="preserve">│  Phase : </w:t>
            </w:r>
            <w:r>
              <w:rPr>
                <w:rFonts w:ascii="Arial" w:cs="Arial" w:eastAsia="Arial" w:hAnsi="Arial"/>
                <w:b w:val="false"/>
                <w:bCs w:val="false"/>
                <w:i w:val="false"/>
                <w:iCs w:val="false"/>
                <w:color w:val="1C2533"/>
                <w:sz w:val="18"/>
                <w:szCs w:val="18"/>
              </w:rPr>
              <w:t xml:space="preserve">Phase 2    </w:t>
            </w:r>
            <w:r>
              <w:rPr>
                <w:rFonts w:ascii="Arial" w:cs="Arial" w:eastAsia="Arial" w:hAnsi="Arial"/>
                <w:b/>
                <w:bCs/>
                <w:i w:val="false"/>
                <w:iCs w:val="false"/>
                <w:color w:val="8C96A3"/>
                <w:sz w:val="18"/>
                <w:szCs w:val="18"/>
              </w:rPr>
              <w:t xml:space="preserve">│  Statut : </w:t>
            </w:r>
            <w:r>
              <w:rPr>
                <w:rFonts w:ascii="Arial" w:cs="Arial" w:eastAsia="Arial" w:hAnsi="Arial"/>
                <w:b/>
                <w:bCs/>
                <w:i w:val="false"/>
                <w:iCs w:val="false"/>
                <w:color w:val="0E7C7B"/>
                <w:sz w:val="18"/>
                <w:szCs w:val="18"/>
              </w:rPr>
              <w:t xml:space="preserve">ENRICHI</w:t>
            </w:r>
          </w:p>
        </w:tc>
      </w:tr>
    </w:tbl>
    <w:p>
      <w:pPr>
        <w:spacing w:before="80" w:after="0"/>
      </w:pPr>
      <w:r>
        <w:rPr>
          <w:rFonts w:ascii="Arial" w:cs="Arial" w:eastAsia="Arial" w:hAnsi="Arial"/>
          <w:b w:val="false"/>
          <w:bCs w:val="false"/>
          <w:i w:val="false"/>
          <w:iCs w:val="false"/>
          <w:color w:val="1C2533"/>
          <w:sz w:val="20"/>
          <w:szCs w:val="20"/>
        </w:rPr>
        <w:t xml:space="preserve"/>
      </w:r>
    </w:p>
    <w:p>
      <w:pPr>
        <w:pStyle w:val="Heading3"/>
        <w:spacing w:before="220" w:after="100"/>
      </w:pPr>
      <w:r>
        <w:rPr>
          <w:rFonts w:ascii="Arial" w:cs="Arial" w:eastAsia="Arial" w:hAnsi="Arial"/>
          <w:b/>
          <w:bCs/>
          <w:i w:val="false"/>
          <w:iCs w:val="false"/>
          <w:color w:val="D4600A"/>
          <w:sz w:val="23"/>
          <w:szCs w:val="23"/>
        </w:rPr>
        <w:t xml:space="preserve">La GMAO qui comprend vos questions</w:t>
      </w:r>
    </w:p>
    <w:p>
      <w:pPr>
        <w:spacing w:before="60" w:after="60" w:line="276"/>
        <w:jc w:val="left"/>
      </w:pPr>
      <w:r>
        <w:rPr>
          <w:rFonts w:ascii="Arial" w:cs="Arial" w:eastAsia="Arial" w:hAnsi="Arial"/>
          <w:b w:val="false"/>
          <w:bCs w:val="false"/>
          <w:i w:val="false"/>
          <w:iCs w:val="false"/>
          <w:color w:val="1C2533"/>
          <w:sz w:val="20"/>
          <w:szCs w:val="20"/>
        </w:rPr>
        <w:t xml:space="preserve">Imaginez un technicien qui, au lieu de chercher dans un PDF de 200 pages, tape simplement : « Quelle est la pression d'huile normale pour le compresseur Atlas Copco modèle GA90 ? » et obtient la réponse en 3 secondes, extraite du manuel du fabricant. C'est l'ambition de F30 : faire de Maintex un expert maintenance accessible à tous en permanence.</w:t>
      </w:r>
    </w:p>
    <w:p>
      <w:pPr>
        <w:spacing w:before="80" w:after="0"/>
      </w:pPr>
      <w:r>
        <w:rPr>
          <w:rFonts w:ascii="Arial" w:cs="Arial" w:eastAsia="Arial" w:hAnsi="Arial"/>
          <w:b w:val="false"/>
          <w:bCs w:val="false"/>
          <w:i w:val="false"/>
          <w:iCs w:val="false"/>
          <w:color w:val="1C2533"/>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4EA" w:sz="1"/>
              <w:left w:val="single" w:color="E0E4EA" w:sz="1"/>
              <w:bottom w:val="single" w:color="E0E4EA" w:sz="1"/>
              <w:right w:val="single" w:color="E0E4EA" w:sz="1"/>
            </w:tcBorders>
            <w:shd w:fill="E3F4E9"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Chatbot technique accessible depuis toutes les pages de Maintex (widget flottant) et depuis l'application mobile</w:t>
            </w:r>
          </w:p>
        </w:tc>
      </w:tr>
      <w:tr>
        <w:tc>
          <w:tcPr>
            <w:tcW w:type="dxa" w:w="9026"/>
            <w:tcBorders>
              <w:top w:val="single" w:color="E0E4EA" w:sz="1"/>
              <w:left w:val="single" w:color="E0E4EA" w:sz="1"/>
              <w:bottom w:val="single" w:color="E0E4EA" w:sz="1"/>
              <w:right w:val="single" w:color="E0E4EA" w:sz="1"/>
            </w:tcBorders>
            <w:shd w:fill="FFFFFF"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Capable de répondre sur : les équipements (spec techniques, historique pannes, gammes associées), les pièces (disponibilité, fournisseurs, prix PMP), les procédures (étapes d'une gamme, valeurs de consigne), les normes de maintenance du secteur</w:t>
            </w:r>
          </w:p>
        </w:tc>
      </w:tr>
      <w:tr>
        <w:tc>
          <w:tcPr>
            <w:tcW w:type="dxa" w:w="9026"/>
            <w:tcBorders>
              <w:top w:val="single" w:color="E0E4EA" w:sz="1"/>
              <w:left w:val="single" w:color="E0E4EA" w:sz="1"/>
              <w:bottom w:val="single" w:color="E0E4EA" w:sz="1"/>
              <w:right w:val="single" w:color="E0E4EA" w:sz="1"/>
            </w:tcBorders>
            <w:shd w:fill="E3F4E9"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Ingestion automatique des manuels PDF uploadés dans le DMS : indexation sémantique avec Apache Tika + pgvector</w:t>
            </w:r>
          </w:p>
        </w:tc>
      </w:tr>
      <w:tr>
        <w:tc>
          <w:tcPr>
            <w:tcW w:type="dxa" w:w="9026"/>
            <w:tcBorders>
              <w:top w:val="single" w:color="E0E4EA" w:sz="1"/>
              <w:left w:val="single" w:color="E0E4EA" w:sz="1"/>
              <w:bottom w:val="single" w:color="E0E4EA" w:sz="1"/>
              <w:right w:val="single" w:color="E0E4EA" w:sz="1"/>
            </w:tcBorders>
            <w:shd w:fill="FFFFFF"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Mémoire contextuelle : le chatbot sait sur quel BT ou équipement l'utilisateur travaille et adapte ses réponses</w:t>
            </w:r>
          </w:p>
        </w:tc>
      </w:tr>
      <w:tr>
        <w:tc>
          <w:tcPr>
            <w:tcW w:type="dxa" w:w="9026"/>
            <w:tcBorders>
              <w:top w:val="single" w:color="E0E4EA" w:sz="1"/>
              <w:left w:val="single" w:color="E0E4EA" w:sz="1"/>
              <w:bottom w:val="single" w:color="E0E4EA" w:sz="1"/>
              <w:right w:val="single" w:color="E0E4EA" w:sz="1"/>
            </w:tcBorders>
            <w:shd w:fill="E3F4E9"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Mode "Je ne sais pas" honnête : si la réponse n'est pas dans la base, le chatbot propose d'escalader vers le support Maintex ou de poser la question à un expert disponible dans la communauté</w:t>
            </w:r>
          </w:p>
        </w:tc>
      </w:tr>
      <w:tr>
        <w:tc>
          <w:tcPr>
            <w:tcW w:type="dxa" w:w="9026"/>
            <w:tcBorders>
              <w:top w:val="single" w:color="E0E4EA" w:sz="1"/>
              <w:left w:val="single" w:color="E0E4EA" w:sz="1"/>
              <w:bottom w:val="single" w:color="E0E4EA" w:sz="1"/>
              <w:right w:val="single" w:color="E0E4EA" w:sz="1"/>
            </w:tcBorders>
            <w:shd w:fill="FFFFFF"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Apprentissage continu : les corrections apportées par les techniciens experts alimentent automatiquement la base de connaissance</w:t>
            </w:r>
          </w:p>
        </w:tc>
      </w:tr>
      <w:tr>
        <w:tc>
          <w:tcPr>
            <w:tcW w:type="dxa" w:w="9026"/>
            <w:tcBorders>
              <w:top w:val="single" w:color="E0E4EA" w:sz="1"/>
              <w:left w:val="single" w:color="E0E4EA" w:sz="1"/>
              <w:bottom w:val="single" w:color="E0E4EA" w:sz="1"/>
              <w:right w:val="single" w:color="E0E4EA" w:sz="1"/>
            </w:tcBorders>
            <w:shd w:fill="E3F4E9"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Support multilingue : français, anglais, portugais, arabe — adapté aux équipes multilingues d'Afrique et des projets internationaux</w:t>
            </w:r>
          </w:p>
        </w:tc>
      </w:tr>
    </w:tbl>
    <w:p>
      <w:pPr>
        <w:spacing w:before="120" w:after="0"/>
      </w:pPr>
      <w:r>
        <w:rPr>
          <w:rFonts w:ascii="Arial" w:cs="Arial" w:eastAsia="Arial" w:hAnsi="Arial"/>
          <w:b w:val="false"/>
          <w:bCs w:val="false"/>
          <w:i w:val="false"/>
          <w:iCs w:val="false"/>
          <w:color w:val="1C2533"/>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E0E4EA" w:sz="1"/>
              <w:left w:val="single" w:color="E0E4EA" w:sz="1"/>
              <w:bottom w:val="single" w:color="E0E4EA" w:sz="1"/>
              <w:right w:val="single" w:color="E0E4EA" w:sz="1"/>
            </w:tcBorders>
            <w:shd w:fill="0D2B4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1</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Architecture RAG (Retrieval-Augmented Generation) : LangChain + pgvector pour l'indexation sémantique des documents. Les embeddings sont calculés avec un modèle local (Ollama + nomic-embed-text) ou OpenAI text-embedding-ada-002.</w:t>
            </w:r>
          </w:p>
        </w:tc>
      </w:tr>
      <w:tr>
        <w:tc>
          <w:tcPr>
            <w:tcW w:type="dxa" w:w="800"/>
            <w:tcBorders>
              <w:top w:val="single" w:color="E0E4EA" w:sz="1"/>
              <w:left w:val="single" w:color="E0E4EA" w:sz="1"/>
              <w:bottom w:val="single" w:color="E0E4EA" w:sz="1"/>
              <w:right w:val="single" w:color="E0E4EA" w:sz="1"/>
            </w:tcBorders>
            <w:shd w:fill="1A6BA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2</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Sources de données indexées : manuels constructeurs (DMS), gammes et procédures Maintex, historiques d'interventions, fiches articles, normes sectorielles uploadées par l'administrateur.</w:t>
            </w:r>
          </w:p>
        </w:tc>
      </w:tr>
      <w:tr>
        <w:tc>
          <w:tcPr>
            <w:tcW w:type="dxa" w:w="800"/>
            <w:tcBorders>
              <w:top w:val="single" w:color="E0E4EA" w:sz="1"/>
              <w:left w:val="single" w:color="E0E4EA" w:sz="1"/>
              <w:bottom w:val="single" w:color="E0E4EA" w:sz="1"/>
              <w:right w:val="single" w:color="E0E4EA" w:sz="1"/>
            </w:tcBorders>
            <w:shd w:fill="0D2B4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3</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Interface chatbot : widget React flottant avec historique de conversation, feedback par pouce haut/bas sur chaque réponse, citation de la source (« Extrait du Manuel Atlas Copco GA90, page 47 »).</w:t>
            </w:r>
          </w:p>
        </w:tc>
      </w:tr>
      <w:tr>
        <w:tc>
          <w:tcPr>
            <w:tcW w:type="dxa" w:w="800"/>
            <w:tcBorders>
              <w:top w:val="single" w:color="E0E4EA" w:sz="1"/>
              <w:left w:val="single" w:color="E0E4EA" w:sz="1"/>
              <w:bottom w:val="single" w:color="E0E4EA" w:sz="1"/>
              <w:right w:val="single" w:color="E0E4EA" w:sz="1"/>
            </w:tcBorders>
            <w:shd w:fill="1A6BA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4</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Intégration contextuelle : le chatbot lit l'URL courante pour savoir sur quel équipement / BT l'utilisateur travaille et pré-filtre les sources pertinentes.</w:t>
            </w:r>
          </w:p>
        </w:tc>
      </w:tr>
      <w:tr>
        <w:tc>
          <w:tcPr>
            <w:tcW w:type="dxa" w:w="800"/>
            <w:tcBorders>
              <w:top w:val="single" w:color="E0E4EA" w:sz="1"/>
              <w:left w:val="single" w:color="E0E4EA" w:sz="1"/>
              <w:bottom w:val="single" w:color="E0E4EA" w:sz="1"/>
              <w:right w:val="single" w:color="E0E4EA" w:sz="1"/>
            </w:tcBorders>
            <w:shd w:fill="0D2B4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5</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Tableau de bord des questions sans réponse : liste des questions posées sans réponse satisfaisante, pour que l'équipe Maintex ou le client alimente la base de connaissance manquante.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71C1C" w:sz="30"/>
              <w:bottom w:val="none" w:color="FFFFFF" w:sz="0"/>
              <w:right w:val="none" w:color="FFFFFF" w:sz="0"/>
            </w:tcBorders>
            <w:shd w:fill="F4F6F9" w:val="clear"/>
            <w:tcMar>
              <w:top w:type="dxa" w:w="140"/>
              <w:left w:type="dxa" w:w="200"/>
              <w:bottom w:type="dxa" w:w="140"/>
              <w:right w:type="dxa" w:w="200"/>
            </w:tcMar>
          </w:tcPr>
          <w:p>
            <w:pPr>
              <w:spacing w:before="60" w:after="60" w:line="276"/>
              <w:jc w:val="left"/>
            </w:pPr>
            <w:r>
              <w:rPr>
                <w:rFonts w:ascii="Arial" w:cs="Arial" w:eastAsia="Arial" w:hAnsi="Arial"/>
                <w:b/>
                <w:bCs/>
                <w:i w:val="false"/>
                <w:iCs w:val="false"/>
                <w:color w:val="B71C1C"/>
                <w:sz w:val="22"/>
                <w:szCs w:val="22"/>
              </w:rPr>
              <w:t xml:space="preserve">F31  </w:t>
            </w:r>
            <w:r>
              <w:rPr>
                <w:rFonts w:ascii="Arial" w:cs="Arial" w:eastAsia="Arial" w:hAnsi="Arial"/>
                <w:b/>
                <w:bCs/>
                <w:i w:val="false"/>
                <w:iCs w:val="false"/>
                <w:color w:val="0D2B4E"/>
                <w:sz w:val="24"/>
                <w:szCs w:val="24"/>
              </w:rPr>
              <w:t xml:space="preserve">Gestion des Compétences, Habilitations &amp; Certifications</w:t>
            </w:r>
          </w:p>
          <w:p>
            <w:pPr>
              <w:spacing w:before="60" w:after="60" w:line="276"/>
              <w:jc w:val="left"/>
            </w:pPr>
            <w:r>
              <w:rPr>
                <w:rFonts w:ascii="Arial" w:cs="Arial" w:eastAsia="Arial" w:hAnsi="Arial"/>
                <w:b/>
                <w:bCs/>
                <w:i w:val="false"/>
                <w:iCs w:val="false"/>
                <w:color w:val="8C96A3"/>
                <w:sz w:val="18"/>
                <w:szCs w:val="18"/>
              </w:rPr>
              <w:t xml:space="preserve">Catégorie : </w:t>
            </w:r>
            <w:r>
              <w:rPr>
                <w:rFonts w:ascii="Arial" w:cs="Arial" w:eastAsia="Arial" w:hAnsi="Arial"/>
                <w:b w:val="false"/>
                <w:bCs w:val="false"/>
                <w:i w:val="false"/>
                <w:iCs w:val="false"/>
                <w:color w:val="1C2533"/>
                <w:sz w:val="18"/>
                <w:szCs w:val="18"/>
              </w:rPr>
              <w:t xml:space="preserve">RH Maintenance    </w:t>
            </w:r>
            <w:r>
              <w:rPr>
                <w:rFonts w:ascii="Arial" w:cs="Arial" w:eastAsia="Arial" w:hAnsi="Arial"/>
                <w:b/>
                <w:bCs/>
                <w:i w:val="false"/>
                <w:iCs w:val="false"/>
                <w:color w:val="8C96A3"/>
                <w:sz w:val="18"/>
                <w:szCs w:val="18"/>
              </w:rPr>
              <w:t xml:space="preserve">│  Priorité : </w:t>
            </w:r>
            <w:r>
              <w:rPr>
                <w:rFonts w:ascii="Arial" w:cs="Arial" w:eastAsia="Arial" w:hAnsi="Arial"/>
                <w:b/>
                <w:bCs/>
                <w:i w:val="false"/>
                <w:iCs w:val="false"/>
                <w:color w:val="B71C1C"/>
                <w:sz w:val="18"/>
                <w:szCs w:val="18"/>
              </w:rPr>
              <w:t xml:space="preserve">STRATÉGIQUE    </w:t>
            </w:r>
            <w:r>
              <w:rPr>
                <w:rFonts w:ascii="Arial" w:cs="Arial" w:eastAsia="Arial" w:hAnsi="Arial"/>
                <w:b/>
                <w:bCs/>
                <w:i w:val="false"/>
                <w:iCs w:val="false"/>
                <w:color w:val="8C96A3"/>
                <w:sz w:val="18"/>
                <w:szCs w:val="18"/>
              </w:rPr>
              <w:t xml:space="preserve">│  Effort : </w:t>
            </w:r>
            <w:r>
              <w:rPr>
                <w:rFonts w:ascii="Arial" w:cs="Arial" w:eastAsia="Arial" w:hAnsi="Arial"/>
                <w:b w:val="false"/>
                <w:bCs w:val="false"/>
                <w:i w:val="false"/>
                <w:iCs w:val="false"/>
                <w:color w:val="1C2533"/>
                <w:sz w:val="18"/>
                <w:szCs w:val="18"/>
              </w:rPr>
              <w:t xml:space="preserve">Moyen    </w:t>
            </w:r>
            <w:r>
              <w:rPr>
                <w:rFonts w:ascii="Arial" w:cs="Arial" w:eastAsia="Arial" w:hAnsi="Arial"/>
                <w:b/>
                <w:bCs/>
                <w:i w:val="false"/>
                <w:iCs w:val="false"/>
                <w:color w:val="8C96A3"/>
                <w:sz w:val="18"/>
                <w:szCs w:val="18"/>
              </w:rPr>
              <w:t xml:space="preserve">│  Phase : </w:t>
            </w:r>
            <w:r>
              <w:rPr>
                <w:rFonts w:ascii="Arial" w:cs="Arial" w:eastAsia="Arial" w:hAnsi="Arial"/>
                <w:b w:val="false"/>
                <w:bCs w:val="false"/>
                <w:i w:val="false"/>
                <w:iCs w:val="false"/>
                <w:color w:val="1C2533"/>
                <w:sz w:val="18"/>
                <w:szCs w:val="18"/>
              </w:rPr>
              <w:t xml:space="preserve">Phase 2    </w:t>
            </w:r>
            <w:r>
              <w:rPr>
                <w:rFonts w:ascii="Arial" w:cs="Arial" w:eastAsia="Arial" w:hAnsi="Arial"/>
                <w:b/>
                <w:bCs/>
                <w:i w:val="false"/>
                <w:iCs w:val="false"/>
                <w:color w:val="8C96A3"/>
                <w:sz w:val="18"/>
                <w:szCs w:val="18"/>
              </w:rPr>
              <w:t xml:space="preserve">│  Statut : </w:t>
            </w:r>
            <w:r>
              <w:rPr>
                <w:rFonts w:ascii="Arial" w:cs="Arial" w:eastAsia="Arial" w:hAnsi="Arial"/>
                <w:b/>
                <w:bCs/>
                <w:i w:val="false"/>
                <w:iCs w:val="false"/>
                <w:color w:val="5E1A8A"/>
                <w:sz w:val="18"/>
                <w:szCs w:val="18"/>
              </w:rPr>
              <w:t xml:space="preserve">NOUVEAU</w:t>
            </w:r>
          </w:p>
        </w:tc>
      </w:tr>
    </w:tbl>
    <w:p>
      <w:pPr>
        <w:spacing w:before="80" w:after="0"/>
      </w:pPr>
      <w:r>
        <w:rPr>
          <w:rFonts w:ascii="Arial" w:cs="Arial" w:eastAsia="Arial" w:hAnsi="Arial"/>
          <w:b w:val="false"/>
          <w:bCs w:val="false"/>
          <w:i w:val="false"/>
          <w:iCs w:val="false"/>
          <w:color w:val="1C2533"/>
          <w:sz w:val="20"/>
          <w:szCs w:val="20"/>
        </w:rPr>
        <w:t xml:space="preserve"/>
      </w:r>
    </w:p>
    <w:p>
      <w:pPr>
        <w:pStyle w:val="Heading3"/>
        <w:spacing w:before="220" w:after="100"/>
      </w:pPr>
      <w:r>
        <w:rPr>
          <w:rFonts w:ascii="Arial" w:cs="Arial" w:eastAsia="Arial" w:hAnsi="Arial"/>
          <w:b/>
          <w:bCs/>
          <w:i w:val="false"/>
          <w:iCs w:val="false"/>
          <w:color w:val="D4600A"/>
          <w:sz w:val="23"/>
          <w:szCs w:val="23"/>
        </w:rPr>
        <w:t xml:space="preserve">La fonctionnalité que personne ne propose — et que toutes les industries réglementées attendent</w:t>
      </w:r>
    </w:p>
    <w:p>
      <w:pPr>
        <w:spacing w:before="60" w:after="60" w:line="276"/>
        <w:jc w:val="left"/>
      </w:pPr>
      <w:r>
        <w:rPr>
          <w:rFonts w:ascii="Arial" w:cs="Arial" w:eastAsia="Arial" w:hAnsi="Arial"/>
          <w:b w:val="false"/>
          <w:bCs w:val="false"/>
          <w:i w:val="false"/>
          <w:iCs w:val="false"/>
          <w:color w:val="1C2533"/>
          <w:sz w:val="20"/>
          <w:szCs w:val="20"/>
        </w:rPr>
        <w:t xml:space="preserve">Dans les secteurs réglementés (électricité, mines, nucléaire, agroalimentaire, chimie), confier une intervention à un technicien non-habilité est une faute grave pouvant entraîner des accidents mortels, des pénalités réglementaires ou l'annulation d'assurances. Aucune GMAO grand public ne gère nativement les habilitations électriques (BR, B1, H1...), les certifications machines, les formations obligatoires. Maintex peut être le premier à le faire nativement.</w:t>
      </w:r>
    </w:p>
    <w:p>
      <w:pPr>
        <w:spacing w:before="80" w:after="0"/>
      </w:pPr>
      <w:r>
        <w:rPr>
          <w:rFonts w:ascii="Arial" w:cs="Arial" w:eastAsia="Arial" w:hAnsi="Arial"/>
          <w:b w:val="false"/>
          <w:bCs w:val="false"/>
          <w:i w:val="false"/>
          <w:iCs w:val="false"/>
          <w:color w:val="1C2533"/>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4EA" w:sz="1"/>
              <w:left w:val="single" w:color="E0E4EA" w:sz="1"/>
              <w:bottom w:val="single" w:color="E0E4EA" w:sz="1"/>
              <w:right w:val="single" w:color="E0E4EA" w:sz="1"/>
            </w:tcBorders>
            <w:shd w:fill="E3F4E9"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Fiche compétences par technicien : matrice de compétences par famille d'équipement (niveau 1 à 4 : notions / autonome / expert / formateur)</w:t>
            </w:r>
          </w:p>
        </w:tc>
      </w:tr>
      <w:tr>
        <w:tc>
          <w:tcPr>
            <w:tcW w:type="dxa" w:w="9026"/>
            <w:tcBorders>
              <w:top w:val="single" w:color="E0E4EA" w:sz="1"/>
              <w:left w:val="single" w:color="E0E4EA" w:sz="1"/>
              <w:bottom w:val="single" w:color="E0E4EA" w:sz="1"/>
              <w:right w:val="single" w:color="E0E4EA" w:sz="1"/>
            </w:tcBorders>
            <w:shd w:fill="FFFFFF"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Gestion des habilitations réglementaires : habilitations électriques (normes NF C 18-510 / UTE C 18-550), CACES, travaux en hauteur, espace confiné, sécurité alimentaire (HACCP), permis de conduire engins</w:t>
            </w:r>
          </w:p>
        </w:tc>
      </w:tr>
      <w:tr>
        <w:tc>
          <w:tcPr>
            <w:tcW w:type="dxa" w:w="9026"/>
            <w:tcBorders>
              <w:top w:val="single" w:color="E0E4EA" w:sz="1"/>
              <w:left w:val="single" w:color="E0E4EA" w:sz="1"/>
              <w:bottom w:val="single" w:color="E0E4EA" w:sz="1"/>
              <w:right w:val="single" w:color="E0E4EA" w:sz="1"/>
            </w:tcBorders>
            <w:shd w:fill="E3F4E9"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Dates d'expiration avec alertes préventives : alerte 60 jours avant expiration d'une habilitation critique. Blocage automatique de l'affectation si habilitation expirée</w:t>
            </w:r>
          </w:p>
        </w:tc>
      </w:tr>
      <w:tr>
        <w:tc>
          <w:tcPr>
            <w:tcW w:type="dxa" w:w="9026"/>
            <w:tcBorders>
              <w:top w:val="single" w:color="E0E4EA" w:sz="1"/>
              <w:left w:val="single" w:color="E0E4EA" w:sz="1"/>
              <w:bottom w:val="single" w:color="E0E4EA" w:sz="1"/>
              <w:right w:val="single" w:color="E0E4EA" w:sz="1"/>
            </w:tcBorders>
            <w:shd w:fill="FFFFFF"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Matching technicien-BT : à l'affectation d'un BT, Maintex vérifie automatiquement que le technicien possède les habilitations requises pour le type d'équipement et d'intervention</w:t>
            </w:r>
          </w:p>
        </w:tc>
      </w:tr>
      <w:tr>
        <w:tc>
          <w:tcPr>
            <w:tcW w:type="dxa" w:w="9026"/>
            <w:tcBorders>
              <w:top w:val="single" w:color="E0E4EA" w:sz="1"/>
              <w:left w:val="single" w:color="E0E4EA" w:sz="1"/>
              <w:bottom w:val="single" w:color="E0E4EA" w:sz="1"/>
              <w:right w:val="single" w:color="E0E4EA" w:sz="1"/>
            </w:tcBorders>
            <w:shd w:fill="E3F4E9"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Plan de formation : liste des renouvellements à planifier avec budget formation associé, lien vers les organismes de formation</w:t>
            </w:r>
          </w:p>
        </w:tc>
      </w:tr>
      <w:tr>
        <w:tc>
          <w:tcPr>
            <w:tcW w:type="dxa" w:w="9026"/>
            <w:tcBorders>
              <w:top w:val="single" w:color="E0E4EA" w:sz="1"/>
              <w:left w:val="single" w:color="E0E4EA" w:sz="1"/>
              <w:bottom w:val="single" w:color="E0E4EA" w:sz="1"/>
              <w:right w:val="single" w:color="E0E4EA" w:sz="1"/>
            </w:tcBorders>
            <w:shd w:fill="FFFFFF"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Rapport de conformité RH Maintenance : tableau croisé techniciens × habilitations, taux de conformité par équipe, alertes réglementaires</w:t>
            </w:r>
          </w:p>
        </w:tc>
      </w:tr>
      <w:tr>
        <w:tc>
          <w:tcPr>
            <w:tcW w:type="dxa" w:w="9026"/>
            <w:tcBorders>
              <w:top w:val="single" w:color="E0E4EA" w:sz="1"/>
              <w:left w:val="single" w:color="E0E4EA" w:sz="1"/>
              <w:bottom w:val="single" w:color="E0E4EA" w:sz="1"/>
              <w:right w:val="single" w:color="E0E4EA" w:sz="1"/>
            </w:tcBorders>
            <w:shd w:fill="E3F4E9"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Import depuis les systèmes RH (SIRH) via API ou CSV : synchronisation automatique des arrivées/départs d'effectifs</w:t>
            </w:r>
          </w:p>
        </w:tc>
      </w:tr>
    </w:tbl>
    <w:p>
      <w:pPr>
        <w:spacing w:before="120" w:after="0"/>
      </w:pPr>
      <w:r>
        <w:rPr>
          <w:rFonts w:ascii="Arial" w:cs="Arial" w:eastAsia="Arial" w:hAnsi="Arial"/>
          <w:b w:val="false"/>
          <w:bCs w:val="false"/>
          <w:i w:val="false"/>
          <w:iCs w:val="false"/>
          <w:color w:val="1C2533"/>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E0E4EA" w:sz="1"/>
              <w:left w:val="single" w:color="E0E4EA" w:sz="1"/>
              <w:bottom w:val="single" w:color="E0E4EA" w:sz="1"/>
              <w:right w:val="single" w:color="E0E4EA" w:sz="1"/>
            </w:tcBorders>
            <w:shd w:fill="0D2B4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1</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Tables : COMPETENCE (code, nom, famille_équipement, niveau_max), HABILITATION (code, nom, organisme, validité_mois, réglementaire BOOL, pièces_justificatives_requises), TECHNICIEN_COMPETENCE (technicien_id, compétence_id, niveau, date_évaluation, évaluateur_id), TECHNICIEN_HABILITATION (technicien_id, habilitation_id, date_obtention, date_expiration, numéro_certificat, document_url).</w:t>
            </w:r>
          </w:p>
        </w:tc>
      </w:tr>
      <w:tr>
        <w:tc>
          <w:tcPr>
            <w:tcW w:type="dxa" w:w="800"/>
            <w:tcBorders>
              <w:top w:val="single" w:color="E0E4EA" w:sz="1"/>
              <w:left w:val="single" w:color="E0E4EA" w:sz="1"/>
              <w:bottom w:val="single" w:color="E0E4EA" w:sz="1"/>
              <w:right w:val="single" w:color="E0E4EA" w:sz="1"/>
            </w:tcBorders>
            <w:shd w:fill="1A6BA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2</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Matrice de compétences : vue tableau croisé dynamique Techniciens × Compétences. Cellules colorées : vert (habilité), orange (expire dans 60j), rouge (expiré), gris (non habilité). Export PDF pour les audits.</w:t>
            </w:r>
          </w:p>
        </w:tc>
      </w:tr>
      <w:tr>
        <w:tc>
          <w:tcPr>
            <w:tcW w:type="dxa" w:w="800"/>
            <w:tcBorders>
              <w:top w:val="single" w:color="E0E4EA" w:sz="1"/>
              <w:left w:val="single" w:color="E0E4EA" w:sz="1"/>
              <w:bottom w:val="single" w:color="E0E4EA" w:sz="1"/>
              <w:right w:val="single" w:color="E0E4EA" w:sz="1"/>
            </w:tcBorders>
            <w:shd w:fill="0D2B4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3</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Blocage à l'affectation BT : lors de la sélection d'un intervenant sur un BT, vérifier les habilitations requises (configurées sur le type d'équipement ou la gamme). Afficher les alertes bloquantes (habilitation requise manquante) et non-bloquantes (expire bientôt).</w:t>
            </w:r>
          </w:p>
        </w:tc>
      </w:tr>
      <w:tr>
        <w:tc>
          <w:tcPr>
            <w:tcW w:type="dxa" w:w="800"/>
            <w:tcBorders>
              <w:top w:val="single" w:color="E0E4EA" w:sz="1"/>
              <w:left w:val="single" w:color="E0E4EA" w:sz="1"/>
              <w:bottom w:val="single" w:color="E0E4EA" w:sz="1"/>
              <w:right w:val="single" w:color="E0E4EA" w:sz="1"/>
            </w:tcBorders>
            <w:shd w:fill="1A6BA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4</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Plan de formation automatique : algorithme identifiant tous les renouvellements à venir dans les 90 jours. Tableau de bord RH avec coûts estimés de formation.</w:t>
            </w:r>
          </w:p>
        </w:tc>
      </w:tr>
      <w:tr>
        <w:tc>
          <w:tcPr>
            <w:tcW w:type="dxa" w:w="800"/>
            <w:tcBorders>
              <w:top w:val="single" w:color="E0E4EA" w:sz="1"/>
              <w:left w:val="single" w:color="E0E4EA" w:sz="1"/>
              <w:bottom w:val="single" w:color="E0E4EA" w:sz="1"/>
              <w:right w:val="single" w:color="E0E4EA" w:sz="1"/>
            </w:tcBorders>
            <w:shd w:fill="0D2B4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5</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API SIRH : endpoint de synchronisation pour recevoir les entrées/sorties du personnel depuis les systèmes RH des clients (Sage RH, SAP HCM, Workday).</w:t>
            </w:r>
          </w:p>
        </w:tc>
      </w:tr>
    </w:tbl>
    <w:p>
      <w:pPr>
        <w:spacing w:before="200" w:after="0"/>
      </w:pPr>
      <w:r>
        <w:rPr>
          <w:rFonts w:ascii="Arial" w:cs="Arial" w:eastAsia="Arial" w:hAnsi="Arial"/>
          <w:b w:val="false"/>
          <w:bCs w:val="false"/>
          <w:i w:val="false"/>
          <w:iCs w:val="false"/>
          <w:color w:val="1C2533"/>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71C1C" w:sz="30"/>
              <w:bottom w:val="none" w:color="FFFFFF" w:sz="0"/>
              <w:right w:val="none" w:color="FFFFFF" w:sz="0"/>
            </w:tcBorders>
            <w:shd w:fill="F4F6F9" w:val="clear"/>
            <w:tcMar>
              <w:top w:type="dxa" w:w="140"/>
              <w:left w:type="dxa" w:w="200"/>
              <w:bottom w:type="dxa" w:w="140"/>
              <w:right w:type="dxa" w:w="200"/>
            </w:tcMar>
          </w:tcPr>
          <w:p>
            <w:pPr>
              <w:spacing w:before="60" w:after="60" w:line="276"/>
              <w:jc w:val="left"/>
            </w:pPr>
            <w:r>
              <w:rPr>
                <w:rFonts w:ascii="Arial" w:cs="Arial" w:eastAsia="Arial" w:hAnsi="Arial"/>
                <w:b/>
                <w:bCs/>
                <w:i w:val="false"/>
                <w:iCs w:val="false"/>
                <w:color w:val="B71C1C"/>
                <w:sz w:val="22"/>
                <w:szCs w:val="22"/>
              </w:rPr>
              <w:t xml:space="preserve">F32  </w:t>
            </w:r>
            <w:r>
              <w:rPr>
                <w:rFonts w:ascii="Arial" w:cs="Arial" w:eastAsia="Arial" w:hAnsi="Arial"/>
                <w:b/>
                <w:bCs/>
                <w:i w:val="false"/>
                <w:iCs w:val="false"/>
                <w:color w:val="0D2B4E"/>
                <w:sz w:val="24"/>
                <w:szCs w:val="24"/>
              </w:rPr>
              <w:t xml:space="preserve">Module Énergie &amp; Empreinte Carbone (ESG)</w:t>
            </w:r>
          </w:p>
          <w:p>
            <w:pPr>
              <w:spacing w:before="60" w:after="60" w:line="276"/>
              <w:jc w:val="left"/>
            </w:pPr>
            <w:r>
              <w:rPr>
                <w:rFonts w:ascii="Arial" w:cs="Arial" w:eastAsia="Arial" w:hAnsi="Arial"/>
                <w:b/>
                <w:bCs/>
                <w:i w:val="false"/>
                <w:iCs w:val="false"/>
                <w:color w:val="8C96A3"/>
                <w:sz w:val="18"/>
                <w:szCs w:val="18"/>
              </w:rPr>
              <w:t xml:space="preserve">Catégorie : </w:t>
            </w:r>
            <w:r>
              <w:rPr>
                <w:rFonts w:ascii="Arial" w:cs="Arial" w:eastAsia="Arial" w:hAnsi="Arial"/>
                <w:b w:val="false"/>
                <w:bCs w:val="false"/>
                <w:i w:val="false"/>
                <w:iCs w:val="false"/>
                <w:color w:val="1C2533"/>
                <w:sz w:val="18"/>
                <w:szCs w:val="18"/>
              </w:rPr>
              <w:t xml:space="preserve">Énergie / ESG    </w:t>
            </w:r>
            <w:r>
              <w:rPr>
                <w:rFonts w:ascii="Arial" w:cs="Arial" w:eastAsia="Arial" w:hAnsi="Arial"/>
                <w:b/>
                <w:bCs/>
                <w:i w:val="false"/>
                <w:iCs w:val="false"/>
                <w:color w:val="8C96A3"/>
                <w:sz w:val="18"/>
                <w:szCs w:val="18"/>
              </w:rPr>
              <w:t xml:space="preserve">│  Priorité : </w:t>
            </w:r>
            <w:r>
              <w:rPr>
                <w:rFonts w:ascii="Arial" w:cs="Arial" w:eastAsia="Arial" w:hAnsi="Arial"/>
                <w:b/>
                <w:bCs/>
                <w:i w:val="false"/>
                <w:iCs w:val="false"/>
                <w:color w:val="B71C1C"/>
                <w:sz w:val="18"/>
                <w:szCs w:val="18"/>
              </w:rPr>
              <w:t xml:space="preserve">STRATÉGIQUE    </w:t>
            </w:r>
            <w:r>
              <w:rPr>
                <w:rFonts w:ascii="Arial" w:cs="Arial" w:eastAsia="Arial" w:hAnsi="Arial"/>
                <w:b/>
                <w:bCs/>
                <w:i w:val="false"/>
                <w:iCs w:val="false"/>
                <w:color w:val="8C96A3"/>
                <w:sz w:val="18"/>
                <w:szCs w:val="18"/>
              </w:rPr>
              <w:t xml:space="preserve">│  Effort : </w:t>
            </w:r>
            <w:r>
              <w:rPr>
                <w:rFonts w:ascii="Arial" w:cs="Arial" w:eastAsia="Arial" w:hAnsi="Arial"/>
                <w:b w:val="false"/>
                <w:bCs w:val="false"/>
                <w:i w:val="false"/>
                <w:iCs w:val="false"/>
                <w:color w:val="1C2533"/>
                <w:sz w:val="18"/>
                <w:szCs w:val="18"/>
              </w:rPr>
              <w:t xml:space="preserve">Élevé    </w:t>
            </w:r>
            <w:r>
              <w:rPr>
                <w:rFonts w:ascii="Arial" w:cs="Arial" w:eastAsia="Arial" w:hAnsi="Arial"/>
                <w:b/>
                <w:bCs/>
                <w:i w:val="false"/>
                <w:iCs w:val="false"/>
                <w:color w:val="8C96A3"/>
                <w:sz w:val="18"/>
                <w:szCs w:val="18"/>
              </w:rPr>
              <w:t xml:space="preserve">│  Phase : </w:t>
            </w:r>
            <w:r>
              <w:rPr>
                <w:rFonts w:ascii="Arial" w:cs="Arial" w:eastAsia="Arial" w:hAnsi="Arial"/>
                <w:b w:val="false"/>
                <w:bCs w:val="false"/>
                <w:i w:val="false"/>
                <w:iCs w:val="false"/>
                <w:color w:val="1C2533"/>
                <w:sz w:val="18"/>
                <w:szCs w:val="18"/>
              </w:rPr>
              <w:t xml:space="preserve">Phase 2    </w:t>
            </w:r>
            <w:r>
              <w:rPr>
                <w:rFonts w:ascii="Arial" w:cs="Arial" w:eastAsia="Arial" w:hAnsi="Arial"/>
                <w:b/>
                <w:bCs/>
                <w:i w:val="false"/>
                <w:iCs w:val="false"/>
                <w:color w:val="8C96A3"/>
                <w:sz w:val="18"/>
                <w:szCs w:val="18"/>
              </w:rPr>
              <w:t xml:space="preserve">│  Statut : </w:t>
            </w:r>
            <w:r>
              <w:rPr>
                <w:rFonts w:ascii="Arial" w:cs="Arial" w:eastAsia="Arial" w:hAnsi="Arial"/>
                <w:b/>
                <w:bCs/>
                <w:i w:val="false"/>
                <w:iCs w:val="false"/>
                <w:color w:val="5E1A8A"/>
                <w:sz w:val="18"/>
                <w:szCs w:val="18"/>
              </w:rPr>
              <w:t xml:space="preserve">NOUVEAU</w:t>
            </w:r>
          </w:p>
        </w:tc>
      </w:tr>
    </w:tbl>
    <w:p>
      <w:pPr>
        <w:spacing w:before="80" w:after="0"/>
      </w:pPr>
      <w:r>
        <w:rPr>
          <w:rFonts w:ascii="Arial" w:cs="Arial" w:eastAsia="Arial" w:hAnsi="Arial"/>
          <w:b w:val="false"/>
          <w:bCs w:val="false"/>
          <w:i w:val="false"/>
          <w:iCs w:val="false"/>
          <w:color w:val="1C2533"/>
          <w:sz w:val="20"/>
          <w:szCs w:val="20"/>
        </w:rPr>
        <w:t xml:space="preserve"/>
      </w:r>
    </w:p>
    <w:p>
      <w:pPr>
        <w:pStyle w:val="Heading3"/>
        <w:spacing w:before="220" w:after="100"/>
      </w:pPr>
      <w:r>
        <w:rPr>
          <w:rFonts w:ascii="Arial" w:cs="Arial" w:eastAsia="Arial" w:hAnsi="Arial"/>
          <w:b/>
          <w:bCs/>
          <w:i w:val="false"/>
          <w:iCs w:val="false"/>
          <w:color w:val="D4600A"/>
          <w:sz w:val="23"/>
          <w:szCs w:val="23"/>
        </w:rPr>
        <w:t xml:space="preserve">Le différenciateur absolu pour les 5 prochaines années</w:t>
      </w:r>
    </w:p>
    <w:p>
      <w:pPr>
        <w:spacing w:before="60" w:after="60" w:line="276"/>
        <w:jc w:val="left"/>
      </w:pPr>
      <w:r>
        <w:rPr>
          <w:rFonts w:ascii="Arial" w:cs="Arial" w:eastAsia="Arial" w:hAnsi="Arial"/>
          <w:b w:val="false"/>
          <w:bCs w:val="false"/>
          <w:i w:val="false"/>
          <w:iCs w:val="false"/>
          <w:color w:val="1C2533"/>
          <w:sz w:val="20"/>
          <w:szCs w:val="20"/>
        </w:rPr>
        <w:t xml:space="preserve">L'ESG (Environmental, Social, Governance) devient une obligation légale et contractuelle pour les entreprises qui souhaitent accéder aux financements institutionnels (BOAD, AFD, BEI, Banque Mondiale) et aux marchés publics. Aucune GMAO du marché n'intègre nativement un module de suivi énergétique et de calcul de l'empreinte carbone de la maintenance. Maintex peut créer cette catégorie.</w:t>
      </w:r>
    </w:p>
    <w:p>
      <w:pPr>
        <w:spacing w:before="80" w:after="0"/>
      </w:pPr>
      <w:r>
        <w:rPr>
          <w:rFonts w:ascii="Arial" w:cs="Arial" w:eastAsia="Arial" w:hAnsi="Arial"/>
          <w:b w:val="false"/>
          <w:bCs w:val="false"/>
          <w:i w:val="false"/>
          <w:iCs w:val="false"/>
          <w:color w:val="1C2533"/>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600A" w:sz="6"/>
              <w:left w:val="single" w:color="D4600A" w:sz="24"/>
              <w:bottom w:val="none" w:color="FFFFFF" w:sz="0"/>
              <w:right w:val="none" w:color="FFFFFF" w:sz="0"/>
            </w:tcBorders>
            <w:shd w:fill="E3F4E9" w:val="clear"/>
            <w:tcMar>
              <w:top w:type="dxa" w:w="120"/>
              <w:left w:type="dxa" w:w="220"/>
              <w:bottom w:type="dxa" w:w="120"/>
              <w:right w:type="dxa" w:w="160"/>
            </w:tcMar>
          </w:tcPr>
          <w:p>
            <w:pPr>
              <w:spacing w:before="40" w:after="40" w:line="276"/>
              <w:jc w:val="left"/>
            </w:pPr>
            <w:r>
              <w:rPr>
                <w:rFonts w:ascii="Arial" w:cs="Arial" w:eastAsia="Arial" w:hAnsi="Arial"/>
                <w:b w:val="false"/>
                <w:bCs w:val="false"/>
                <w:i w:val="false"/>
                <w:iCs w:val="false"/>
                <w:color w:val="1C2533"/>
                <w:sz w:val="20"/>
                <w:szCs w:val="20"/>
              </w:rPr>
              <w:t xml:space="preserve">Opportunité de marché unique : La BOAD, l'AFD et la Banque Mondiale conditionnent désormais leurs financements à des rapports ESG. Les entreprises financées par ces institutions (centrales électriques, sociétés d'eau, hôpitaux) auront l'obligation de mesurer l'impact environnemental de leur maintenance. Maintex peut être l'outil qui leur permet de répondre à cette exigence.</w:t>
            </w:r>
          </w:p>
        </w:tc>
      </w:tr>
    </w:tbl>
    <w:p>
      <w:pPr>
        <w:spacing w:before="100" w:after="0"/>
      </w:pPr>
      <w:r>
        <w:rPr>
          <w:rFonts w:ascii="Arial" w:cs="Arial" w:eastAsia="Arial" w:hAnsi="Arial"/>
          <w:b w:val="false"/>
          <w:bCs w:val="false"/>
          <w:i w:val="false"/>
          <w:iCs w:val="false"/>
          <w:color w:val="1C2533"/>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4EA" w:sz="1"/>
              <w:left w:val="single" w:color="E0E4EA" w:sz="1"/>
              <w:bottom w:val="single" w:color="E0E4EA" w:sz="1"/>
              <w:right w:val="single" w:color="E0E4EA" w:sz="1"/>
            </w:tcBorders>
            <w:shd w:fill="E3F4E9"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Suivi de la consommation énergétique par équipement : kWh, litres de carburant, m³ de gaz — saisie manuelle ou via capteurs IoT (F11)</w:t>
            </w:r>
          </w:p>
        </w:tc>
      </w:tr>
      <w:tr>
        <w:tc>
          <w:tcPr>
            <w:tcW w:type="dxa" w:w="9026"/>
            <w:tcBorders>
              <w:top w:val="single" w:color="E0E4EA" w:sz="1"/>
              <w:left w:val="single" w:color="E0E4EA" w:sz="1"/>
              <w:bottom w:val="single" w:color="E0E4EA" w:sz="1"/>
              <w:right w:val="single" w:color="E0E4EA" w:sz="1"/>
            </w:tcBorders>
            <w:shd w:fill="FFFFFF"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Calcul automatique de l'empreinte carbone de chaque intervention : déplacements technicien (km parcourus × facteur d'émission), consommation des équipements, déchets générés (huiles usagées, pièces remplacées)</w:t>
            </w:r>
          </w:p>
        </w:tc>
      </w:tr>
      <w:tr>
        <w:tc>
          <w:tcPr>
            <w:tcW w:type="dxa" w:w="9026"/>
            <w:tcBorders>
              <w:top w:val="single" w:color="E0E4EA" w:sz="1"/>
              <w:left w:val="single" w:color="E0E4EA" w:sz="1"/>
              <w:bottom w:val="single" w:color="E0E4EA" w:sz="1"/>
              <w:right w:val="single" w:color="E0E4EA" w:sz="1"/>
            </w:tcBorders>
            <w:shd w:fill="E3F4E9"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Tableau de bord ESG : émissions totales de CO₂ par site, par famille d'équipement, par période. Tendance et objectifs de réduction</w:t>
            </w:r>
          </w:p>
        </w:tc>
      </w:tr>
      <w:tr>
        <w:tc>
          <w:tcPr>
            <w:tcW w:type="dxa" w:w="9026"/>
            <w:tcBorders>
              <w:top w:val="single" w:color="E0E4EA" w:sz="1"/>
              <w:left w:val="single" w:color="E0E4EA" w:sz="1"/>
              <w:bottom w:val="single" w:color="E0E4EA" w:sz="1"/>
              <w:right w:val="single" w:color="E0E4EA" w:sz="1"/>
            </w:tcBorders>
            <w:shd w:fill="FFFFFF"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Rapport ESG exportable : format conforme aux normes GRI (Global Reporting Initiative) et TCFD pour les rapports annuels des entreprises</w:t>
            </w:r>
          </w:p>
        </w:tc>
      </w:tr>
      <w:tr>
        <w:tc>
          <w:tcPr>
            <w:tcW w:type="dxa" w:w="9026"/>
            <w:tcBorders>
              <w:top w:val="single" w:color="E0E4EA" w:sz="1"/>
              <w:left w:val="single" w:color="E0E4EA" w:sz="1"/>
              <w:bottom w:val="single" w:color="E0E4EA" w:sz="1"/>
              <w:right w:val="single" w:color="E0E4EA" w:sz="1"/>
            </w:tcBorders>
            <w:shd w:fill="E3F4E9"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Indicateurs de performance énergétique (IPÉ) : consommation par heure de fonctionnement, évolution avant/après maintenance, benchmark entre équipements similaires</w:t>
            </w:r>
          </w:p>
        </w:tc>
      </w:tr>
      <w:tr>
        <w:tc>
          <w:tcPr>
            <w:tcW w:type="dxa" w:w="9026"/>
            <w:tcBorders>
              <w:top w:val="single" w:color="E0E4EA" w:sz="1"/>
              <w:left w:val="single" w:color="E0E4EA" w:sz="1"/>
              <w:bottom w:val="single" w:color="E0E4EA" w:sz="1"/>
              <w:right w:val="single" w:color="E0E4EA" w:sz="1"/>
            </w:tcBorders>
            <w:shd w:fill="FFFFFF"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Calcul des coûts cachés énergétiques : un équipement mal entretenu consomme 15 à 30% d'énergie en plus. Maintex calcule le coût de cette sur-consommation et le retour sur investissement des maintenances préventives</w:t>
            </w:r>
          </w:p>
        </w:tc>
      </w:tr>
      <w:tr>
        <w:tc>
          <w:tcPr>
            <w:tcW w:type="dxa" w:w="9026"/>
            <w:tcBorders>
              <w:top w:val="single" w:color="E0E4EA" w:sz="1"/>
              <w:left w:val="single" w:color="E0E4EA" w:sz="1"/>
              <w:bottom w:val="single" w:color="E0E4EA" w:sz="1"/>
              <w:right w:val="single" w:color="E0E4EA" w:sz="1"/>
            </w:tcBorders>
            <w:shd w:fill="E3F4E9"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Alertes de dérive énergétique : si la consommation d'un équipement dépasse sa consommation de référence de X%, générer une alerte et proposer un BT de vérification</w:t>
            </w:r>
          </w:p>
        </w:tc>
      </w:tr>
    </w:tbl>
    <w:p>
      <w:pPr>
        <w:spacing w:before="120" w:after="0"/>
      </w:pPr>
      <w:r>
        <w:rPr>
          <w:rFonts w:ascii="Arial" w:cs="Arial" w:eastAsia="Arial" w:hAnsi="Arial"/>
          <w:b w:val="false"/>
          <w:bCs w:val="false"/>
          <w:i w:val="false"/>
          <w:iCs w:val="false"/>
          <w:color w:val="1C2533"/>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E0E4EA" w:sz="1"/>
              <w:left w:val="single" w:color="E0E4EA" w:sz="1"/>
              <w:bottom w:val="single" w:color="E0E4EA" w:sz="1"/>
              <w:right w:val="single" w:color="E0E4EA" w:sz="1"/>
            </w:tcBorders>
            <w:shd w:fill="0D2B4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1</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Tables : ENERGIE_REFERENTIEL (équipement_id, consommation_nominale, unité, source [électricité/carburant/gaz], facteur_émission_kgCO2), ENERGIE_RELEVE (équipement_id, date, valeur, source ENUM[manuel/IoT/facture]), EMPREINTE_INTERVENTION (BT_id, km_parcourus, consommation_équipement_kWh, déchets_kg, CO2_total_kg).</w:t>
            </w:r>
          </w:p>
        </w:tc>
      </w:tr>
      <w:tr>
        <w:tc>
          <w:tcPr>
            <w:tcW w:type="dxa" w:w="800"/>
            <w:tcBorders>
              <w:top w:val="single" w:color="E0E4EA" w:sz="1"/>
              <w:left w:val="single" w:color="E0E4EA" w:sz="1"/>
              <w:bottom w:val="single" w:color="E0E4EA" w:sz="1"/>
              <w:right w:val="single" w:color="E0E4EA" w:sz="1"/>
            </w:tcBorders>
            <w:shd w:fill="1A6BA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2</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Dashboard ESG : graphiques Recharts/Chart.js montrant évolution mensuelle CO₂, décomposition par source d'émission, comparaison objectif vs réalisé. Export PDF conforme GRI.</w:t>
            </w:r>
          </w:p>
        </w:tc>
      </w:tr>
      <w:tr>
        <w:tc>
          <w:tcPr>
            <w:tcW w:type="dxa" w:w="800"/>
            <w:tcBorders>
              <w:top w:val="single" w:color="E0E4EA" w:sz="1"/>
              <w:left w:val="single" w:color="E0E4EA" w:sz="1"/>
              <w:bottom w:val="single" w:color="E0E4EA" w:sz="1"/>
              <w:right w:val="single" w:color="E0E4EA" w:sz="1"/>
            </w:tcBorders>
            <w:shd w:fill="0D2B4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3</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Calcul d'empreinte automatique : à la clôture d'un BT, calculer automatiquement l'empreinte carbone basée sur la distance parcourue par le technicien (adresse site connue) × facteur d'émission véhicule.</w:t>
            </w:r>
          </w:p>
        </w:tc>
      </w:tr>
      <w:tr>
        <w:tc>
          <w:tcPr>
            <w:tcW w:type="dxa" w:w="800"/>
            <w:tcBorders>
              <w:top w:val="single" w:color="E0E4EA" w:sz="1"/>
              <w:left w:val="single" w:color="E0E4EA" w:sz="1"/>
              <w:bottom w:val="single" w:color="E0E4EA" w:sz="1"/>
              <w:right w:val="single" w:color="E0E4EA" w:sz="1"/>
            </w:tcBorders>
            <w:shd w:fill="1A6BA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4</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Intégration avec F11 (IoT) : les capteurs de consommation électrique alimentent automatiquement le module énergie. Détection des dérives par régression linéaire sur les 90 derniers relevés.</w:t>
            </w:r>
          </w:p>
        </w:tc>
      </w:tr>
      <w:tr>
        <w:tc>
          <w:tcPr>
            <w:tcW w:type="dxa" w:w="800"/>
            <w:tcBorders>
              <w:top w:val="single" w:color="E0E4EA" w:sz="1"/>
              <w:left w:val="single" w:color="E0E4EA" w:sz="1"/>
              <w:bottom w:val="single" w:color="E0E4EA" w:sz="1"/>
              <w:right w:val="single" w:color="E0E4EA" w:sz="1"/>
            </w:tcBorders>
            <w:shd w:fill="0D2B4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5</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API RESTful pour l'export des données ESG vers les plateformes de reporting RSE des entreprises (EcoVadis, Sedex, logiciels comptables carbone).</w:t>
            </w:r>
          </w:p>
        </w:tc>
      </w:tr>
    </w:tbl>
    <w:p>
      <w:pPr>
        <w:spacing w:before="200" w:after="0"/>
      </w:pPr>
      <w:r>
        <w:rPr>
          <w:rFonts w:ascii="Arial" w:cs="Arial" w:eastAsia="Arial" w:hAnsi="Arial"/>
          <w:b w:val="false"/>
          <w:bCs w:val="false"/>
          <w:i w:val="false"/>
          <w:iCs w:val="false"/>
          <w:color w:val="1C2533"/>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D4600A" w:sz="30"/>
              <w:bottom w:val="none" w:color="FFFFFF" w:sz="0"/>
              <w:right w:val="none" w:color="FFFFFF" w:sz="0"/>
            </w:tcBorders>
            <w:shd w:fill="F4F6F9" w:val="clear"/>
            <w:tcMar>
              <w:top w:type="dxa" w:w="140"/>
              <w:left w:type="dxa" w:w="200"/>
              <w:bottom w:type="dxa" w:w="140"/>
              <w:right w:type="dxa" w:w="200"/>
            </w:tcMar>
          </w:tcPr>
          <w:p>
            <w:pPr>
              <w:spacing w:before="60" w:after="60" w:line="276"/>
              <w:jc w:val="left"/>
            </w:pPr>
            <w:r>
              <w:rPr>
                <w:rFonts w:ascii="Arial" w:cs="Arial" w:eastAsia="Arial" w:hAnsi="Arial"/>
                <w:b/>
                <w:bCs/>
                <w:i w:val="false"/>
                <w:iCs w:val="false"/>
                <w:color w:val="D4600A"/>
                <w:sz w:val="22"/>
                <w:szCs w:val="22"/>
              </w:rPr>
              <w:t xml:space="preserve">F33  </w:t>
            </w:r>
            <w:r>
              <w:rPr>
                <w:rFonts w:ascii="Arial" w:cs="Arial" w:eastAsia="Arial" w:hAnsi="Arial"/>
                <w:b/>
                <w:bCs/>
                <w:i w:val="false"/>
                <w:iCs w:val="false"/>
                <w:color w:val="0D2B4E"/>
                <w:sz w:val="24"/>
                <w:szCs w:val="24"/>
              </w:rPr>
              <w:t xml:space="preserve">Marketplace Prestataires &amp; Gestion de la Sous-traitance</w:t>
            </w:r>
          </w:p>
          <w:p>
            <w:pPr>
              <w:spacing w:before="60" w:after="60" w:line="276"/>
              <w:jc w:val="left"/>
            </w:pPr>
            <w:r>
              <w:rPr>
                <w:rFonts w:ascii="Arial" w:cs="Arial" w:eastAsia="Arial" w:hAnsi="Arial"/>
                <w:b/>
                <w:bCs/>
                <w:i w:val="false"/>
                <w:iCs w:val="false"/>
                <w:color w:val="8C96A3"/>
                <w:sz w:val="18"/>
                <w:szCs w:val="18"/>
              </w:rPr>
              <w:t xml:space="preserve">Catégorie : </w:t>
            </w:r>
            <w:r>
              <w:rPr>
                <w:rFonts w:ascii="Arial" w:cs="Arial" w:eastAsia="Arial" w:hAnsi="Arial"/>
                <w:b w:val="false"/>
                <w:bCs w:val="false"/>
                <w:i w:val="false"/>
                <w:iCs w:val="false"/>
                <w:color w:val="1C2533"/>
                <w:sz w:val="18"/>
                <w:szCs w:val="18"/>
              </w:rPr>
              <w:t xml:space="preserve">Écosystème    </w:t>
            </w:r>
            <w:r>
              <w:rPr>
                <w:rFonts w:ascii="Arial" w:cs="Arial" w:eastAsia="Arial" w:hAnsi="Arial"/>
                <w:b/>
                <w:bCs/>
                <w:i w:val="false"/>
                <w:iCs w:val="false"/>
                <w:color w:val="8C96A3"/>
                <w:sz w:val="18"/>
                <w:szCs w:val="18"/>
              </w:rPr>
              <w:t xml:space="preserve">│  Priorité : </w:t>
            </w:r>
            <w:r>
              <w:rPr>
                <w:rFonts w:ascii="Arial" w:cs="Arial" w:eastAsia="Arial" w:hAnsi="Arial"/>
                <w:b/>
                <w:bCs/>
                <w:i w:val="false"/>
                <w:iCs w:val="false"/>
                <w:color w:val="D4600A"/>
                <w:sz w:val="18"/>
                <w:szCs w:val="18"/>
              </w:rPr>
              <w:t xml:space="preserve">HAUTE    </w:t>
            </w:r>
            <w:r>
              <w:rPr>
                <w:rFonts w:ascii="Arial" w:cs="Arial" w:eastAsia="Arial" w:hAnsi="Arial"/>
                <w:b/>
                <w:bCs/>
                <w:i w:val="false"/>
                <w:iCs w:val="false"/>
                <w:color w:val="8C96A3"/>
                <w:sz w:val="18"/>
                <w:szCs w:val="18"/>
              </w:rPr>
              <w:t xml:space="preserve">│  Effort : </w:t>
            </w:r>
            <w:r>
              <w:rPr>
                <w:rFonts w:ascii="Arial" w:cs="Arial" w:eastAsia="Arial" w:hAnsi="Arial"/>
                <w:b w:val="false"/>
                <w:bCs w:val="false"/>
                <w:i w:val="false"/>
                <w:iCs w:val="false"/>
                <w:color w:val="1C2533"/>
                <w:sz w:val="18"/>
                <w:szCs w:val="18"/>
              </w:rPr>
              <w:t xml:space="preserve">Moyen    </w:t>
            </w:r>
            <w:r>
              <w:rPr>
                <w:rFonts w:ascii="Arial" w:cs="Arial" w:eastAsia="Arial" w:hAnsi="Arial"/>
                <w:b/>
                <w:bCs/>
                <w:i w:val="false"/>
                <w:iCs w:val="false"/>
                <w:color w:val="8C96A3"/>
                <w:sz w:val="18"/>
                <w:szCs w:val="18"/>
              </w:rPr>
              <w:t xml:space="preserve">│  Phase : </w:t>
            </w:r>
            <w:r>
              <w:rPr>
                <w:rFonts w:ascii="Arial" w:cs="Arial" w:eastAsia="Arial" w:hAnsi="Arial"/>
                <w:b w:val="false"/>
                <w:bCs w:val="false"/>
                <w:i w:val="false"/>
                <w:iCs w:val="false"/>
                <w:color w:val="1C2533"/>
                <w:sz w:val="18"/>
                <w:szCs w:val="18"/>
              </w:rPr>
              <w:t xml:space="preserve">Phase 2    </w:t>
            </w:r>
            <w:r>
              <w:rPr>
                <w:rFonts w:ascii="Arial" w:cs="Arial" w:eastAsia="Arial" w:hAnsi="Arial"/>
                <w:b/>
                <w:bCs/>
                <w:i w:val="false"/>
                <w:iCs w:val="false"/>
                <w:color w:val="8C96A3"/>
                <w:sz w:val="18"/>
                <w:szCs w:val="18"/>
              </w:rPr>
              <w:t xml:space="preserve">│  Statut : </w:t>
            </w:r>
            <w:r>
              <w:rPr>
                <w:rFonts w:ascii="Arial" w:cs="Arial" w:eastAsia="Arial" w:hAnsi="Arial"/>
                <w:b/>
                <w:bCs/>
                <w:i w:val="false"/>
                <w:iCs w:val="false"/>
                <w:color w:val="5E1A8A"/>
                <w:sz w:val="18"/>
                <w:szCs w:val="18"/>
              </w:rPr>
              <w:t xml:space="preserve">NOUVEAU</w:t>
            </w:r>
          </w:p>
        </w:tc>
      </w:tr>
    </w:tbl>
    <w:p>
      <w:pPr>
        <w:spacing w:before="80" w:after="0"/>
      </w:pPr>
      <w:r>
        <w:rPr>
          <w:rFonts w:ascii="Arial" w:cs="Arial" w:eastAsia="Arial" w:hAnsi="Arial"/>
          <w:b w:val="false"/>
          <w:bCs w:val="false"/>
          <w:i w:val="false"/>
          <w:iCs w:val="false"/>
          <w:color w:val="1C2533"/>
          <w:sz w:val="20"/>
          <w:szCs w:val="20"/>
        </w:rPr>
        <w:t xml:space="preserve"/>
      </w:r>
    </w:p>
    <w:p>
      <w:pPr>
        <w:pStyle w:val="Heading3"/>
        <w:spacing w:before="220" w:after="100"/>
      </w:pPr>
      <w:r>
        <w:rPr>
          <w:rFonts w:ascii="Arial" w:cs="Arial" w:eastAsia="Arial" w:hAnsi="Arial"/>
          <w:b/>
          <w:bCs/>
          <w:i w:val="false"/>
          <w:iCs w:val="false"/>
          <w:color w:val="D4600A"/>
          <w:sz w:val="23"/>
          <w:szCs w:val="23"/>
        </w:rPr>
        <w:t xml:space="preserve">Transformer Maintex en plateforme, pas seulement en logiciel</w:t>
      </w:r>
    </w:p>
    <w:p>
      <w:pPr>
        <w:spacing w:before="60" w:after="60" w:line="276"/>
        <w:jc w:val="left"/>
      </w:pPr>
      <w:r>
        <w:rPr>
          <w:rFonts w:ascii="Arial" w:cs="Arial" w:eastAsia="Arial" w:hAnsi="Arial"/>
          <w:b w:val="false"/>
          <w:bCs w:val="false"/>
          <w:i w:val="false"/>
          <w:iCs w:val="false"/>
          <w:color w:val="1C2533"/>
          <w:sz w:val="20"/>
          <w:szCs w:val="20"/>
        </w:rPr>
        <w:t xml:space="preserve">En Afrique francophone, les entreprises font massivement appel à des prestataires de maintenance externes (électriciens, frigoristes, plombiers industriels, préventistes). Ces prestataires sont aujourd'hui gérés hors de la GMAO (WhatsApp, email, tableurs). Maintex peut intégrer cette dimension et devenir la plateforme de mise en relation entre donneurs d'ordre et prestataires.</w:t>
      </w:r>
    </w:p>
    <w:p>
      <w:pPr>
        <w:spacing w:before="80" w:after="0"/>
      </w:pPr>
      <w:r>
        <w:rPr>
          <w:rFonts w:ascii="Arial" w:cs="Arial" w:eastAsia="Arial" w:hAnsi="Arial"/>
          <w:b w:val="false"/>
          <w:bCs w:val="false"/>
          <w:i w:val="false"/>
          <w:iCs w:val="false"/>
          <w:color w:val="1C2533"/>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4EA" w:sz="1"/>
              <w:left w:val="single" w:color="E0E4EA" w:sz="1"/>
              <w:bottom w:val="single" w:color="E0E4EA" w:sz="1"/>
              <w:right w:val="single" w:color="E0E4EA" w:sz="1"/>
            </w:tcBorders>
            <w:shd w:fill="E3F4E9"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Annuaire de prestataires qualifiés : chaque prestataire a une fiche avec ses spécialités, zones d'intervention, tarifs, certifications, évaluations clients, historique des interventions dans Maintex</w:t>
            </w:r>
          </w:p>
        </w:tc>
      </w:tr>
      <w:tr>
        <w:tc>
          <w:tcPr>
            <w:tcW w:type="dxa" w:w="9026"/>
            <w:tcBorders>
              <w:top w:val="single" w:color="E0E4EA" w:sz="1"/>
              <w:left w:val="single" w:color="E0E4EA" w:sz="1"/>
              <w:bottom w:val="single" w:color="E0E4EA" w:sz="1"/>
              <w:right w:val="single" w:color="E0E4EA" w:sz="1"/>
            </w:tcBorders>
            <w:shd w:fill="FFFFFF"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BT externalisé : création d'un BT assigné à un prestataire externe avec accès limité (portail prestataire) pour saisir ses rapports d'intervention, ses heures et ses pièces utilisées</w:t>
            </w:r>
          </w:p>
        </w:tc>
      </w:tr>
      <w:tr>
        <w:tc>
          <w:tcPr>
            <w:tcW w:type="dxa" w:w="9026"/>
            <w:tcBorders>
              <w:top w:val="single" w:color="E0E4EA" w:sz="1"/>
              <w:left w:val="single" w:color="E0E4EA" w:sz="1"/>
              <w:bottom w:val="single" w:color="E0E4EA" w:sz="1"/>
              <w:right w:val="single" w:color="E0E4EA" w:sz="1"/>
            </w:tcBorders>
            <w:shd w:fill="E3F4E9"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Évaluation des prestataires après intervention : score 1-5 sur qualité, délai, communication. Score moyen visible dans l'annuaire</w:t>
            </w:r>
          </w:p>
        </w:tc>
      </w:tr>
      <w:tr>
        <w:tc>
          <w:tcPr>
            <w:tcW w:type="dxa" w:w="9026"/>
            <w:tcBorders>
              <w:top w:val="single" w:color="E0E4EA" w:sz="1"/>
              <w:left w:val="single" w:color="E0E4EA" w:sz="1"/>
              <w:bottom w:val="single" w:color="E0E4EA" w:sz="1"/>
              <w:right w:val="single" w:color="E0E4EA" w:sz="1"/>
            </w:tcBorders>
            <w:shd w:fill="FFFFFF"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Contrats-cadres prestataires : tarifs contractuels par type d'intervention, plafonds annuels, conditions de paiement</w:t>
            </w:r>
          </w:p>
        </w:tc>
      </w:tr>
      <w:tr>
        <w:tc>
          <w:tcPr>
            <w:tcW w:type="dxa" w:w="9026"/>
            <w:tcBorders>
              <w:top w:val="single" w:color="E0E4EA" w:sz="1"/>
              <w:left w:val="single" w:color="E0E4EA" w:sz="1"/>
              <w:bottom w:val="single" w:color="E0E4EA" w:sz="1"/>
              <w:right w:val="single" w:color="E0E4EA" w:sz="1"/>
            </w:tcBorders>
            <w:shd w:fill="E3F4E9"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Comparaison devis multi-prestataires : pour une intervention, inviter plusieurs prestataires à soumettre un devis directement dans Maintex</w:t>
            </w:r>
          </w:p>
        </w:tc>
      </w:tr>
      <w:tr>
        <w:tc>
          <w:tcPr>
            <w:tcW w:type="dxa" w:w="9026"/>
            <w:tcBorders>
              <w:top w:val="single" w:color="E0E4EA" w:sz="1"/>
              <w:left w:val="single" w:color="E0E4EA" w:sz="1"/>
              <w:bottom w:val="single" w:color="E0E4EA" w:sz="1"/>
              <w:right w:val="single" w:color="E0E4EA" w:sz="1"/>
            </w:tcBorders>
            <w:shd w:fill="FFFFFF"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Tableau de bord sous-traitance : budget externalisé vs budget interne, performance des prestataires, volume d'activité par prestataire</w:t>
            </w:r>
          </w:p>
        </w:tc>
      </w:tr>
      <w:tr>
        <w:tc>
          <w:tcPr>
            <w:tcW w:type="dxa" w:w="9026"/>
            <w:tcBorders>
              <w:top w:val="single" w:color="E0E4EA" w:sz="1"/>
              <w:left w:val="single" w:color="E0E4EA" w:sz="1"/>
              <w:bottom w:val="single" w:color="E0E4EA" w:sz="1"/>
              <w:right w:val="single" w:color="E0E4EA" w:sz="1"/>
            </w:tcBorders>
            <w:shd w:fill="E3F4E9"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Futur : réseau Maintex de prestataires certifiés — génération de revenus pour Maintex par commission sur les mises en relation</w:t>
            </w:r>
          </w:p>
        </w:tc>
      </w:tr>
    </w:tbl>
    <w:p>
      <w:pPr>
        <w:spacing w:before="120" w:after="0"/>
      </w:pPr>
      <w:r>
        <w:rPr>
          <w:rFonts w:ascii="Arial" w:cs="Arial" w:eastAsia="Arial" w:hAnsi="Arial"/>
          <w:b w:val="false"/>
          <w:bCs w:val="false"/>
          <w:i w:val="false"/>
          <w:iCs w:val="false"/>
          <w:color w:val="1C2533"/>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E0E4EA" w:sz="1"/>
              <w:left w:val="single" w:color="E0E4EA" w:sz="1"/>
              <w:bottom w:val="single" w:color="E0E4EA" w:sz="1"/>
              <w:right w:val="single" w:color="E0E4EA" w:sz="1"/>
            </w:tcBorders>
            <w:shd w:fill="0D2B4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1</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Tables : PRESTATAIRE (SIRET/RCCM, raison_sociale, spécialités_JSON, zones_intervention_JSON, tarif_horaire, certifications_JSON, score_moyen, actif), BT_EXTERNE (BT_id, prestataire_id, statut, rapport_html, heures_facturées, pièces_facturées, montant_total, validé_par).</w:t>
            </w:r>
          </w:p>
        </w:tc>
      </w:tr>
      <w:tr>
        <w:tc>
          <w:tcPr>
            <w:tcW w:type="dxa" w:w="800"/>
            <w:tcBorders>
              <w:top w:val="single" w:color="E0E4EA" w:sz="1"/>
              <w:left w:val="single" w:color="E0E4EA" w:sz="1"/>
              <w:bottom w:val="single" w:color="E0E4EA" w:sz="1"/>
              <w:right w:val="single" w:color="E0E4EA" w:sz="1"/>
            </w:tcBorders>
            <w:shd w:fill="1A6BA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2</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Portail prestataire : accès web distinct avec authentification propre. Interface simplifiée : liste des BT assignés, formulaire de rapport d'intervention, upload de documents (PV de réception, facture).</w:t>
            </w:r>
          </w:p>
        </w:tc>
      </w:tr>
      <w:tr>
        <w:tc>
          <w:tcPr>
            <w:tcW w:type="dxa" w:w="800"/>
            <w:tcBorders>
              <w:top w:val="single" w:color="E0E4EA" w:sz="1"/>
              <w:left w:val="single" w:color="E0E4EA" w:sz="1"/>
              <w:bottom w:val="single" w:color="E0E4EA" w:sz="1"/>
              <w:right w:val="single" w:color="E0E4EA" w:sz="1"/>
            </w:tcBorders>
            <w:shd w:fill="0D2B4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3</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Notification prestataire : email automatique à l'attribution d'un BT avec lien d'accès direct au portail. Rappels si le rapport n'est pas saisi dans les délais convenus.</w:t>
            </w:r>
          </w:p>
        </w:tc>
      </w:tr>
      <w:tr>
        <w:tc>
          <w:tcPr>
            <w:tcW w:type="dxa" w:w="800"/>
            <w:tcBorders>
              <w:top w:val="single" w:color="E0E4EA" w:sz="1"/>
              <w:left w:val="single" w:color="E0E4EA" w:sz="1"/>
              <w:bottom w:val="single" w:color="E0E4EA" w:sz="1"/>
              <w:right w:val="single" w:color="E0E4EA" w:sz="1"/>
            </w:tcBorders>
            <w:shd w:fill="1A6BA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4</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Module de mise en concurrence : depuis un BT, inviter N prestataires à soumettre un devis. Interface de comparaison côte à côte. Bouton « Retenir ce prestataire » déclenchant l'attribution.</w:t>
            </w:r>
          </w:p>
        </w:tc>
      </w:tr>
      <w:tr>
        <w:tc>
          <w:tcPr>
            <w:tcW w:type="dxa" w:w="800"/>
            <w:tcBorders>
              <w:top w:val="single" w:color="E0E4EA" w:sz="1"/>
              <w:left w:val="single" w:color="E0E4EA" w:sz="1"/>
              <w:bottom w:val="single" w:color="E0E4EA" w:sz="1"/>
              <w:right w:val="single" w:color="E0E4EA" w:sz="1"/>
            </w:tcBorders>
            <w:shd w:fill="0D2B4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5</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Intégration avec F19 (Achats) : la validation d'un BT externe génère automatiquement une DA pour la facture du prestataire.</w:t>
            </w:r>
          </w:p>
        </w:tc>
      </w:tr>
    </w:tbl>
    <w:p>
      <w:pPr>
        <w:spacing w:before="200" w:after="0"/>
      </w:pPr>
      <w:r>
        <w:rPr>
          <w:rFonts w:ascii="Arial" w:cs="Arial" w:eastAsia="Arial" w:hAnsi="Arial"/>
          <w:b w:val="false"/>
          <w:bCs w:val="false"/>
          <w:i w:val="false"/>
          <w:iCs w:val="false"/>
          <w:color w:val="1C2533"/>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D4600A" w:sz="30"/>
              <w:bottom w:val="none" w:color="FFFFFF" w:sz="0"/>
              <w:right w:val="none" w:color="FFFFFF" w:sz="0"/>
            </w:tcBorders>
            <w:shd w:fill="F4F6F9" w:val="clear"/>
            <w:tcMar>
              <w:top w:type="dxa" w:w="140"/>
              <w:left w:type="dxa" w:w="200"/>
              <w:bottom w:type="dxa" w:w="140"/>
              <w:right w:type="dxa" w:w="200"/>
            </w:tcMar>
          </w:tcPr>
          <w:p>
            <w:pPr>
              <w:spacing w:before="60" w:after="60" w:line="276"/>
              <w:jc w:val="left"/>
            </w:pPr>
            <w:r>
              <w:rPr>
                <w:rFonts w:ascii="Arial" w:cs="Arial" w:eastAsia="Arial" w:hAnsi="Arial"/>
                <w:b/>
                <w:bCs/>
                <w:i w:val="false"/>
                <w:iCs w:val="false"/>
                <w:color w:val="D4600A"/>
                <w:sz w:val="22"/>
                <w:szCs w:val="22"/>
              </w:rPr>
              <w:t xml:space="preserve">F34  </w:t>
            </w:r>
            <w:r>
              <w:rPr>
                <w:rFonts w:ascii="Arial" w:cs="Arial" w:eastAsia="Arial" w:hAnsi="Arial"/>
                <w:b/>
                <w:bCs/>
                <w:i w:val="false"/>
                <w:iCs w:val="false"/>
                <w:color w:val="0D2B4E"/>
                <w:sz w:val="24"/>
                <w:szCs w:val="24"/>
              </w:rPr>
              <w:t xml:space="preserve">Gestion des Contrats de Maintenance &amp; Suivi des SLA</w:t>
            </w:r>
          </w:p>
          <w:p>
            <w:pPr>
              <w:spacing w:before="60" w:after="60" w:line="276"/>
              <w:jc w:val="left"/>
            </w:pPr>
            <w:r>
              <w:rPr>
                <w:rFonts w:ascii="Arial" w:cs="Arial" w:eastAsia="Arial" w:hAnsi="Arial"/>
                <w:b/>
                <w:bCs/>
                <w:i w:val="false"/>
                <w:iCs w:val="false"/>
                <w:color w:val="8C96A3"/>
                <w:sz w:val="18"/>
                <w:szCs w:val="18"/>
              </w:rPr>
              <w:t xml:space="preserve">Catégorie : </w:t>
            </w:r>
            <w:r>
              <w:rPr>
                <w:rFonts w:ascii="Arial" w:cs="Arial" w:eastAsia="Arial" w:hAnsi="Arial"/>
                <w:b w:val="false"/>
                <w:bCs w:val="false"/>
                <w:i w:val="false"/>
                <w:iCs w:val="false"/>
                <w:color w:val="1C2533"/>
                <w:sz w:val="18"/>
                <w:szCs w:val="18"/>
              </w:rPr>
              <w:t xml:space="preserve">Contrats    </w:t>
            </w:r>
            <w:r>
              <w:rPr>
                <w:rFonts w:ascii="Arial" w:cs="Arial" w:eastAsia="Arial" w:hAnsi="Arial"/>
                <w:b/>
                <w:bCs/>
                <w:i w:val="false"/>
                <w:iCs w:val="false"/>
                <w:color w:val="8C96A3"/>
                <w:sz w:val="18"/>
                <w:szCs w:val="18"/>
              </w:rPr>
              <w:t xml:space="preserve">│  Priorité : </w:t>
            </w:r>
            <w:r>
              <w:rPr>
                <w:rFonts w:ascii="Arial" w:cs="Arial" w:eastAsia="Arial" w:hAnsi="Arial"/>
                <w:b/>
                <w:bCs/>
                <w:i w:val="false"/>
                <w:iCs w:val="false"/>
                <w:color w:val="D4600A"/>
                <w:sz w:val="18"/>
                <w:szCs w:val="18"/>
              </w:rPr>
              <w:t xml:space="preserve">HAUTE    </w:t>
            </w:r>
            <w:r>
              <w:rPr>
                <w:rFonts w:ascii="Arial" w:cs="Arial" w:eastAsia="Arial" w:hAnsi="Arial"/>
                <w:b/>
                <w:bCs/>
                <w:i w:val="false"/>
                <w:iCs w:val="false"/>
                <w:color w:val="8C96A3"/>
                <w:sz w:val="18"/>
                <w:szCs w:val="18"/>
              </w:rPr>
              <w:t xml:space="preserve">│  Effort : </w:t>
            </w:r>
            <w:r>
              <w:rPr>
                <w:rFonts w:ascii="Arial" w:cs="Arial" w:eastAsia="Arial" w:hAnsi="Arial"/>
                <w:b w:val="false"/>
                <w:bCs w:val="false"/>
                <w:i w:val="false"/>
                <w:iCs w:val="false"/>
                <w:color w:val="1C2533"/>
                <w:sz w:val="18"/>
                <w:szCs w:val="18"/>
              </w:rPr>
              <w:t xml:space="preserve">Moyen    </w:t>
            </w:r>
            <w:r>
              <w:rPr>
                <w:rFonts w:ascii="Arial" w:cs="Arial" w:eastAsia="Arial" w:hAnsi="Arial"/>
                <w:b/>
                <w:bCs/>
                <w:i w:val="false"/>
                <w:iCs w:val="false"/>
                <w:color w:val="8C96A3"/>
                <w:sz w:val="18"/>
                <w:szCs w:val="18"/>
              </w:rPr>
              <w:t xml:space="preserve">│  Phase : </w:t>
            </w:r>
            <w:r>
              <w:rPr>
                <w:rFonts w:ascii="Arial" w:cs="Arial" w:eastAsia="Arial" w:hAnsi="Arial"/>
                <w:b w:val="false"/>
                <w:bCs w:val="false"/>
                <w:i w:val="false"/>
                <w:iCs w:val="false"/>
                <w:color w:val="1C2533"/>
                <w:sz w:val="18"/>
                <w:szCs w:val="18"/>
              </w:rPr>
              <w:t xml:space="preserve">Phase 2    </w:t>
            </w:r>
            <w:r>
              <w:rPr>
                <w:rFonts w:ascii="Arial" w:cs="Arial" w:eastAsia="Arial" w:hAnsi="Arial"/>
                <w:b/>
                <w:bCs/>
                <w:i w:val="false"/>
                <w:iCs w:val="false"/>
                <w:color w:val="8C96A3"/>
                <w:sz w:val="18"/>
                <w:szCs w:val="18"/>
              </w:rPr>
              <w:t xml:space="preserve">│  Statut : </w:t>
            </w:r>
            <w:r>
              <w:rPr>
                <w:rFonts w:ascii="Arial" w:cs="Arial" w:eastAsia="Arial" w:hAnsi="Arial"/>
                <w:b/>
                <w:bCs/>
                <w:i w:val="false"/>
                <w:iCs w:val="false"/>
                <w:color w:val="5E1A8A"/>
                <w:sz w:val="18"/>
                <w:szCs w:val="18"/>
              </w:rPr>
              <w:t xml:space="preserve">NOUVEAU</w:t>
            </w:r>
          </w:p>
        </w:tc>
      </w:tr>
    </w:tbl>
    <w:p>
      <w:pPr>
        <w:spacing w:before="80" w:after="0"/>
      </w:pPr>
      <w:r>
        <w:rPr>
          <w:rFonts w:ascii="Arial" w:cs="Arial" w:eastAsia="Arial" w:hAnsi="Arial"/>
          <w:b w:val="false"/>
          <w:bCs w:val="false"/>
          <w:i w:val="false"/>
          <w:iCs w:val="false"/>
          <w:color w:val="1C2533"/>
          <w:sz w:val="20"/>
          <w:szCs w:val="20"/>
        </w:rPr>
        <w:t xml:space="preserve"/>
      </w:r>
    </w:p>
    <w:p>
      <w:pPr>
        <w:pStyle w:val="Heading3"/>
        <w:spacing w:before="220" w:after="100"/>
      </w:pPr>
      <w:r>
        <w:rPr>
          <w:rFonts w:ascii="Arial" w:cs="Arial" w:eastAsia="Arial" w:hAnsi="Arial"/>
          <w:b/>
          <w:bCs/>
          <w:i w:val="false"/>
          <w:iCs w:val="false"/>
          <w:color w:val="D4600A"/>
          <w:sz w:val="23"/>
          <w:szCs w:val="23"/>
        </w:rPr>
        <w:t xml:space="preserve">La fonctionnalité manquante pour les gestionnaires de facilities et les équipes techniques</w:t>
      </w:r>
    </w:p>
    <w:p>
      <w:pPr>
        <w:spacing w:before="60" w:after="60" w:line="276"/>
        <w:jc w:val="left"/>
      </w:pPr>
      <w:r>
        <w:rPr>
          <w:rFonts w:ascii="Arial" w:cs="Arial" w:eastAsia="Arial" w:hAnsi="Arial"/>
          <w:b w:val="false"/>
          <w:bCs w:val="false"/>
          <w:i w:val="false"/>
          <w:iCs w:val="false"/>
          <w:color w:val="1C2533"/>
          <w:sz w:val="20"/>
          <w:szCs w:val="20"/>
        </w:rPr>
        <w:t xml:space="preserve">Les entreprises qui gèrent des parcs d'équipements sous contrat (contrats de maintenance préventive, contrats all-inclusive, garanties constructeur) n'ont aucun outil pour suivre l'exécution de ces contrats dans leur GMAO. Ils utilisent des fichiers Excel séparés. Maintex peut centraliser cette gestion et devenir l'outil de référence des responsables de facilities.</w:t>
      </w:r>
    </w:p>
    <w:p>
      <w:pPr>
        <w:spacing w:before="80" w:after="0"/>
      </w:pPr>
      <w:r>
        <w:rPr>
          <w:rFonts w:ascii="Arial" w:cs="Arial" w:eastAsia="Arial" w:hAnsi="Arial"/>
          <w:b w:val="false"/>
          <w:bCs w:val="false"/>
          <w:i w:val="false"/>
          <w:iCs w:val="false"/>
          <w:color w:val="1C2533"/>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4EA" w:sz="1"/>
              <w:left w:val="single" w:color="E0E4EA" w:sz="1"/>
              <w:bottom w:val="single" w:color="E0E4EA" w:sz="1"/>
              <w:right w:val="single" w:color="E0E4EA" w:sz="1"/>
            </w:tcBorders>
            <w:shd w:fill="E3F4E9"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Fiches contrat : liant un prestataire, une liste d'équipements couverts, des prestations incluses, une durée, des conditions financières et des SLA (temps de réponse, temps de rétablissement)</w:t>
            </w:r>
          </w:p>
        </w:tc>
      </w:tr>
      <w:tr>
        <w:tc>
          <w:tcPr>
            <w:tcW w:type="dxa" w:w="9026"/>
            <w:tcBorders>
              <w:top w:val="single" w:color="E0E4EA" w:sz="1"/>
              <w:left w:val="single" w:color="E0E4EA" w:sz="1"/>
              <w:bottom w:val="single" w:color="E0E4EA" w:sz="1"/>
              <w:right w:val="single" w:color="E0E4EA" w:sz="1"/>
            </w:tcBorders>
            <w:shd w:fill="FFFFFF"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Suivi d'exécution du contrat : chaque BT lié à un équipement sous contrat est automatiquement rattaché au contrat. Suivi des visites contractuelles effectuées vs prévues</w:t>
            </w:r>
          </w:p>
        </w:tc>
      </w:tr>
      <w:tr>
        <w:tc>
          <w:tcPr>
            <w:tcW w:type="dxa" w:w="9026"/>
            <w:tcBorders>
              <w:top w:val="single" w:color="E0E4EA" w:sz="1"/>
              <w:left w:val="single" w:color="E0E4EA" w:sz="1"/>
              <w:bottom w:val="single" w:color="E0E4EA" w:sz="1"/>
              <w:right w:val="single" w:color="E0E4EA" w:sz="1"/>
            </w:tcBorders>
            <w:shd w:fill="E3F4E9"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Alertes de renouvellement : alerte 90, 60 et 30 jours avant l'expiration d'un contrat</w:t>
            </w:r>
          </w:p>
        </w:tc>
      </w:tr>
      <w:tr>
        <w:tc>
          <w:tcPr>
            <w:tcW w:type="dxa" w:w="9026"/>
            <w:tcBorders>
              <w:top w:val="single" w:color="E0E4EA" w:sz="1"/>
              <w:left w:val="single" w:color="E0E4EA" w:sz="1"/>
              <w:bottom w:val="single" w:color="E0E4EA" w:sz="1"/>
              <w:right w:val="single" w:color="E0E4EA" w:sz="1"/>
            </w:tcBorders>
            <w:shd w:fill="FFFFFF"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Tableau de bord SLA : taux de respect du temps de réponse, du temps de rétablissement, des visites préventives contractuelles</w:t>
            </w:r>
          </w:p>
        </w:tc>
      </w:tr>
      <w:tr>
        <w:tc>
          <w:tcPr>
            <w:tcW w:type="dxa" w:w="9026"/>
            <w:tcBorders>
              <w:top w:val="single" w:color="E0E4EA" w:sz="1"/>
              <w:left w:val="single" w:color="E0E4EA" w:sz="1"/>
              <w:bottom w:val="single" w:color="E0E4EA" w:sz="1"/>
              <w:right w:val="single" w:color="E0E4EA" w:sz="1"/>
            </w:tcBorders>
            <w:shd w:fill="E3F4E9"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Gestion des pénalités contractuelles : si le prestataire dépasse le SLA, calcul automatique des pénalités selon les conditions du contrat</w:t>
            </w:r>
          </w:p>
        </w:tc>
      </w:tr>
      <w:tr>
        <w:tc>
          <w:tcPr>
            <w:tcW w:type="dxa" w:w="9026"/>
            <w:tcBorders>
              <w:top w:val="single" w:color="E0E4EA" w:sz="1"/>
              <w:left w:val="single" w:color="E0E4EA" w:sz="1"/>
              <w:bottom w:val="single" w:color="E0E4EA" w:sz="1"/>
              <w:right w:val="single" w:color="E0E4EA" w:sz="1"/>
            </w:tcBorders>
            <w:shd w:fill="FFFFFF"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Suivi des garanties constructeur : alerte avant expiration, liste des équipements sous garantie, procédure de recours garantie</w:t>
            </w:r>
          </w:p>
        </w:tc>
      </w:tr>
      <w:tr>
        <w:tc>
          <w:tcPr>
            <w:tcW w:type="dxa" w:w="9026"/>
            <w:tcBorders>
              <w:top w:val="single" w:color="E0E4EA" w:sz="1"/>
              <w:left w:val="single" w:color="E0E4EA" w:sz="1"/>
              <w:bottom w:val="single" w:color="E0E4EA" w:sz="1"/>
              <w:right w:val="single" w:color="E0E4EA" w:sz="1"/>
            </w:tcBorders>
            <w:shd w:fill="E3F4E9"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Rapport de performance contrat : document PDF mensuel envoyé automatiquement au responsable contrat et au prestataire</w:t>
            </w:r>
          </w:p>
        </w:tc>
      </w:tr>
    </w:tbl>
    <w:p>
      <w:pPr>
        <w:spacing w:before="120" w:after="0"/>
      </w:pPr>
      <w:r>
        <w:rPr>
          <w:rFonts w:ascii="Arial" w:cs="Arial" w:eastAsia="Arial" w:hAnsi="Arial"/>
          <w:b w:val="false"/>
          <w:bCs w:val="false"/>
          <w:i w:val="false"/>
          <w:iCs w:val="false"/>
          <w:color w:val="1C2533"/>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E0E4EA" w:sz="1"/>
              <w:left w:val="single" w:color="E0E4EA" w:sz="1"/>
              <w:bottom w:val="single" w:color="E0E4EA" w:sz="1"/>
              <w:right w:val="single" w:color="E0E4EA" w:sz="1"/>
            </w:tcBorders>
            <w:shd w:fill="0D2B4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1</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Tables : CONTRAT (prestataire_id ou fournisseur_id, type ENUM[maintenance/garantie/all-inclusive], date_début, date_fin, montant, fréquence_visite, sla_réponse_h, sla_rétablissement_h, pénalité_par_heure), CONTRAT_EQUIPEMENT (contrat_id, équipement_id), CONTRAT_VISITE (contrat_id, date_prévue, date_réalisée, BT_id, statut).</w:t>
            </w:r>
          </w:p>
        </w:tc>
      </w:tr>
      <w:tr>
        <w:tc>
          <w:tcPr>
            <w:tcW w:type="dxa" w:w="800"/>
            <w:tcBorders>
              <w:top w:val="single" w:color="E0E4EA" w:sz="1"/>
              <w:left w:val="single" w:color="E0E4EA" w:sz="1"/>
              <w:bottom w:val="single" w:color="E0E4EA" w:sz="1"/>
              <w:right w:val="single" w:color="E0E4EA" w:sz="1"/>
            </w:tcBorders>
            <w:shd w:fill="1A6BA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2</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Moteur SLA : à la clôture d'un BT lié à un contrat, calculer automatiquement le temps de réponse (date_ouverture → date_prise_en_charge) et le temps de rétablissement (date_ouverture → date_clôture). Comparer aux SLA contractuels. Stocker l'écart.</w:t>
            </w:r>
          </w:p>
        </w:tc>
      </w:tr>
      <w:tr>
        <w:tc>
          <w:tcPr>
            <w:tcW w:type="dxa" w:w="800"/>
            <w:tcBorders>
              <w:top w:val="single" w:color="E0E4EA" w:sz="1"/>
              <w:left w:val="single" w:color="E0E4EA" w:sz="1"/>
              <w:bottom w:val="single" w:color="E0E4EA" w:sz="1"/>
              <w:right w:val="single" w:color="E0E4EA" w:sz="1"/>
            </w:tcBorders>
            <w:shd w:fill="0D2B4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3</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Alertes proactives : job quotidien vérifiant les BT en cours sur équipements sous contrat dont le SLA est sur le point d'être dépassé. Notification au responsable contrat et au prestataire.</w:t>
            </w:r>
          </w:p>
        </w:tc>
      </w:tr>
      <w:tr>
        <w:tc>
          <w:tcPr>
            <w:tcW w:type="dxa" w:w="800"/>
            <w:tcBorders>
              <w:top w:val="single" w:color="E0E4EA" w:sz="1"/>
              <w:left w:val="single" w:color="E0E4EA" w:sz="1"/>
              <w:bottom w:val="single" w:color="E0E4EA" w:sz="1"/>
              <w:right w:val="single" w:color="E0E4EA" w:sz="1"/>
            </w:tcBorders>
            <w:shd w:fill="1A6BA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4</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Calcul des pénalités : rapport mensuel listant tous les dépassements SLA avec pénalités calculées. Export PDF à envoyer au prestataire pour discussion lors de la revue mensuelle.</w:t>
            </w:r>
          </w:p>
        </w:tc>
      </w:tr>
    </w:tbl>
    <w:p>
      <w:pPr>
        <w:spacing w:before="200" w:after="0"/>
      </w:pPr>
      <w:r>
        <w:rPr>
          <w:rFonts w:ascii="Arial" w:cs="Arial" w:eastAsia="Arial" w:hAnsi="Arial"/>
          <w:b w:val="false"/>
          <w:bCs w:val="false"/>
          <w:i w:val="false"/>
          <w:iCs w:val="false"/>
          <w:color w:val="1C2533"/>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71C1C" w:sz="30"/>
              <w:bottom w:val="none" w:color="FFFFFF" w:sz="0"/>
              <w:right w:val="none" w:color="FFFFFF" w:sz="0"/>
            </w:tcBorders>
            <w:shd w:fill="F4F6F9" w:val="clear"/>
            <w:tcMar>
              <w:top w:type="dxa" w:w="140"/>
              <w:left w:type="dxa" w:w="200"/>
              <w:bottom w:type="dxa" w:w="140"/>
              <w:right w:type="dxa" w:w="200"/>
            </w:tcMar>
          </w:tcPr>
          <w:p>
            <w:pPr>
              <w:spacing w:before="60" w:after="60" w:line="276"/>
              <w:jc w:val="left"/>
            </w:pPr>
            <w:r>
              <w:rPr>
                <w:rFonts w:ascii="Arial" w:cs="Arial" w:eastAsia="Arial" w:hAnsi="Arial"/>
                <w:b/>
                <w:bCs/>
                <w:i w:val="false"/>
                <w:iCs w:val="false"/>
                <w:color w:val="B71C1C"/>
                <w:sz w:val="22"/>
                <w:szCs w:val="22"/>
              </w:rPr>
              <w:t xml:space="preserve">F35  </w:t>
            </w:r>
            <w:r>
              <w:rPr>
                <w:rFonts w:ascii="Arial" w:cs="Arial" w:eastAsia="Arial" w:hAnsi="Arial"/>
                <w:b/>
                <w:bCs/>
                <w:i w:val="false"/>
                <w:iCs w:val="false"/>
                <w:color w:val="0D2B4E"/>
                <w:sz w:val="24"/>
                <w:szCs w:val="24"/>
              </w:rPr>
              <w:t xml:space="preserve">Jumeau Numérique des Actifs (Digital Twin Light)</w:t>
            </w:r>
          </w:p>
          <w:p>
            <w:pPr>
              <w:spacing w:before="60" w:after="60" w:line="276"/>
              <w:jc w:val="left"/>
            </w:pPr>
            <w:r>
              <w:rPr>
                <w:rFonts w:ascii="Arial" w:cs="Arial" w:eastAsia="Arial" w:hAnsi="Arial"/>
                <w:b/>
                <w:bCs/>
                <w:i w:val="false"/>
                <w:iCs w:val="false"/>
                <w:color w:val="8C96A3"/>
                <w:sz w:val="18"/>
                <w:szCs w:val="18"/>
              </w:rPr>
              <w:t xml:space="preserve">Catégorie : </w:t>
            </w:r>
            <w:r>
              <w:rPr>
                <w:rFonts w:ascii="Arial" w:cs="Arial" w:eastAsia="Arial" w:hAnsi="Arial"/>
                <w:b w:val="false"/>
                <w:bCs w:val="false"/>
                <w:i w:val="false"/>
                <w:iCs w:val="false"/>
                <w:color w:val="1C2533"/>
                <w:sz w:val="18"/>
                <w:szCs w:val="18"/>
              </w:rPr>
              <w:t xml:space="preserve">IA / Assets    </w:t>
            </w:r>
            <w:r>
              <w:rPr>
                <w:rFonts w:ascii="Arial" w:cs="Arial" w:eastAsia="Arial" w:hAnsi="Arial"/>
                <w:b/>
                <w:bCs/>
                <w:i w:val="false"/>
                <w:iCs w:val="false"/>
                <w:color w:val="8C96A3"/>
                <w:sz w:val="18"/>
                <w:szCs w:val="18"/>
              </w:rPr>
              <w:t xml:space="preserve">│  Priorité : </w:t>
            </w:r>
            <w:r>
              <w:rPr>
                <w:rFonts w:ascii="Arial" w:cs="Arial" w:eastAsia="Arial" w:hAnsi="Arial"/>
                <w:b/>
                <w:bCs/>
                <w:i w:val="false"/>
                <w:iCs w:val="false"/>
                <w:color w:val="B71C1C"/>
                <w:sz w:val="18"/>
                <w:szCs w:val="18"/>
              </w:rPr>
              <w:t xml:space="preserve">STRATÉGIQUE    </w:t>
            </w:r>
            <w:r>
              <w:rPr>
                <w:rFonts w:ascii="Arial" w:cs="Arial" w:eastAsia="Arial" w:hAnsi="Arial"/>
                <w:b/>
                <w:bCs/>
                <w:i w:val="false"/>
                <w:iCs w:val="false"/>
                <w:color w:val="8C96A3"/>
                <w:sz w:val="18"/>
                <w:szCs w:val="18"/>
              </w:rPr>
              <w:t xml:space="preserve">│  Effort : </w:t>
            </w:r>
            <w:r>
              <w:rPr>
                <w:rFonts w:ascii="Arial" w:cs="Arial" w:eastAsia="Arial" w:hAnsi="Arial"/>
                <w:b w:val="false"/>
                <w:bCs w:val="false"/>
                <w:i w:val="false"/>
                <w:iCs w:val="false"/>
                <w:color w:val="1C2533"/>
                <w:sz w:val="18"/>
                <w:szCs w:val="18"/>
              </w:rPr>
              <w:t xml:space="preserve">Très élevé    </w:t>
            </w:r>
            <w:r>
              <w:rPr>
                <w:rFonts w:ascii="Arial" w:cs="Arial" w:eastAsia="Arial" w:hAnsi="Arial"/>
                <w:b/>
                <w:bCs/>
                <w:i w:val="false"/>
                <w:iCs w:val="false"/>
                <w:color w:val="8C96A3"/>
                <w:sz w:val="18"/>
                <w:szCs w:val="18"/>
              </w:rPr>
              <w:t xml:space="preserve">│  Phase : </w:t>
            </w:r>
            <w:r>
              <w:rPr>
                <w:rFonts w:ascii="Arial" w:cs="Arial" w:eastAsia="Arial" w:hAnsi="Arial"/>
                <w:b w:val="false"/>
                <w:bCs w:val="false"/>
                <w:i w:val="false"/>
                <w:iCs w:val="false"/>
                <w:color w:val="1C2533"/>
                <w:sz w:val="18"/>
                <w:szCs w:val="18"/>
              </w:rPr>
              <w:t xml:space="preserve">Phase 3    </w:t>
            </w:r>
            <w:r>
              <w:rPr>
                <w:rFonts w:ascii="Arial" w:cs="Arial" w:eastAsia="Arial" w:hAnsi="Arial"/>
                <w:b/>
                <w:bCs/>
                <w:i w:val="false"/>
                <w:iCs w:val="false"/>
                <w:color w:val="8C96A3"/>
                <w:sz w:val="18"/>
                <w:szCs w:val="18"/>
              </w:rPr>
              <w:t xml:space="preserve">│  Statut : </w:t>
            </w:r>
            <w:r>
              <w:rPr>
                <w:rFonts w:ascii="Arial" w:cs="Arial" w:eastAsia="Arial" w:hAnsi="Arial"/>
                <w:b/>
                <w:bCs/>
                <w:i w:val="false"/>
                <w:iCs w:val="false"/>
                <w:color w:val="5E1A8A"/>
                <w:sz w:val="18"/>
                <w:szCs w:val="18"/>
              </w:rPr>
              <w:t xml:space="preserve">NOUVEAU</w:t>
            </w:r>
          </w:p>
        </w:tc>
      </w:tr>
    </w:tbl>
    <w:p>
      <w:pPr>
        <w:spacing w:before="80" w:after="0"/>
      </w:pPr>
      <w:r>
        <w:rPr>
          <w:rFonts w:ascii="Arial" w:cs="Arial" w:eastAsia="Arial" w:hAnsi="Arial"/>
          <w:b w:val="false"/>
          <w:bCs w:val="false"/>
          <w:i w:val="false"/>
          <w:iCs w:val="false"/>
          <w:color w:val="1C2533"/>
          <w:sz w:val="20"/>
          <w:szCs w:val="20"/>
        </w:rPr>
        <w:t xml:space="preserve"/>
      </w:r>
    </w:p>
    <w:p>
      <w:pPr>
        <w:pStyle w:val="Heading3"/>
        <w:spacing w:before="220" w:after="100"/>
      </w:pPr>
      <w:r>
        <w:rPr>
          <w:rFonts w:ascii="Arial" w:cs="Arial" w:eastAsia="Arial" w:hAnsi="Arial"/>
          <w:b/>
          <w:bCs/>
          <w:i w:val="false"/>
          <w:iCs w:val="false"/>
          <w:color w:val="D4600A"/>
          <w:sz w:val="23"/>
          <w:szCs w:val="23"/>
        </w:rPr>
        <w:t xml:space="preserve">La frontière suivante de la maintenance industrielle</w:t>
      </w:r>
    </w:p>
    <w:p>
      <w:pPr>
        <w:spacing w:before="60" w:after="60" w:line="276"/>
        <w:jc w:val="left"/>
      </w:pPr>
      <w:r>
        <w:rPr>
          <w:rFonts w:ascii="Arial" w:cs="Arial" w:eastAsia="Arial" w:hAnsi="Arial"/>
          <w:b w:val="false"/>
          <w:bCs w:val="false"/>
          <w:i w:val="false"/>
          <w:iCs w:val="false"/>
          <w:color w:val="1C2533"/>
          <w:sz w:val="20"/>
          <w:szCs w:val="20"/>
        </w:rPr>
        <w:t xml:space="preserve">Un jumeau numérique est la représentation virtuelle en temps réel d'un actif physique. Pour Maintex, il ne s'agit pas de modélisation 3D complexe (trop lourde pour une GMAO généraliste), mais d'un « Digital Twin Light » : un profil enrichi de chaque équipement combinant ses données techniques, son historique de maintenance, ses relevés de capteurs en temps réel, sa santé prédite et ses simulations de scénarios de remplacement.</w:t>
      </w:r>
    </w:p>
    <w:p>
      <w:pPr>
        <w:spacing w:before="80" w:after="0"/>
      </w:pPr>
      <w:r>
        <w:rPr>
          <w:rFonts w:ascii="Arial" w:cs="Arial" w:eastAsia="Arial" w:hAnsi="Arial"/>
          <w:b w:val="false"/>
          <w:bCs w:val="false"/>
          <w:i w:val="false"/>
          <w:iCs w:val="false"/>
          <w:color w:val="1C2533"/>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4EA" w:sz="1"/>
              <w:left w:val="single" w:color="E0E4EA" w:sz="1"/>
              <w:bottom w:val="single" w:color="E0E4EA" w:sz="1"/>
              <w:right w:val="single" w:color="E0E4EA" w:sz="1"/>
            </w:tcBorders>
            <w:shd w:fill="E3F4E9"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Score de santé en temps réel : note de 0 à 100 calculée dynamiquement en combinant âge de l'équipement, MTBF historique, dernières mesures IoT, coût de maintenance cumulé, dérives de performance énergétique</w:t>
            </w:r>
          </w:p>
        </w:tc>
      </w:tr>
      <w:tr>
        <w:tc>
          <w:tcPr>
            <w:tcW w:type="dxa" w:w="9026"/>
            <w:tcBorders>
              <w:top w:val="single" w:color="E0E4EA" w:sz="1"/>
              <w:left w:val="single" w:color="E0E4EA" w:sz="1"/>
              <w:bottom w:val="single" w:color="E0E4EA" w:sz="1"/>
              <w:right w:val="single" w:color="E0E4EA" w:sz="1"/>
            </w:tcBorders>
            <w:shd w:fill="FFFFFF"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Courbe de vie prédite : projection de la durée de vie résiduelle de l'équipement avec intervalles de confiance, basée sur les données historiques et les tendances IoT</w:t>
            </w:r>
          </w:p>
        </w:tc>
      </w:tr>
      <w:tr>
        <w:tc>
          <w:tcPr>
            <w:tcW w:type="dxa" w:w="9026"/>
            <w:tcBorders>
              <w:top w:val="single" w:color="E0E4EA" w:sz="1"/>
              <w:left w:val="single" w:color="E0E4EA" w:sz="1"/>
              <w:bottom w:val="single" w:color="E0E4EA" w:sz="1"/>
              <w:right w:val="single" w:color="E0E4EA" w:sz="1"/>
            </w:tcBorders>
            <w:shd w:fill="E3F4E9"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Simulation de scénarios : « Si je remplace maintenant vs dans 1 an vs attendre la panne » — calcul du coût total et du risque pour chaque scénario</w:t>
            </w:r>
          </w:p>
        </w:tc>
      </w:tr>
      <w:tr>
        <w:tc>
          <w:tcPr>
            <w:tcW w:type="dxa" w:w="9026"/>
            <w:tcBorders>
              <w:top w:val="single" w:color="E0E4EA" w:sz="1"/>
              <w:left w:val="single" w:color="E0E4EA" w:sz="1"/>
              <w:bottom w:val="single" w:color="E0E4EA" w:sz="1"/>
              <w:right w:val="single" w:color="E0E4EA" w:sz="1"/>
            </w:tcBorders>
            <w:shd w:fill="FFFFFF"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Tableau de bord « Santé du Parc » : vue d'ensemble du score de santé de tous les équipements, cartographie des risques par site, alerte sur les équipements en zone critique</w:t>
            </w:r>
          </w:p>
        </w:tc>
      </w:tr>
      <w:tr>
        <w:tc>
          <w:tcPr>
            <w:tcW w:type="dxa" w:w="9026"/>
            <w:tcBorders>
              <w:top w:val="single" w:color="E0E4EA" w:sz="1"/>
              <w:left w:val="single" w:color="E0E4EA" w:sz="1"/>
              <w:bottom w:val="single" w:color="E0E4EA" w:sz="1"/>
              <w:right w:val="single" w:color="E0E4EA" w:sz="1"/>
            </w:tcBorders>
            <w:shd w:fill="E3F4E9"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Historique enrichi : frise chronologique de toutes les interventions, pannes, mesures, alertes sur la durée de vie de l'équipement — accessible en un clic</w:t>
            </w:r>
          </w:p>
        </w:tc>
      </w:tr>
      <w:tr>
        <w:tc>
          <w:tcPr>
            <w:tcW w:type="dxa" w:w="9026"/>
            <w:tcBorders>
              <w:top w:val="single" w:color="E0E4EA" w:sz="1"/>
              <w:left w:val="single" w:color="E0E4EA" w:sz="1"/>
              <w:bottom w:val="single" w:color="E0E4EA" w:sz="1"/>
              <w:right w:val="single" w:color="E0E4EA" w:sz="1"/>
            </w:tcBorders>
            <w:shd w:fill="FFFFFF"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Rapport de recommandation de remplacement : document automatique pour les équipements dont le score de santé &lt; 30%, incluant analyse coût-bénéfice remplacement vs maintenance</w:t>
            </w:r>
          </w:p>
        </w:tc>
      </w:tr>
    </w:tbl>
    <w:p>
      <w:pPr>
        <w:spacing w:before="120" w:after="0"/>
      </w:pPr>
      <w:r>
        <w:rPr>
          <w:rFonts w:ascii="Arial" w:cs="Arial" w:eastAsia="Arial" w:hAnsi="Arial"/>
          <w:b w:val="false"/>
          <w:bCs w:val="false"/>
          <w:i w:val="false"/>
          <w:iCs w:val="false"/>
          <w:color w:val="1C2533"/>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E0E4EA" w:sz="1"/>
              <w:left w:val="single" w:color="E0E4EA" w:sz="1"/>
              <w:bottom w:val="single" w:color="E0E4EA" w:sz="1"/>
              <w:right w:val="single" w:color="E0E4EA" w:sz="1"/>
            </w:tcBorders>
            <w:shd w:fill="0D2B4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1</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Modèle de score de santé : équation pondérée configurable (âge/durée_vie × 0.25 + MTBF_dégradé × 0.30 + anomalies_IA × 0.25 + dérive_énergétique × 0.20). Les poids sont ajustables par famille d'équipement.</w:t>
            </w:r>
          </w:p>
        </w:tc>
      </w:tr>
      <w:tr>
        <w:tc>
          <w:tcPr>
            <w:tcW w:type="dxa" w:w="800"/>
            <w:tcBorders>
              <w:top w:val="single" w:color="E0E4EA" w:sz="1"/>
              <w:left w:val="single" w:color="E0E4EA" w:sz="1"/>
              <w:bottom w:val="single" w:color="E0E4EA" w:sz="1"/>
              <w:right w:val="single" w:color="E0E4EA" w:sz="1"/>
            </w:tcBorders>
            <w:shd w:fill="1A6BA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2</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Calcul de durée de vie résiduelle (RUL — Remaining Useful Life) : modèle de dégradation basé sur les données historiques. Algorithmes : Weibull Analysis pour les pannes, regression linéaire pour les dérives mesurées.</w:t>
            </w:r>
          </w:p>
        </w:tc>
      </w:tr>
      <w:tr>
        <w:tc>
          <w:tcPr>
            <w:tcW w:type="dxa" w:w="800"/>
            <w:tcBorders>
              <w:top w:val="single" w:color="E0E4EA" w:sz="1"/>
              <w:left w:val="single" w:color="E0E4EA" w:sz="1"/>
              <w:bottom w:val="single" w:color="E0E4EA" w:sz="1"/>
              <w:right w:val="single" w:color="E0E4EA" w:sz="1"/>
            </w:tcBorders>
            <w:shd w:fill="0D2B4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3</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Interface de la fiche équipement enrichie : onglet « Jumeau Numérique » avec score de santé (jauge), courbe de vie, relevés IoT en temps réel (depuis F11), historique complet en frise chronologique.</w:t>
            </w:r>
          </w:p>
        </w:tc>
      </w:tr>
      <w:tr>
        <w:tc>
          <w:tcPr>
            <w:tcW w:type="dxa" w:w="800"/>
            <w:tcBorders>
              <w:top w:val="single" w:color="E0E4EA" w:sz="1"/>
              <w:left w:val="single" w:color="E0E4EA" w:sz="1"/>
              <w:bottom w:val="single" w:color="E0E4EA" w:sz="1"/>
              <w:right w:val="single" w:color="E0E4EA" w:sz="1"/>
            </w:tcBorders>
            <w:shd w:fill="1A6BA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4</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Moteur de simulation : 3 scénarios préconfigurés (remplacement immédiat / maintenance lourde / run-to-failure). Calcul du NPV (Net Present Value) de chaque scénario avec les hypothèses de coût configurables.</w:t>
            </w:r>
          </w:p>
        </w:tc>
      </w:tr>
      <w:tr>
        <w:tc>
          <w:tcPr>
            <w:tcW w:type="dxa" w:w="800"/>
            <w:tcBorders>
              <w:top w:val="single" w:color="E0E4EA" w:sz="1"/>
              <w:left w:val="single" w:color="E0E4EA" w:sz="1"/>
              <w:bottom w:val="single" w:color="E0E4EA" w:sz="1"/>
              <w:right w:val="single" w:color="E0E4EA" w:sz="1"/>
            </w:tcBorders>
            <w:shd w:fill="0D2B4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5</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Tableau de bord Santé du Parc : heatmap des équipements par score de santé (vert &gt; 70%, orange 40-70%, rouge &lt; 40%). Filtres par site, famille, criticité.</w:t>
            </w:r>
          </w:p>
        </w:tc>
      </w:tr>
    </w:tbl>
    <w:p>
      <w:pPr>
        <w:spacing w:before="200" w:after="0"/>
      </w:pPr>
      <w:r>
        <w:rPr>
          <w:rFonts w:ascii="Arial" w:cs="Arial" w:eastAsia="Arial" w:hAnsi="Arial"/>
          <w:b w:val="false"/>
          <w:bCs w:val="false"/>
          <w:i w:val="false"/>
          <w:iCs w:val="false"/>
          <w:color w:val="1C2533"/>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A6BAE" w:sz="30"/>
              <w:bottom w:val="none" w:color="FFFFFF" w:sz="0"/>
              <w:right w:val="none" w:color="FFFFFF" w:sz="0"/>
            </w:tcBorders>
            <w:shd w:fill="F4F6F9" w:val="clear"/>
            <w:tcMar>
              <w:top w:type="dxa" w:w="140"/>
              <w:left w:type="dxa" w:w="200"/>
              <w:bottom w:type="dxa" w:w="140"/>
              <w:right w:type="dxa" w:w="200"/>
            </w:tcMar>
          </w:tcPr>
          <w:p>
            <w:pPr>
              <w:spacing w:before="60" w:after="60" w:line="276"/>
              <w:jc w:val="left"/>
            </w:pPr>
            <w:r>
              <w:rPr>
                <w:rFonts w:ascii="Arial" w:cs="Arial" w:eastAsia="Arial" w:hAnsi="Arial"/>
                <w:b/>
                <w:bCs/>
                <w:i w:val="false"/>
                <w:iCs w:val="false"/>
                <w:color w:val="1A6BAE"/>
                <w:sz w:val="22"/>
                <w:szCs w:val="22"/>
              </w:rPr>
              <w:t xml:space="preserve">F36  </w:t>
            </w:r>
            <w:r>
              <w:rPr>
                <w:rFonts w:ascii="Arial" w:cs="Arial" w:eastAsia="Arial" w:hAnsi="Arial"/>
                <w:b/>
                <w:bCs/>
                <w:i w:val="false"/>
                <w:iCs w:val="false"/>
                <w:color w:val="0D2B4E"/>
                <w:sz w:val="24"/>
                <w:szCs w:val="24"/>
              </w:rPr>
              <w:t xml:space="preserve">Gamification &amp; Engagement Technicien</w:t>
            </w:r>
          </w:p>
          <w:p>
            <w:pPr>
              <w:spacing w:before="60" w:after="60" w:line="276"/>
              <w:jc w:val="left"/>
            </w:pPr>
            <w:r>
              <w:rPr>
                <w:rFonts w:ascii="Arial" w:cs="Arial" w:eastAsia="Arial" w:hAnsi="Arial"/>
                <w:b/>
                <w:bCs/>
                <w:i w:val="false"/>
                <w:iCs w:val="false"/>
                <w:color w:val="8C96A3"/>
                <w:sz w:val="18"/>
                <w:szCs w:val="18"/>
              </w:rPr>
              <w:t xml:space="preserve">Catégorie : </w:t>
            </w:r>
            <w:r>
              <w:rPr>
                <w:rFonts w:ascii="Arial" w:cs="Arial" w:eastAsia="Arial" w:hAnsi="Arial"/>
                <w:b w:val="false"/>
                <w:bCs w:val="false"/>
                <w:i w:val="false"/>
                <w:iCs w:val="false"/>
                <w:color w:val="1C2533"/>
                <w:sz w:val="18"/>
                <w:szCs w:val="18"/>
              </w:rPr>
              <w:t xml:space="preserve">Adoption    </w:t>
            </w:r>
            <w:r>
              <w:rPr>
                <w:rFonts w:ascii="Arial" w:cs="Arial" w:eastAsia="Arial" w:hAnsi="Arial"/>
                <w:b/>
                <w:bCs/>
                <w:i w:val="false"/>
                <w:iCs w:val="false"/>
                <w:color w:val="8C96A3"/>
                <w:sz w:val="18"/>
                <w:szCs w:val="18"/>
              </w:rPr>
              <w:t xml:space="preserve">│  Priorité : </w:t>
            </w:r>
            <w:r>
              <w:rPr>
                <w:rFonts w:ascii="Arial" w:cs="Arial" w:eastAsia="Arial" w:hAnsi="Arial"/>
                <w:b/>
                <w:bCs/>
                <w:i w:val="false"/>
                <w:iCs w:val="false"/>
                <w:color w:val="1A6BAE"/>
                <w:sz w:val="18"/>
                <w:szCs w:val="18"/>
              </w:rPr>
              <w:t xml:space="preserve">MOYENNE    </w:t>
            </w:r>
            <w:r>
              <w:rPr>
                <w:rFonts w:ascii="Arial" w:cs="Arial" w:eastAsia="Arial" w:hAnsi="Arial"/>
                <w:b/>
                <w:bCs/>
                <w:i w:val="false"/>
                <w:iCs w:val="false"/>
                <w:color w:val="8C96A3"/>
                <w:sz w:val="18"/>
                <w:szCs w:val="18"/>
              </w:rPr>
              <w:t xml:space="preserve">│  Effort : </w:t>
            </w:r>
            <w:r>
              <w:rPr>
                <w:rFonts w:ascii="Arial" w:cs="Arial" w:eastAsia="Arial" w:hAnsi="Arial"/>
                <w:b w:val="false"/>
                <w:bCs w:val="false"/>
                <w:i w:val="false"/>
                <w:iCs w:val="false"/>
                <w:color w:val="1C2533"/>
                <w:sz w:val="18"/>
                <w:szCs w:val="18"/>
              </w:rPr>
              <w:t xml:space="preserve">Faible    </w:t>
            </w:r>
            <w:r>
              <w:rPr>
                <w:rFonts w:ascii="Arial" w:cs="Arial" w:eastAsia="Arial" w:hAnsi="Arial"/>
                <w:b/>
                <w:bCs/>
                <w:i w:val="false"/>
                <w:iCs w:val="false"/>
                <w:color w:val="8C96A3"/>
                <w:sz w:val="18"/>
                <w:szCs w:val="18"/>
              </w:rPr>
              <w:t xml:space="preserve">│  Phase : </w:t>
            </w:r>
            <w:r>
              <w:rPr>
                <w:rFonts w:ascii="Arial" w:cs="Arial" w:eastAsia="Arial" w:hAnsi="Arial"/>
                <w:b w:val="false"/>
                <w:bCs w:val="false"/>
                <w:i w:val="false"/>
                <w:iCs w:val="false"/>
                <w:color w:val="1C2533"/>
                <w:sz w:val="18"/>
                <w:szCs w:val="18"/>
              </w:rPr>
              <w:t xml:space="preserve">Phase 2    </w:t>
            </w:r>
            <w:r>
              <w:rPr>
                <w:rFonts w:ascii="Arial" w:cs="Arial" w:eastAsia="Arial" w:hAnsi="Arial"/>
                <w:b/>
                <w:bCs/>
                <w:i w:val="false"/>
                <w:iCs w:val="false"/>
                <w:color w:val="8C96A3"/>
                <w:sz w:val="18"/>
                <w:szCs w:val="18"/>
              </w:rPr>
              <w:t xml:space="preserve">│  Statut : </w:t>
            </w:r>
            <w:r>
              <w:rPr>
                <w:rFonts w:ascii="Arial" w:cs="Arial" w:eastAsia="Arial" w:hAnsi="Arial"/>
                <w:b/>
                <w:bCs/>
                <w:i w:val="false"/>
                <w:iCs w:val="false"/>
                <w:color w:val="5E1A8A"/>
                <w:sz w:val="18"/>
                <w:szCs w:val="18"/>
              </w:rPr>
              <w:t xml:space="preserve">NOUVEAU</w:t>
            </w:r>
          </w:p>
        </w:tc>
      </w:tr>
    </w:tbl>
    <w:p>
      <w:pPr>
        <w:spacing w:before="80" w:after="0"/>
      </w:pPr>
      <w:r>
        <w:rPr>
          <w:rFonts w:ascii="Arial" w:cs="Arial" w:eastAsia="Arial" w:hAnsi="Arial"/>
          <w:b w:val="false"/>
          <w:bCs w:val="false"/>
          <w:i w:val="false"/>
          <w:iCs w:val="false"/>
          <w:color w:val="1C2533"/>
          <w:sz w:val="20"/>
          <w:szCs w:val="20"/>
        </w:rPr>
        <w:t xml:space="preserve"/>
      </w:r>
    </w:p>
    <w:p>
      <w:pPr>
        <w:pStyle w:val="Heading3"/>
        <w:spacing w:before="220" w:after="100"/>
      </w:pPr>
      <w:r>
        <w:rPr>
          <w:rFonts w:ascii="Arial" w:cs="Arial" w:eastAsia="Arial" w:hAnsi="Arial"/>
          <w:b/>
          <w:bCs/>
          <w:i w:val="false"/>
          <w:iCs w:val="false"/>
          <w:color w:val="D4600A"/>
          <w:sz w:val="23"/>
          <w:szCs w:val="23"/>
        </w:rPr>
        <w:t xml:space="preserve">Transformer une contrainte en engagement</w:t>
      </w:r>
    </w:p>
    <w:p>
      <w:pPr>
        <w:spacing w:before="60" w:after="60" w:line="276"/>
        <w:jc w:val="left"/>
      </w:pPr>
      <w:r>
        <w:rPr>
          <w:rFonts w:ascii="Arial" w:cs="Arial" w:eastAsia="Arial" w:hAnsi="Arial"/>
          <w:b w:val="false"/>
          <w:bCs w:val="false"/>
          <w:i w:val="false"/>
          <w:iCs w:val="false"/>
          <w:color w:val="1C2533"/>
          <w:sz w:val="20"/>
          <w:szCs w:val="20"/>
        </w:rPr>
        <w:t xml:space="preserve">La vérité que peu d'éditeurs GMAO osent dire : les techniciens n'aiment pas saisir dans la GMAO. Ils la perçoivent comme un outil de surveillance, pas d'aide. La gamification change ce rapport en rendant les bonnes pratiques de saisie valorisantes et visibles. Des GMAO comme UpKeep commencent à l'intégrer — Maintex peut aller plus loin.</w:t>
      </w:r>
    </w:p>
    <w:p>
      <w:pPr>
        <w:spacing w:before="80" w:after="0"/>
      </w:pPr>
      <w:r>
        <w:rPr>
          <w:rFonts w:ascii="Arial" w:cs="Arial" w:eastAsia="Arial" w:hAnsi="Arial"/>
          <w:b w:val="false"/>
          <w:bCs w:val="false"/>
          <w:i w:val="false"/>
          <w:iCs w:val="false"/>
          <w:color w:val="1C2533"/>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4EA" w:sz="1"/>
              <w:left w:val="single" w:color="E0E4EA" w:sz="1"/>
              <w:bottom w:val="single" w:color="E0E4EA" w:sz="1"/>
              <w:right w:val="single" w:color="E0E4EA" w:sz="1"/>
            </w:tcBorders>
            <w:shd w:fill="E3F4E9"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Système de points et badges : points gagnés pour chaque BT clôturé dans les délais, chaque procédure complétée, chaque diagnostic soumis, chaque photo ajoutée. Badges débloqués pour des jalons (50 BT, 1 an sans retard, meilleur technicien du mois)</w:t>
            </w:r>
          </w:p>
        </w:tc>
      </w:tr>
      <w:tr>
        <w:tc>
          <w:tcPr>
            <w:tcW w:type="dxa" w:w="9026"/>
            <w:tcBorders>
              <w:top w:val="single" w:color="E0E4EA" w:sz="1"/>
              <w:left w:val="single" w:color="E0E4EA" w:sz="1"/>
              <w:bottom w:val="single" w:color="E0E4EA" w:sz="1"/>
              <w:right w:val="single" w:color="E0E4EA" w:sz="1"/>
            </w:tcBorders>
            <w:shd w:fill="FFFFFF"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Classement mensuel par équipe : leaderboard visible par les techniciens et les responsables. Favorise l'émulation positive sans pression négative</w:t>
            </w:r>
          </w:p>
        </w:tc>
      </w:tr>
      <w:tr>
        <w:tc>
          <w:tcPr>
            <w:tcW w:type="dxa" w:w="9026"/>
            <w:tcBorders>
              <w:top w:val="single" w:color="E0E4EA" w:sz="1"/>
              <w:left w:val="single" w:color="E0E4EA" w:sz="1"/>
              <w:bottom w:val="single" w:color="E0E4EA" w:sz="1"/>
              <w:right w:val="single" w:color="E0E4EA" w:sz="1"/>
            </w:tcBorders>
            <w:shd w:fill="E3F4E9"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Défis mensuels : objectifs collectifs (ex: « Ce mois-ci, l'équipe doit clôturer 95% des BT dans les délais ») avec récompense symbolique (affichage sur le tableau de bord)</w:t>
            </w:r>
          </w:p>
        </w:tc>
      </w:tr>
      <w:tr>
        <w:tc>
          <w:tcPr>
            <w:tcW w:type="dxa" w:w="9026"/>
            <w:tcBorders>
              <w:top w:val="single" w:color="E0E4EA" w:sz="1"/>
              <w:left w:val="single" w:color="E0E4EA" w:sz="1"/>
              <w:bottom w:val="single" w:color="E0E4EA" w:sz="1"/>
              <w:right w:val="single" w:color="E0E4EA" w:sz="1"/>
            </w:tcBorders>
            <w:shd w:fill="FFFFFF"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Feedback immédiat : animation visuelle à la clôture d'un BT complexe (« Excellent travail ! Vous avez réduit le MTTR de 20% sur cet équipement »)</w:t>
            </w:r>
          </w:p>
        </w:tc>
      </w:tr>
      <w:tr>
        <w:tc>
          <w:tcPr>
            <w:tcW w:type="dxa" w:w="9026"/>
            <w:tcBorders>
              <w:top w:val="single" w:color="E0E4EA" w:sz="1"/>
              <w:left w:val="single" w:color="E0E4EA" w:sz="1"/>
              <w:bottom w:val="single" w:color="E0E4EA" w:sz="1"/>
              <w:right w:val="single" w:color="E0E4EA" w:sz="1"/>
            </w:tcBorders>
            <w:shd w:fill="E3F4E9"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Carte de compétences visible par le technicien lui-même : montre sa progression dans chaque famille d'équipement, encourage l'autoformation</w:t>
            </w:r>
          </w:p>
        </w:tc>
      </w:tr>
      <w:tr>
        <w:tc>
          <w:tcPr>
            <w:tcW w:type="dxa" w:w="9026"/>
            <w:tcBorders>
              <w:top w:val="single" w:color="E0E4EA" w:sz="1"/>
              <w:left w:val="single" w:color="E0E4EA" w:sz="1"/>
              <w:bottom w:val="single" w:color="E0E4EA" w:sz="1"/>
              <w:right w:val="single" w:color="E0E4EA" w:sz="1"/>
            </w:tcBorders>
            <w:shd w:fill="FFFFFF"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Rapport d'engagement pour les managers : taux de complétion des profils, techniciens les plus actifs, évolution de l'adhésion mobile sur 3 mois</w:t>
            </w:r>
          </w:p>
        </w:tc>
      </w:tr>
    </w:tbl>
    <w:p>
      <w:pPr>
        <w:spacing w:before="120" w:after="0"/>
      </w:pPr>
      <w:r>
        <w:rPr>
          <w:rFonts w:ascii="Arial" w:cs="Arial" w:eastAsia="Arial" w:hAnsi="Arial"/>
          <w:b w:val="false"/>
          <w:bCs w:val="false"/>
          <w:i w:val="false"/>
          <w:iCs w:val="false"/>
          <w:color w:val="1C2533"/>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E0E4EA" w:sz="1"/>
              <w:left w:val="single" w:color="E0E4EA" w:sz="1"/>
              <w:bottom w:val="single" w:color="E0E4EA" w:sz="1"/>
              <w:right w:val="single" w:color="E0E4EA" w:sz="1"/>
            </w:tcBorders>
            <w:shd w:fill="0D2B4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1</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Tables : BADGE (code, nom, description, condition_JSON, image_url), TECHNICIEN_BADGE (technicien_id, badge_id, obtenu_le), POINTS_TRANSACTION (technicien_id, points, action, référence_id, date).</w:t>
            </w:r>
          </w:p>
        </w:tc>
      </w:tr>
      <w:tr>
        <w:tc>
          <w:tcPr>
            <w:tcW w:type="dxa" w:w="800"/>
            <w:tcBorders>
              <w:top w:val="single" w:color="E0E4EA" w:sz="1"/>
              <w:left w:val="single" w:color="E0E4EA" w:sz="1"/>
              <w:bottom w:val="single" w:color="E0E4EA" w:sz="1"/>
              <w:right w:val="single" w:color="E0E4EA" w:sz="1"/>
            </w:tcBorders>
            <w:shd w:fill="1A6BA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2</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Moteur de règles de gamification : bibliothèque de déclencheurs configurables par l'administrateur (BT clôturé avant deadline → 10 pts, procédure complète avec photos → 15 pts, premier BT du mois → bonus 20 pts).</w:t>
            </w:r>
          </w:p>
        </w:tc>
      </w:tr>
      <w:tr>
        <w:tc>
          <w:tcPr>
            <w:tcW w:type="dxa" w:w="800"/>
            <w:tcBorders>
              <w:top w:val="single" w:color="E0E4EA" w:sz="1"/>
              <w:left w:val="single" w:color="E0E4EA" w:sz="1"/>
              <w:bottom w:val="single" w:color="E0E4EA" w:sz="1"/>
              <w:right w:val="single" w:color="E0E4EA" w:sz="1"/>
            </w:tcBorders>
            <w:shd w:fill="0D2B4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3</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Widget « Mes stats » dans l'application mobile : score du mois, badges récents, position dans le classement équipe. Accessible en 1 tap depuis le menu principal.</w:t>
            </w:r>
          </w:p>
        </w:tc>
      </w:tr>
      <w:tr>
        <w:tc>
          <w:tcPr>
            <w:tcW w:type="dxa" w:w="800"/>
            <w:tcBorders>
              <w:top w:val="single" w:color="E0E4EA" w:sz="1"/>
              <w:left w:val="single" w:color="E0E4EA" w:sz="1"/>
              <w:bottom w:val="single" w:color="E0E4EA" w:sz="1"/>
              <w:right w:val="single" w:color="E0E4EA" w:sz="1"/>
            </w:tcBorders>
            <w:shd w:fill="1A6BA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4</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Notifications de récompense : push notification à l'obtention d'un badge. Pas de notification pour les événements négatifs (éviter la gamification punitive).</w:t>
            </w:r>
          </w:p>
        </w:tc>
      </w:tr>
    </w:tbl>
    <w:p>
      <w:pPr>
        <w:spacing w:before="200" w:after="0"/>
      </w:pPr>
      <w:r>
        <w:rPr>
          <w:rFonts w:ascii="Arial" w:cs="Arial" w:eastAsia="Arial" w:hAnsi="Arial"/>
          <w:b w:val="false"/>
          <w:bCs w:val="false"/>
          <w:i w:val="false"/>
          <w:iCs w:val="false"/>
          <w:color w:val="1C2533"/>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D4600A" w:sz="30"/>
              <w:bottom w:val="none" w:color="FFFFFF" w:sz="0"/>
              <w:right w:val="none" w:color="FFFFFF" w:sz="0"/>
            </w:tcBorders>
            <w:shd w:fill="F4F6F9" w:val="clear"/>
            <w:tcMar>
              <w:top w:type="dxa" w:w="140"/>
              <w:left w:type="dxa" w:w="200"/>
              <w:bottom w:type="dxa" w:w="140"/>
              <w:right w:type="dxa" w:w="200"/>
            </w:tcMar>
          </w:tcPr>
          <w:p>
            <w:pPr>
              <w:spacing w:before="60" w:after="60" w:line="276"/>
              <w:jc w:val="left"/>
            </w:pPr>
            <w:r>
              <w:rPr>
                <w:rFonts w:ascii="Arial" w:cs="Arial" w:eastAsia="Arial" w:hAnsi="Arial"/>
                <w:b/>
                <w:bCs/>
                <w:i w:val="false"/>
                <w:iCs w:val="false"/>
                <w:color w:val="D4600A"/>
                <w:sz w:val="22"/>
                <w:szCs w:val="22"/>
              </w:rPr>
              <w:t xml:space="preserve">F37  </w:t>
            </w:r>
            <w:r>
              <w:rPr>
                <w:rFonts w:ascii="Arial" w:cs="Arial" w:eastAsia="Arial" w:hAnsi="Arial"/>
                <w:b/>
                <w:bCs/>
                <w:i w:val="false"/>
                <w:iCs w:val="false"/>
                <w:color w:val="0D2B4E"/>
                <w:sz w:val="24"/>
                <w:szCs w:val="24"/>
              </w:rPr>
              <w:t xml:space="preserve">Portail Client Multi-Tenant &amp; Application Commanditaire</w:t>
            </w:r>
          </w:p>
          <w:p>
            <w:pPr>
              <w:spacing w:before="60" w:after="60" w:line="276"/>
              <w:jc w:val="left"/>
            </w:pPr>
            <w:r>
              <w:rPr>
                <w:rFonts w:ascii="Arial" w:cs="Arial" w:eastAsia="Arial" w:hAnsi="Arial"/>
                <w:b/>
                <w:bCs/>
                <w:i w:val="false"/>
                <w:iCs w:val="false"/>
                <w:color w:val="8C96A3"/>
                <w:sz w:val="18"/>
                <w:szCs w:val="18"/>
              </w:rPr>
              <w:t xml:space="preserve">Catégorie : </w:t>
            </w:r>
            <w:r>
              <w:rPr>
                <w:rFonts w:ascii="Arial" w:cs="Arial" w:eastAsia="Arial" w:hAnsi="Arial"/>
                <w:b w:val="false"/>
                <w:bCs w:val="false"/>
                <w:i w:val="false"/>
                <w:iCs w:val="false"/>
                <w:color w:val="1C2533"/>
                <w:sz w:val="18"/>
                <w:szCs w:val="18"/>
              </w:rPr>
              <w:t xml:space="preserve">Écosystème    </w:t>
            </w:r>
            <w:r>
              <w:rPr>
                <w:rFonts w:ascii="Arial" w:cs="Arial" w:eastAsia="Arial" w:hAnsi="Arial"/>
                <w:b/>
                <w:bCs/>
                <w:i w:val="false"/>
                <w:iCs w:val="false"/>
                <w:color w:val="8C96A3"/>
                <w:sz w:val="18"/>
                <w:szCs w:val="18"/>
              </w:rPr>
              <w:t xml:space="preserve">│  Priorité : </w:t>
            </w:r>
            <w:r>
              <w:rPr>
                <w:rFonts w:ascii="Arial" w:cs="Arial" w:eastAsia="Arial" w:hAnsi="Arial"/>
                <w:b/>
                <w:bCs/>
                <w:i w:val="false"/>
                <w:iCs w:val="false"/>
                <w:color w:val="D4600A"/>
                <w:sz w:val="18"/>
                <w:szCs w:val="18"/>
              </w:rPr>
              <w:t xml:space="preserve">HAUTE    </w:t>
            </w:r>
            <w:r>
              <w:rPr>
                <w:rFonts w:ascii="Arial" w:cs="Arial" w:eastAsia="Arial" w:hAnsi="Arial"/>
                <w:b/>
                <w:bCs/>
                <w:i w:val="false"/>
                <w:iCs w:val="false"/>
                <w:color w:val="8C96A3"/>
                <w:sz w:val="18"/>
                <w:szCs w:val="18"/>
              </w:rPr>
              <w:t xml:space="preserve">│  Effort : </w:t>
            </w:r>
            <w:r>
              <w:rPr>
                <w:rFonts w:ascii="Arial" w:cs="Arial" w:eastAsia="Arial" w:hAnsi="Arial"/>
                <w:b w:val="false"/>
                <w:bCs w:val="false"/>
                <w:i w:val="false"/>
                <w:iCs w:val="false"/>
                <w:color w:val="1C2533"/>
                <w:sz w:val="18"/>
                <w:szCs w:val="18"/>
              </w:rPr>
              <w:t xml:space="preserve">Moyen    </w:t>
            </w:r>
            <w:r>
              <w:rPr>
                <w:rFonts w:ascii="Arial" w:cs="Arial" w:eastAsia="Arial" w:hAnsi="Arial"/>
                <w:b/>
                <w:bCs/>
                <w:i w:val="false"/>
                <w:iCs w:val="false"/>
                <w:color w:val="8C96A3"/>
                <w:sz w:val="18"/>
                <w:szCs w:val="18"/>
              </w:rPr>
              <w:t xml:space="preserve">│  Phase : </w:t>
            </w:r>
            <w:r>
              <w:rPr>
                <w:rFonts w:ascii="Arial" w:cs="Arial" w:eastAsia="Arial" w:hAnsi="Arial"/>
                <w:b w:val="false"/>
                <w:bCs w:val="false"/>
                <w:i w:val="false"/>
                <w:iCs w:val="false"/>
                <w:color w:val="1C2533"/>
                <w:sz w:val="18"/>
                <w:szCs w:val="18"/>
              </w:rPr>
              <w:t xml:space="preserve">Phase 2    </w:t>
            </w:r>
            <w:r>
              <w:rPr>
                <w:rFonts w:ascii="Arial" w:cs="Arial" w:eastAsia="Arial" w:hAnsi="Arial"/>
                <w:b/>
                <w:bCs/>
                <w:i w:val="false"/>
                <w:iCs w:val="false"/>
                <w:color w:val="8C96A3"/>
                <w:sz w:val="18"/>
                <w:szCs w:val="18"/>
              </w:rPr>
              <w:t xml:space="preserve">│  Statut : </w:t>
            </w:r>
            <w:r>
              <w:rPr>
                <w:rFonts w:ascii="Arial" w:cs="Arial" w:eastAsia="Arial" w:hAnsi="Arial"/>
                <w:b/>
                <w:bCs/>
                <w:i w:val="false"/>
                <w:iCs w:val="false"/>
                <w:color w:val="5E1A8A"/>
                <w:sz w:val="18"/>
                <w:szCs w:val="18"/>
              </w:rPr>
              <w:t xml:space="preserve">NOUVEAU</w:t>
            </w:r>
          </w:p>
        </w:tc>
      </w:tr>
    </w:tbl>
    <w:p>
      <w:pPr>
        <w:spacing w:before="80" w:after="0"/>
      </w:pPr>
      <w:r>
        <w:rPr>
          <w:rFonts w:ascii="Arial" w:cs="Arial" w:eastAsia="Arial" w:hAnsi="Arial"/>
          <w:b w:val="false"/>
          <w:bCs w:val="false"/>
          <w:i w:val="false"/>
          <w:iCs w:val="false"/>
          <w:color w:val="1C2533"/>
          <w:sz w:val="20"/>
          <w:szCs w:val="20"/>
        </w:rPr>
        <w:t xml:space="preserve"/>
      </w:r>
    </w:p>
    <w:p>
      <w:pPr>
        <w:pStyle w:val="Heading3"/>
        <w:spacing w:before="220" w:after="100"/>
      </w:pPr>
      <w:r>
        <w:rPr>
          <w:rFonts w:ascii="Arial" w:cs="Arial" w:eastAsia="Arial" w:hAnsi="Arial"/>
          <w:b/>
          <w:bCs/>
          <w:i w:val="false"/>
          <w:iCs w:val="false"/>
          <w:color w:val="D4600A"/>
          <w:sz w:val="23"/>
          <w:szCs w:val="23"/>
        </w:rPr>
        <w:t xml:space="preserve">Maintex comme plateforme de service pour les prestataires de maintenance</w:t>
      </w:r>
    </w:p>
    <w:p>
      <w:pPr>
        <w:spacing w:before="60" w:after="60" w:line="276"/>
        <w:jc w:val="left"/>
      </w:pPr>
      <w:r>
        <w:rPr>
          <w:rFonts w:ascii="Arial" w:cs="Arial" w:eastAsia="Arial" w:hAnsi="Arial"/>
          <w:b w:val="false"/>
          <w:bCs w:val="false"/>
          <w:i w:val="false"/>
          <w:iCs w:val="false"/>
          <w:color w:val="1C2533"/>
          <w:sz w:val="20"/>
          <w:szCs w:val="20"/>
        </w:rPr>
        <w:t xml:space="preserve">Beaucoup de clients de Maintex sont eux-mêmes des prestataires de maintenance industrielle qui gèrent les équipements de leurs propres clients. Ils ont besoin d'un portail client permettant à leurs commanditaires de voir l'avancement des interventions, les rapports et les KPIs de performance — sans avoir accès à l'ensemble de Maintex. Ce cas d'usage transforme Maintex en outil de différenciation commerciale pour ces clients prestataires.</w:t>
      </w:r>
    </w:p>
    <w:p>
      <w:pPr>
        <w:spacing w:before="80" w:after="0"/>
      </w:pPr>
      <w:r>
        <w:rPr>
          <w:rFonts w:ascii="Arial" w:cs="Arial" w:eastAsia="Arial" w:hAnsi="Arial"/>
          <w:b w:val="false"/>
          <w:bCs w:val="false"/>
          <w:i w:val="false"/>
          <w:iCs w:val="false"/>
          <w:color w:val="1C2533"/>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4EA" w:sz="1"/>
              <w:left w:val="single" w:color="E0E4EA" w:sz="1"/>
              <w:bottom w:val="single" w:color="E0E4EA" w:sz="1"/>
              <w:right w:val="single" w:color="E0E4EA" w:sz="1"/>
            </w:tcBorders>
            <w:shd w:fill="E3F4E9"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Portail commanditaire : interface web dédiée (branding personnalisable) accessible par les clients finaux des prestataires utilisant Maintex</w:t>
            </w:r>
          </w:p>
        </w:tc>
      </w:tr>
      <w:tr>
        <w:tc>
          <w:tcPr>
            <w:tcW w:type="dxa" w:w="9026"/>
            <w:tcBorders>
              <w:top w:val="single" w:color="E0E4EA" w:sz="1"/>
              <w:left w:val="single" w:color="E0E4EA" w:sz="1"/>
              <w:bottom w:val="single" w:color="E0E4EA" w:sz="1"/>
              <w:right w:val="single" w:color="E0E4EA" w:sz="1"/>
            </w:tcBorders>
            <w:shd w:fill="FFFFFF"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Visibilité configurée : le prestataire choisit ce que son client voit (BT en cours, historique des interventions, KPIs, factures)</w:t>
            </w:r>
          </w:p>
        </w:tc>
      </w:tr>
      <w:tr>
        <w:tc>
          <w:tcPr>
            <w:tcW w:type="dxa" w:w="9026"/>
            <w:tcBorders>
              <w:top w:val="single" w:color="E0E4EA" w:sz="1"/>
              <w:left w:val="single" w:color="E0E4EA" w:sz="1"/>
              <w:bottom w:val="single" w:color="E0E4EA" w:sz="1"/>
              <w:right w:val="single" w:color="E0E4EA" w:sz="1"/>
            </w:tcBorders>
            <w:shd w:fill="E3F4E9"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Rapports d'activité automatisés : rapport mensuel en PDF envoyé automatiquement au commanditaire avec les KPIs et les interventions réalisées</w:t>
            </w:r>
          </w:p>
        </w:tc>
      </w:tr>
      <w:tr>
        <w:tc>
          <w:tcPr>
            <w:tcW w:type="dxa" w:w="9026"/>
            <w:tcBorders>
              <w:top w:val="single" w:color="E0E4EA" w:sz="1"/>
              <w:left w:val="single" w:color="E0E4EA" w:sz="1"/>
              <w:bottom w:val="single" w:color="E0E4EA" w:sz="1"/>
              <w:right w:val="single" w:color="E0E4EA" w:sz="1"/>
            </w:tcBorders>
            <w:shd w:fill="FFFFFF"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Communication intégrée : messagerie directe entre le commanditaire et le responsable technique du prestataire, dans le contexte d'un BT ou d'un équipement spécifique</w:t>
            </w:r>
          </w:p>
        </w:tc>
      </w:tr>
      <w:tr>
        <w:tc>
          <w:tcPr>
            <w:tcW w:type="dxa" w:w="9026"/>
            <w:tcBorders>
              <w:top w:val="single" w:color="E0E4EA" w:sz="1"/>
              <w:left w:val="single" w:color="E0E4EA" w:sz="1"/>
              <w:bottom w:val="single" w:color="E0E4EA" w:sz="1"/>
              <w:right w:val="single" w:color="E0E4EA" w:sz="1"/>
            </w:tcBorders>
            <w:shd w:fill="E3F4E9"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Validation client des interventions : le commanditaire peut approuver ou commenter un rapport d'intervention avant facturation</w:t>
            </w:r>
          </w:p>
        </w:tc>
      </w:tr>
      <w:tr>
        <w:tc>
          <w:tcPr>
            <w:tcW w:type="dxa" w:w="9026"/>
            <w:tcBorders>
              <w:top w:val="single" w:color="E0E4EA" w:sz="1"/>
              <w:left w:val="single" w:color="E0E4EA" w:sz="1"/>
              <w:bottom w:val="single" w:color="E0E4EA" w:sz="1"/>
              <w:right w:val="single" w:color="E0E4EA" w:sz="1"/>
            </w:tcBorders>
            <w:shd w:fill="FFFFFF"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Tableau de bord commanditaire : vue synthétique de l'état de son parc d'équipements géré par le prestataire</w:t>
            </w:r>
          </w:p>
        </w:tc>
      </w:tr>
    </w:tbl>
    <w:p>
      <w:pPr>
        <w:spacing w:before="120" w:after="0"/>
      </w:pPr>
      <w:r>
        <w:rPr>
          <w:rFonts w:ascii="Arial" w:cs="Arial" w:eastAsia="Arial" w:hAnsi="Arial"/>
          <w:b w:val="false"/>
          <w:bCs w:val="false"/>
          <w:i w:val="false"/>
          <w:iCs w:val="false"/>
          <w:color w:val="1C2533"/>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E0E4EA" w:sz="1"/>
              <w:left w:val="single" w:color="E0E4EA" w:sz="1"/>
              <w:bottom w:val="single" w:color="E0E4EA" w:sz="1"/>
              <w:right w:val="single" w:color="E0E4EA" w:sz="1"/>
            </w:tcBorders>
            <w:shd w:fill="0D2B4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1</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Architecture multi-tenant : chaque portail commanditaire est un tenant isolé avec son propre domaine (client.maintex.io ou branding blanc), sa palette de couleurs et son logo.</w:t>
            </w:r>
          </w:p>
        </w:tc>
      </w:tr>
      <w:tr>
        <w:tc>
          <w:tcPr>
            <w:tcW w:type="dxa" w:w="800"/>
            <w:tcBorders>
              <w:top w:val="single" w:color="E0E4EA" w:sz="1"/>
              <w:left w:val="single" w:color="E0E4EA" w:sz="1"/>
              <w:bottom w:val="single" w:color="E0E4EA" w:sz="1"/>
              <w:right w:val="single" w:color="E0E4EA" w:sz="1"/>
            </w:tcBorders>
            <w:shd w:fill="1A6BA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2</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Modèle de données : table COMMANDITAIRE (prestataire_id, nom, domaine, logo_url, couleurs_JSON, contacts_JSON), COMMANDITAIRE_VISIBILITE (commanditaire_id, module, visible BOOL).</w:t>
            </w:r>
          </w:p>
        </w:tc>
      </w:tr>
      <w:tr>
        <w:tc>
          <w:tcPr>
            <w:tcW w:type="dxa" w:w="800"/>
            <w:tcBorders>
              <w:top w:val="single" w:color="E0E4EA" w:sz="1"/>
              <w:left w:val="single" w:color="E0E4EA" w:sz="1"/>
              <w:bottom w:val="single" w:color="E0E4EA" w:sz="1"/>
              <w:right w:val="single" w:color="E0E4EA" w:sz="1"/>
            </w:tcBorders>
            <w:shd w:fill="0D2B4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3</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SSO commanditaire : le commanditaire s'authentifie avec son email professionnel, sans créer de compte Maintex. Magic link ou OAuth Google/Microsoft.</w:t>
            </w:r>
          </w:p>
        </w:tc>
      </w:tr>
      <w:tr>
        <w:tc>
          <w:tcPr>
            <w:tcW w:type="dxa" w:w="800"/>
            <w:tcBorders>
              <w:top w:val="single" w:color="E0E4EA" w:sz="1"/>
              <w:left w:val="single" w:color="E0E4EA" w:sz="1"/>
              <w:bottom w:val="single" w:color="E0E4EA" w:sz="1"/>
              <w:right w:val="single" w:color="E0E4EA" w:sz="1"/>
            </w:tcBorders>
            <w:shd w:fill="1A6BA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4</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Workflow de validation : à la clôture d'un BT visible par le commanditaire, notification automatique. Le commanditaire peut signer numériquement le PV de réception directement dans son portail.</w:t>
            </w:r>
          </w:p>
        </w:tc>
      </w:tr>
    </w:tbl>
    <w:p>
      <w:pPr>
        <w:spacing w:before="200" w:after="0"/>
      </w:pPr>
      <w:r>
        <w:rPr>
          <w:rFonts w:ascii="Arial" w:cs="Arial" w:eastAsia="Arial" w:hAnsi="Arial"/>
          <w:b w:val="false"/>
          <w:bCs w:val="false"/>
          <w:i w:val="false"/>
          <w:iCs w:val="false"/>
          <w:color w:val="1C2533"/>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D4600A" w:sz="30"/>
              <w:bottom w:val="none" w:color="FFFFFF" w:sz="0"/>
              <w:right w:val="none" w:color="FFFFFF" w:sz="0"/>
            </w:tcBorders>
            <w:shd w:fill="F4F6F9" w:val="clear"/>
            <w:tcMar>
              <w:top w:type="dxa" w:w="140"/>
              <w:left w:type="dxa" w:w="200"/>
              <w:bottom w:type="dxa" w:w="140"/>
              <w:right w:type="dxa" w:w="200"/>
            </w:tcMar>
          </w:tcPr>
          <w:p>
            <w:pPr>
              <w:spacing w:before="60" w:after="60" w:line="276"/>
              <w:jc w:val="left"/>
            </w:pPr>
            <w:r>
              <w:rPr>
                <w:rFonts w:ascii="Arial" w:cs="Arial" w:eastAsia="Arial" w:hAnsi="Arial"/>
                <w:b/>
                <w:bCs/>
                <w:i w:val="false"/>
                <w:iCs w:val="false"/>
                <w:color w:val="D4600A"/>
                <w:sz w:val="22"/>
                <w:szCs w:val="22"/>
              </w:rPr>
              <w:t xml:space="preserve">F38  </w:t>
            </w:r>
            <w:r>
              <w:rPr>
                <w:rFonts w:ascii="Arial" w:cs="Arial" w:eastAsia="Arial" w:hAnsi="Arial"/>
                <w:b/>
                <w:bCs/>
                <w:i w:val="false"/>
                <w:iCs w:val="false"/>
                <w:color w:val="0D2B4E"/>
                <w:sz w:val="24"/>
                <w:szCs w:val="24"/>
              </w:rPr>
              <w:t xml:space="preserve">Conformité Réglementaire Africaine (OHADA, UEMOA, CEMAC)</w:t>
            </w:r>
          </w:p>
          <w:p>
            <w:pPr>
              <w:spacing w:before="60" w:after="60" w:line="276"/>
              <w:jc w:val="left"/>
            </w:pPr>
            <w:r>
              <w:rPr>
                <w:rFonts w:ascii="Arial" w:cs="Arial" w:eastAsia="Arial" w:hAnsi="Arial"/>
                <w:b/>
                <w:bCs/>
                <w:i w:val="false"/>
                <w:iCs w:val="false"/>
                <w:color w:val="8C96A3"/>
                <w:sz w:val="18"/>
                <w:szCs w:val="18"/>
              </w:rPr>
              <w:t xml:space="preserve">Catégorie : </w:t>
            </w:r>
            <w:r>
              <w:rPr>
                <w:rFonts w:ascii="Arial" w:cs="Arial" w:eastAsia="Arial" w:hAnsi="Arial"/>
                <w:b w:val="false"/>
                <w:bCs w:val="false"/>
                <w:i w:val="false"/>
                <w:iCs w:val="false"/>
                <w:color w:val="1C2533"/>
                <w:sz w:val="18"/>
                <w:szCs w:val="18"/>
              </w:rPr>
              <w:t xml:space="preserve">Conformité    </w:t>
            </w:r>
            <w:r>
              <w:rPr>
                <w:rFonts w:ascii="Arial" w:cs="Arial" w:eastAsia="Arial" w:hAnsi="Arial"/>
                <w:b/>
                <w:bCs/>
                <w:i w:val="false"/>
                <w:iCs w:val="false"/>
                <w:color w:val="8C96A3"/>
                <w:sz w:val="18"/>
                <w:szCs w:val="18"/>
              </w:rPr>
              <w:t xml:space="preserve">│  Priorité : </w:t>
            </w:r>
            <w:r>
              <w:rPr>
                <w:rFonts w:ascii="Arial" w:cs="Arial" w:eastAsia="Arial" w:hAnsi="Arial"/>
                <w:b/>
                <w:bCs/>
                <w:i w:val="false"/>
                <w:iCs w:val="false"/>
                <w:color w:val="D4600A"/>
                <w:sz w:val="18"/>
                <w:szCs w:val="18"/>
              </w:rPr>
              <w:t xml:space="preserve">HAUTE    </w:t>
            </w:r>
            <w:r>
              <w:rPr>
                <w:rFonts w:ascii="Arial" w:cs="Arial" w:eastAsia="Arial" w:hAnsi="Arial"/>
                <w:b/>
                <w:bCs/>
                <w:i w:val="false"/>
                <w:iCs w:val="false"/>
                <w:color w:val="8C96A3"/>
                <w:sz w:val="18"/>
                <w:szCs w:val="18"/>
              </w:rPr>
              <w:t xml:space="preserve">│  Effort : </w:t>
            </w:r>
            <w:r>
              <w:rPr>
                <w:rFonts w:ascii="Arial" w:cs="Arial" w:eastAsia="Arial" w:hAnsi="Arial"/>
                <w:b w:val="false"/>
                <w:bCs w:val="false"/>
                <w:i w:val="false"/>
                <w:iCs w:val="false"/>
                <w:color w:val="1C2533"/>
                <w:sz w:val="18"/>
                <w:szCs w:val="18"/>
              </w:rPr>
              <w:t xml:space="preserve">Moyen    </w:t>
            </w:r>
            <w:r>
              <w:rPr>
                <w:rFonts w:ascii="Arial" w:cs="Arial" w:eastAsia="Arial" w:hAnsi="Arial"/>
                <w:b/>
                <w:bCs/>
                <w:i w:val="false"/>
                <w:iCs w:val="false"/>
                <w:color w:val="8C96A3"/>
                <w:sz w:val="18"/>
                <w:szCs w:val="18"/>
              </w:rPr>
              <w:t xml:space="preserve">│  Phase : </w:t>
            </w:r>
            <w:r>
              <w:rPr>
                <w:rFonts w:ascii="Arial" w:cs="Arial" w:eastAsia="Arial" w:hAnsi="Arial"/>
                <w:b w:val="false"/>
                <w:bCs w:val="false"/>
                <w:i w:val="false"/>
                <w:iCs w:val="false"/>
                <w:color w:val="1C2533"/>
                <w:sz w:val="18"/>
                <w:szCs w:val="18"/>
              </w:rPr>
              <w:t xml:space="preserve">Phase 2    </w:t>
            </w:r>
            <w:r>
              <w:rPr>
                <w:rFonts w:ascii="Arial" w:cs="Arial" w:eastAsia="Arial" w:hAnsi="Arial"/>
                <w:b/>
                <w:bCs/>
                <w:i w:val="false"/>
                <w:iCs w:val="false"/>
                <w:color w:val="8C96A3"/>
                <w:sz w:val="18"/>
                <w:szCs w:val="18"/>
              </w:rPr>
              <w:t xml:space="preserve">│  Statut : </w:t>
            </w:r>
            <w:r>
              <w:rPr>
                <w:rFonts w:ascii="Arial" w:cs="Arial" w:eastAsia="Arial" w:hAnsi="Arial"/>
                <w:b/>
                <w:bCs/>
                <w:i w:val="false"/>
                <w:iCs w:val="false"/>
                <w:color w:val="5E1A8A"/>
                <w:sz w:val="18"/>
                <w:szCs w:val="18"/>
              </w:rPr>
              <w:t xml:space="preserve">NOUVEAU</w:t>
            </w:r>
          </w:p>
        </w:tc>
      </w:tr>
    </w:tbl>
    <w:p>
      <w:pPr>
        <w:spacing w:before="80" w:after="0"/>
      </w:pPr>
      <w:r>
        <w:rPr>
          <w:rFonts w:ascii="Arial" w:cs="Arial" w:eastAsia="Arial" w:hAnsi="Arial"/>
          <w:b w:val="false"/>
          <w:bCs w:val="false"/>
          <w:i w:val="false"/>
          <w:iCs w:val="false"/>
          <w:color w:val="1C2533"/>
          <w:sz w:val="20"/>
          <w:szCs w:val="20"/>
        </w:rPr>
        <w:t xml:space="preserve"/>
      </w:r>
    </w:p>
    <w:p>
      <w:pPr>
        <w:pStyle w:val="Heading3"/>
        <w:spacing w:before="220" w:after="100"/>
      </w:pPr>
      <w:r>
        <w:rPr>
          <w:rFonts w:ascii="Arial" w:cs="Arial" w:eastAsia="Arial" w:hAnsi="Arial"/>
          <w:b/>
          <w:bCs/>
          <w:i w:val="false"/>
          <w:iCs w:val="false"/>
          <w:color w:val="D4600A"/>
          <w:sz w:val="23"/>
          <w:szCs w:val="23"/>
        </w:rPr>
        <w:t xml:space="preserve">L'avantage concurrentiel absolu sur le marché africain</w:t>
      </w:r>
    </w:p>
    <w:p>
      <w:pPr>
        <w:spacing w:before="60" w:after="60" w:line="276"/>
        <w:jc w:val="left"/>
      </w:pPr>
      <w:r>
        <w:rPr>
          <w:rFonts w:ascii="Arial" w:cs="Arial" w:eastAsia="Arial" w:hAnsi="Arial"/>
          <w:b w:val="false"/>
          <w:bCs w:val="false"/>
          <w:i w:val="false"/>
          <w:iCs w:val="false"/>
          <w:color w:val="1C2533"/>
          <w:sz w:val="20"/>
          <w:szCs w:val="20"/>
        </w:rPr>
        <w:t xml:space="preserve">Aucun éditeur GMAO international ne connaît ni ne supporte les spécificités réglementaires africaines. C'est l'avantage absolu de Maintex. La concrétiser en fonctionnalités produit transforme cet avantage informel en barrière à l'entrée pour la concurrence.</w:t>
      </w:r>
    </w:p>
    <w:p>
      <w:pPr>
        <w:spacing w:before="80" w:after="0"/>
      </w:pPr>
      <w:r>
        <w:rPr>
          <w:rFonts w:ascii="Arial" w:cs="Arial" w:eastAsia="Arial" w:hAnsi="Arial"/>
          <w:b w:val="false"/>
          <w:bCs w:val="false"/>
          <w:i w:val="false"/>
          <w:iCs w:val="false"/>
          <w:color w:val="1C2533"/>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4EA" w:sz="1"/>
              <w:left w:val="single" w:color="E0E4EA" w:sz="1"/>
              <w:bottom w:val="single" w:color="E0E4EA" w:sz="1"/>
              <w:right w:val="single" w:color="E0E4EA" w:sz="1"/>
            </w:tcBorders>
            <w:shd w:fill="E3F4E9"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Plan Comptable OHADA : la nomenclature des comptes de charges de maintenance est préconfigurée selon le SYSCOHADA révisé 2017. L'export comptable est directement compatible avec les logiciels des expert-comptables africains</w:t>
            </w:r>
          </w:p>
        </w:tc>
      </w:tr>
      <w:tr>
        <w:tc>
          <w:tcPr>
            <w:tcW w:type="dxa" w:w="9026"/>
            <w:tcBorders>
              <w:top w:val="single" w:color="E0E4EA" w:sz="1"/>
              <w:left w:val="single" w:color="E0E4EA" w:sz="1"/>
              <w:bottom w:val="single" w:color="E0E4EA" w:sz="1"/>
              <w:right w:val="single" w:color="E0E4EA" w:sz="1"/>
            </w:tcBorders>
            <w:shd w:fill="FFFFFF"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Gestion multi-devises avec taux de change : FCFA CFA BCEAO, FCFA CFA BEAC, GNF, XOF, XAF, MRU, CVE — avec mise à jour automatique des taux depuis une API officielle (BCEAO)</w:t>
            </w:r>
          </w:p>
        </w:tc>
      </w:tr>
      <w:tr>
        <w:tc>
          <w:tcPr>
            <w:tcW w:type="dxa" w:w="9026"/>
            <w:tcBorders>
              <w:top w:val="single" w:color="E0E4EA" w:sz="1"/>
              <w:left w:val="single" w:color="E0E4EA" w:sz="1"/>
              <w:bottom w:val="single" w:color="E0E4EA" w:sz="1"/>
              <w:right w:val="single" w:color="E0E4EA" w:sz="1"/>
            </w:tcBorders>
            <w:shd w:fill="E3F4E9"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Facturation en TTC avec TVA locale : taux de TVA configurables par pays (18% Sénégal, 19.25% Côte d'Ivoire, 18% Burkina Faso, etc.)</w:t>
            </w:r>
          </w:p>
        </w:tc>
      </w:tr>
      <w:tr>
        <w:tc>
          <w:tcPr>
            <w:tcW w:type="dxa" w:w="9026"/>
            <w:tcBorders>
              <w:top w:val="single" w:color="E0E4EA" w:sz="1"/>
              <w:left w:val="single" w:color="E0E4EA" w:sz="1"/>
              <w:bottom w:val="single" w:color="E0E4EA" w:sz="1"/>
              <w:right w:val="single" w:color="E0E4EA" w:sz="1"/>
            </w:tcBorders>
            <w:shd w:fill="FFFFFF"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Bon de Commande conforme aux marchés publics africains : format légal incluant les champs obligatoires des réglementations UEMOA (visa de la DGMP, numéro de marché, garanties)</w:t>
            </w:r>
          </w:p>
        </w:tc>
      </w:tr>
      <w:tr>
        <w:tc>
          <w:tcPr>
            <w:tcW w:type="dxa" w:w="9026"/>
            <w:tcBorders>
              <w:top w:val="single" w:color="E0E4EA" w:sz="1"/>
              <w:left w:val="single" w:color="E0E4EA" w:sz="1"/>
              <w:bottom w:val="single" w:color="E0E4EA" w:sz="1"/>
              <w:right w:val="single" w:color="E0E4EA" w:sz="1"/>
            </w:tcBorders>
            <w:shd w:fill="E3F4E9"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Codes CCFN (Codes de Classification des Fournitures et des Normes) pour les achats : référentiel des codes UEMOA pour la classification des achats publics</w:t>
            </w:r>
          </w:p>
        </w:tc>
      </w:tr>
      <w:tr>
        <w:tc>
          <w:tcPr>
            <w:tcW w:type="dxa" w:w="9026"/>
            <w:tcBorders>
              <w:top w:val="single" w:color="E0E4EA" w:sz="1"/>
              <w:left w:val="single" w:color="E0E4EA" w:sz="1"/>
              <w:bottom w:val="single" w:color="E0E4EA" w:sz="1"/>
              <w:right w:val="single" w:color="E0E4EA" w:sz="1"/>
            </w:tcBorders>
            <w:shd w:fill="FFFFFF"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Rapport de conformité SYSCOHADA : état des immobilisations, plan d'amortissement, tableau de suivi des valeurs nettes comptables selon les normes OHADA</w:t>
            </w:r>
          </w:p>
        </w:tc>
      </w:tr>
      <w:tr>
        <w:tc>
          <w:tcPr>
            <w:tcW w:type="dxa" w:w="9026"/>
            <w:tcBorders>
              <w:top w:val="single" w:color="E0E4EA" w:sz="1"/>
              <w:left w:val="single" w:color="E0E4EA" w:sz="1"/>
              <w:bottom w:val="single" w:color="E0E4EA" w:sz="1"/>
              <w:right w:val="single" w:color="E0E4EA" w:sz="1"/>
            </w:tcBorders>
            <w:shd w:fill="E3F4E9"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Localisations : prise en charge des adresses africaines (pas de code postal systématique, pays + région + ville + quartier), numéros de téléphone avec indicatifs pays</w:t>
            </w:r>
          </w:p>
        </w:tc>
      </w:tr>
    </w:tbl>
    <w:p>
      <w:pPr>
        <w:spacing w:before="120" w:after="0"/>
      </w:pPr>
      <w:r>
        <w:rPr>
          <w:rFonts w:ascii="Arial" w:cs="Arial" w:eastAsia="Arial" w:hAnsi="Arial"/>
          <w:b w:val="false"/>
          <w:bCs w:val="false"/>
          <w:i w:val="false"/>
          <w:iCs w:val="false"/>
          <w:color w:val="1C2533"/>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E0E4EA" w:sz="1"/>
              <w:left w:val="single" w:color="E0E4EA" w:sz="1"/>
              <w:bottom w:val="single" w:color="E0E4EA" w:sz="1"/>
              <w:right w:val="single" w:color="E0E4EA" w:sz="1"/>
            </w:tcBorders>
            <w:shd w:fill="0D2B4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1</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Module de configuration pays : à l'installation, sélectionner le pays principal d'opération. Chargement automatique du plan comptable OHADA/national correspondant, des taux de TVA, de la devise.</w:t>
            </w:r>
          </w:p>
        </w:tc>
      </w:tr>
      <w:tr>
        <w:tc>
          <w:tcPr>
            <w:tcW w:type="dxa" w:w="800"/>
            <w:tcBorders>
              <w:top w:val="single" w:color="E0E4EA" w:sz="1"/>
              <w:left w:val="single" w:color="E0E4EA" w:sz="1"/>
              <w:bottom w:val="single" w:color="E0E4EA" w:sz="1"/>
              <w:right w:val="single" w:color="E0E4EA" w:sz="1"/>
            </w:tcBorders>
            <w:shd w:fill="1A6BA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2</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Plan Comptable OHADA intégré : table COMPTE_COMPTA (code, libellé, type, standard ENUM[OHADA/SYSCEBNL/FRANCE]) avec les comptes 6 (charges) et 2 (immobilisations) correspondant à la maintenance.</w:t>
            </w:r>
          </w:p>
        </w:tc>
      </w:tr>
      <w:tr>
        <w:tc>
          <w:tcPr>
            <w:tcW w:type="dxa" w:w="800"/>
            <w:tcBorders>
              <w:top w:val="single" w:color="E0E4EA" w:sz="1"/>
              <w:left w:val="single" w:color="E0E4EA" w:sz="1"/>
              <w:bottom w:val="single" w:color="E0E4EA" w:sz="1"/>
              <w:right w:val="single" w:color="E0E4EA" w:sz="1"/>
            </w:tcBorders>
            <w:shd w:fill="0D2B4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3</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API taux de change : appel quotidien à l'API de la BCEAO ou d'une source tierce (ExchangeRate-API) pour mettre à jour les taux. Historique des taux pour la revalorisation des stocks.</w:t>
            </w:r>
          </w:p>
        </w:tc>
      </w:tr>
      <w:tr>
        <w:tc>
          <w:tcPr>
            <w:tcW w:type="dxa" w:w="800"/>
            <w:tcBorders>
              <w:top w:val="single" w:color="E0E4EA" w:sz="1"/>
              <w:left w:val="single" w:color="E0E4EA" w:sz="1"/>
              <w:bottom w:val="single" w:color="E0E4EA" w:sz="1"/>
              <w:right w:val="single" w:color="E0E4EA" w:sz="1"/>
            </w:tcBorders>
            <w:shd w:fill="1A6BA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4</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Générateur de BC marchés publics : template de Bon de Commande conforme au Code des Marchés Publics UEMOA avec les champs obligatoires (visa DGMP, caution de bonne exécution, pénalités de retard réglementaires).</w:t>
            </w:r>
          </w:p>
        </w:tc>
      </w:tr>
    </w:tbl>
    <w:p>
      <w:pPr>
        <w:spacing w:before="200" w:after="0"/>
      </w:pPr>
      <w:r>
        <w:rPr>
          <w:rFonts w:ascii="Arial" w:cs="Arial" w:eastAsia="Arial" w:hAnsi="Arial"/>
          <w:b w:val="false"/>
          <w:bCs w:val="false"/>
          <w:i w:val="false"/>
          <w:iCs w:val="false"/>
          <w:color w:val="1C2533"/>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71C1C" w:sz="30"/>
              <w:bottom w:val="none" w:color="FFFFFF" w:sz="0"/>
              <w:right w:val="none" w:color="FFFFFF" w:sz="0"/>
            </w:tcBorders>
            <w:shd w:fill="F4F6F9" w:val="clear"/>
            <w:tcMar>
              <w:top w:type="dxa" w:w="140"/>
              <w:left w:type="dxa" w:w="200"/>
              <w:bottom w:type="dxa" w:w="140"/>
              <w:right w:type="dxa" w:w="200"/>
            </w:tcMar>
          </w:tcPr>
          <w:p>
            <w:pPr>
              <w:spacing w:before="60" w:after="60" w:line="276"/>
              <w:jc w:val="left"/>
            </w:pPr>
            <w:r>
              <w:rPr>
                <w:rFonts w:ascii="Arial" w:cs="Arial" w:eastAsia="Arial" w:hAnsi="Arial"/>
                <w:b/>
                <w:bCs/>
                <w:i w:val="false"/>
                <w:iCs w:val="false"/>
                <w:color w:val="B71C1C"/>
                <w:sz w:val="22"/>
                <w:szCs w:val="22"/>
              </w:rPr>
              <w:t xml:space="preserve">F39  </w:t>
            </w:r>
            <w:r>
              <w:rPr>
                <w:rFonts w:ascii="Arial" w:cs="Arial" w:eastAsia="Arial" w:hAnsi="Arial"/>
                <w:b/>
                <w:bCs/>
                <w:i w:val="false"/>
                <w:iCs w:val="false"/>
                <w:color w:val="0D2B4E"/>
                <w:sz w:val="24"/>
                <w:szCs w:val="24"/>
              </w:rPr>
              <w:t xml:space="preserve">Maintenance Conditionnelle &amp; Basée sur la Condition (CBM)</w:t>
            </w:r>
          </w:p>
          <w:p>
            <w:pPr>
              <w:spacing w:before="60" w:after="60" w:line="276"/>
              <w:jc w:val="left"/>
            </w:pPr>
            <w:r>
              <w:rPr>
                <w:rFonts w:ascii="Arial" w:cs="Arial" w:eastAsia="Arial" w:hAnsi="Arial"/>
                <w:b/>
                <w:bCs/>
                <w:i w:val="false"/>
                <w:iCs w:val="false"/>
                <w:color w:val="8C96A3"/>
                <w:sz w:val="18"/>
                <w:szCs w:val="18"/>
              </w:rPr>
              <w:t xml:space="preserve">Catégorie : </w:t>
            </w:r>
            <w:r>
              <w:rPr>
                <w:rFonts w:ascii="Arial" w:cs="Arial" w:eastAsia="Arial" w:hAnsi="Arial"/>
                <w:b w:val="false"/>
                <w:bCs w:val="false"/>
                <w:i w:val="false"/>
                <w:iCs w:val="false"/>
                <w:color w:val="1C2533"/>
                <w:sz w:val="18"/>
                <w:szCs w:val="18"/>
              </w:rPr>
              <w:t xml:space="preserve">Planification    </w:t>
            </w:r>
            <w:r>
              <w:rPr>
                <w:rFonts w:ascii="Arial" w:cs="Arial" w:eastAsia="Arial" w:hAnsi="Arial"/>
                <w:b/>
                <w:bCs/>
                <w:i w:val="false"/>
                <w:iCs w:val="false"/>
                <w:color w:val="8C96A3"/>
                <w:sz w:val="18"/>
                <w:szCs w:val="18"/>
              </w:rPr>
              <w:t xml:space="preserve">│  Priorité : </w:t>
            </w:r>
            <w:r>
              <w:rPr>
                <w:rFonts w:ascii="Arial" w:cs="Arial" w:eastAsia="Arial" w:hAnsi="Arial"/>
                <w:b/>
                <w:bCs/>
                <w:i w:val="false"/>
                <w:iCs w:val="false"/>
                <w:color w:val="B71C1C"/>
                <w:sz w:val="18"/>
                <w:szCs w:val="18"/>
              </w:rPr>
              <w:t xml:space="preserve">STRATÉGIQUE    </w:t>
            </w:r>
            <w:r>
              <w:rPr>
                <w:rFonts w:ascii="Arial" w:cs="Arial" w:eastAsia="Arial" w:hAnsi="Arial"/>
                <w:b/>
                <w:bCs/>
                <w:i w:val="false"/>
                <w:iCs w:val="false"/>
                <w:color w:val="8C96A3"/>
                <w:sz w:val="18"/>
                <w:szCs w:val="18"/>
              </w:rPr>
              <w:t xml:space="preserve">│  Effort : </w:t>
            </w:r>
            <w:r>
              <w:rPr>
                <w:rFonts w:ascii="Arial" w:cs="Arial" w:eastAsia="Arial" w:hAnsi="Arial"/>
                <w:b w:val="false"/>
                <w:bCs w:val="false"/>
                <w:i w:val="false"/>
                <w:iCs w:val="false"/>
                <w:color w:val="1C2533"/>
                <w:sz w:val="18"/>
                <w:szCs w:val="18"/>
              </w:rPr>
              <w:t xml:space="preserve">Très élevé    </w:t>
            </w:r>
            <w:r>
              <w:rPr>
                <w:rFonts w:ascii="Arial" w:cs="Arial" w:eastAsia="Arial" w:hAnsi="Arial"/>
                <w:b/>
                <w:bCs/>
                <w:i w:val="false"/>
                <w:iCs w:val="false"/>
                <w:color w:val="8C96A3"/>
                <w:sz w:val="18"/>
                <w:szCs w:val="18"/>
              </w:rPr>
              <w:t xml:space="preserve">│  Phase : </w:t>
            </w:r>
            <w:r>
              <w:rPr>
                <w:rFonts w:ascii="Arial" w:cs="Arial" w:eastAsia="Arial" w:hAnsi="Arial"/>
                <w:b w:val="false"/>
                <w:bCs w:val="false"/>
                <w:i w:val="false"/>
                <w:iCs w:val="false"/>
                <w:color w:val="1C2533"/>
                <w:sz w:val="18"/>
                <w:szCs w:val="18"/>
              </w:rPr>
              <w:t xml:space="preserve">Phase 3    </w:t>
            </w:r>
            <w:r>
              <w:rPr>
                <w:rFonts w:ascii="Arial" w:cs="Arial" w:eastAsia="Arial" w:hAnsi="Arial"/>
                <w:b/>
                <w:bCs/>
                <w:i w:val="false"/>
                <w:iCs w:val="false"/>
                <w:color w:val="8C96A3"/>
                <w:sz w:val="18"/>
                <w:szCs w:val="18"/>
              </w:rPr>
              <w:t xml:space="preserve">│  Statut : </w:t>
            </w:r>
            <w:r>
              <w:rPr>
                <w:rFonts w:ascii="Arial" w:cs="Arial" w:eastAsia="Arial" w:hAnsi="Arial"/>
                <w:b/>
                <w:bCs/>
                <w:i w:val="false"/>
                <w:iCs w:val="false"/>
                <w:color w:val="5E1A8A"/>
                <w:sz w:val="18"/>
                <w:szCs w:val="18"/>
              </w:rPr>
              <w:t xml:space="preserve">NOUVEAU</w:t>
            </w:r>
          </w:p>
        </w:tc>
      </w:tr>
    </w:tbl>
    <w:p>
      <w:pPr>
        <w:spacing w:before="80" w:after="0"/>
      </w:pPr>
      <w:r>
        <w:rPr>
          <w:rFonts w:ascii="Arial" w:cs="Arial" w:eastAsia="Arial" w:hAnsi="Arial"/>
          <w:b w:val="false"/>
          <w:bCs w:val="false"/>
          <w:i w:val="false"/>
          <w:iCs w:val="false"/>
          <w:color w:val="1C2533"/>
          <w:sz w:val="20"/>
          <w:szCs w:val="20"/>
        </w:rPr>
        <w:t xml:space="preserve"/>
      </w:r>
    </w:p>
    <w:p>
      <w:pPr>
        <w:pStyle w:val="Heading3"/>
        <w:spacing w:before="220" w:after="100"/>
      </w:pPr>
      <w:r>
        <w:rPr>
          <w:rFonts w:ascii="Arial" w:cs="Arial" w:eastAsia="Arial" w:hAnsi="Arial"/>
          <w:b/>
          <w:bCs/>
          <w:i w:val="false"/>
          <w:iCs w:val="false"/>
          <w:color w:val="D4600A"/>
          <w:sz w:val="23"/>
          <w:szCs w:val="23"/>
        </w:rPr>
        <w:t xml:space="preserve">Le saut qualitatif de la maintenance réactive vers la maintenance optimale</w:t>
      </w:r>
    </w:p>
    <w:p>
      <w:pPr>
        <w:spacing w:before="60" w:after="60" w:line="276"/>
        <w:jc w:val="left"/>
      </w:pPr>
      <w:r>
        <w:rPr>
          <w:rFonts w:ascii="Arial" w:cs="Arial" w:eastAsia="Arial" w:hAnsi="Arial"/>
          <w:b w:val="false"/>
          <w:bCs w:val="false"/>
          <w:i w:val="false"/>
          <w:iCs w:val="false"/>
          <w:color w:val="1C2533"/>
          <w:sz w:val="20"/>
          <w:szCs w:val="20"/>
        </w:rPr>
        <w:t xml:space="preserve">La maintenance préventive systématique (changer l'huile toutes les 500h) est souvent gaspilleuse : on remplace des pièces encore en bon état. La maintenance conditionnelle (CBM — Condition-Based Maintenance) déclenche les interventions uniquement quand les mesures montrent que l'intervention est réellement nécessaire. C'est la combinaison de F11 (IoT) + F05 (IA) + F39 (CBM) qui crée la maintenance prédictive de bout en bout.</w:t>
      </w:r>
    </w:p>
    <w:p>
      <w:pPr>
        <w:spacing w:before="80" w:after="0"/>
      </w:pPr>
      <w:r>
        <w:rPr>
          <w:rFonts w:ascii="Arial" w:cs="Arial" w:eastAsia="Arial" w:hAnsi="Arial"/>
          <w:b w:val="false"/>
          <w:bCs w:val="false"/>
          <w:i w:val="false"/>
          <w:iCs w:val="false"/>
          <w:color w:val="1C2533"/>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4EA" w:sz="1"/>
              <w:left w:val="single" w:color="E0E4EA" w:sz="1"/>
              <w:bottom w:val="single" w:color="E0E4EA" w:sz="1"/>
              <w:right w:val="single" w:color="E0E4EA" w:sz="1"/>
            </w:tcBorders>
            <w:shd w:fill="E3F4E9"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Déclencheurs de maintenance basés sur les mesures réelles : « Déclencher une vidange quand le compteur d'heures atteint 500h OU quand l'analyse d'huile détecte une contamination OU quand la température dépasse 80°C pendant plus de 2h »</w:t>
            </w:r>
          </w:p>
        </w:tc>
      </w:tr>
      <w:tr>
        <w:tc>
          <w:tcPr>
            <w:tcW w:type="dxa" w:w="9026"/>
            <w:tcBorders>
              <w:top w:val="single" w:color="E0E4EA" w:sz="1"/>
              <w:left w:val="single" w:color="E0E4EA" w:sz="1"/>
              <w:bottom w:val="single" w:color="E0E4EA" w:sz="1"/>
              <w:right w:val="single" w:color="E0E4EA" w:sz="1"/>
            </w:tcBorders>
            <w:shd w:fill="FFFFFF"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Règles multi-conditions configurables : combinaison de seuils IoT, compteurs, résultats de mesures de procédures (F03), alertes IA (F05)</w:t>
            </w:r>
          </w:p>
        </w:tc>
      </w:tr>
      <w:tr>
        <w:tc>
          <w:tcPr>
            <w:tcW w:type="dxa" w:w="9026"/>
            <w:tcBorders>
              <w:top w:val="single" w:color="E0E4EA" w:sz="1"/>
              <w:left w:val="single" w:color="E0E4EA" w:sz="1"/>
              <w:bottom w:val="single" w:color="E0E4EA" w:sz="1"/>
              <w:right w:val="single" w:color="E0E4EA" w:sz="1"/>
            </w:tcBorders>
            <w:shd w:fill="E3F4E9"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Comparaison coût CBM vs préventif systématique : calcul automatique de l'économie réalisée en évitant les remplacements prématurés</w:t>
            </w:r>
          </w:p>
        </w:tc>
      </w:tr>
      <w:tr>
        <w:tc>
          <w:tcPr>
            <w:tcW w:type="dxa" w:w="9026"/>
            <w:tcBorders>
              <w:top w:val="single" w:color="E0E4EA" w:sz="1"/>
              <w:left w:val="single" w:color="E0E4EA" w:sz="1"/>
              <w:bottom w:val="single" w:color="E0E4EA" w:sz="1"/>
              <w:right w:val="single" w:color="E0E4EA" w:sz="1"/>
            </w:tcBorders>
            <w:shd w:fill="FFFFFF"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Maintenance opportuniste intelligente : si un équipement est en arrêt programmé pour une raison X, Maintex suggère les maintenances conditionnelles proches de leur seuil pour les réaliser en même temps</w:t>
            </w:r>
          </w:p>
        </w:tc>
      </w:tr>
      <w:tr>
        <w:tc>
          <w:tcPr>
            <w:tcW w:type="dxa" w:w="9026"/>
            <w:tcBorders>
              <w:top w:val="single" w:color="E0E4EA" w:sz="1"/>
              <w:left w:val="single" w:color="E0E4EA" w:sz="1"/>
              <w:bottom w:val="single" w:color="E0E4EA" w:sz="1"/>
              <w:right w:val="single" w:color="E0E4EA" w:sz="1"/>
            </w:tcBorders>
            <w:shd w:fill="E3F4E9"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Historique des déclencheurs : traçabilité complète de pourquoi chaque BT conditionnel a été créé (mesure qui a déclenché, valeur observée, seuil)</w:t>
            </w:r>
          </w:p>
        </w:tc>
      </w:tr>
      <w:tr>
        <w:tc>
          <w:tcPr>
            <w:tcW w:type="dxa" w:w="9026"/>
            <w:tcBorders>
              <w:top w:val="single" w:color="E0E4EA" w:sz="1"/>
              <w:left w:val="single" w:color="E0E4EA" w:sz="1"/>
              <w:bottom w:val="single" w:color="E0E4EA" w:sz="1"/>
              <w:right w:val="single" w:color="E0E4EA" w:sz="1"/>
            </w:tcBorders>
            <w:shd w:fill="FFFFFF"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Rapports de performance CBM : réduction du nombre d'interventions vs préventif systématique, économies réalisées, taux de fausses alertes</w:t>
            </w:r>
          </w:p>
        </w:tc>
      </w:tr>
    </w:tbl>
    <w:p>
      <w:pPr>
        <w:spacing w:before="120" w:after="0"/>
      </w:pPr>
      <w:r>
        <w:rPr>
          <w:rFonts w:ascii="Arial" w:cs="Arial" w:eastAsia="Arial" w:hAnsi="Arial"/>
          <w:b w:val="false"/>
          <w:bCs w:val="false"/>
          <w:i w:val="false"/>
          <w:iCs w:val="false"/>
          <w:color w:val="1C2533"/>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E0E4EA" w:sz="1"/>
              <w:left w:val="single" w:color="E0E4EA" w:sz="1"/>
              <w:bottom w:val="single" w:color="E0E4EA" w:sz="1"/>
              <w:right w:val="single" w:color="E0E4EA" w:sz="1"/>
            </w:tcBorders>
            <w:shd w:fill="0D2B4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1</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Tables : REGLE_CBM (équipement_id, nom, condition_JSON [{source, paramètre, opérateur, valeur, unité}], logique ENUM[ET/OU], action ENUM[créer_BT/alerter/suggérer], template_BT_id), DECLENCHEMENT_CBM (règle_id, date, valeurs_observées_JSON, BT_créé_id, statut).</w:t>
            </w:r>
          </w:p>
        </w:tc>
      </w:tr>
      <w:tr>
        <w:tc>
          <w:tcPr>
            <w:tcW w:type="dxa" w:w="800"/>
            <w:tcBorders>
              <w:top w:val="single" w:color="E0E4EA" w:sz="1"/>
              <w:left w:val="single" w:color="E0E4EA" w:sz="1"/>
              <w:bottom w:val="single" w:color="E0E4EA" w:sz="1"/>
              <w:right w:val="single" w:color="E0E4EA" w:sz="1"/>
            </w:tcBorders>
            <w:shd w:fill="1A6BA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2</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Moteur d'évaluation CBM : job temps réel (toutes les heures) évaluant chaque règle CBM active. Pour les sources IoT : lecture de la dernière mesure. Pour les compteurs : lecture du dernier relevé. Pour les mesures procédures : dernière valeur saisie.</w:t>
            </w:r>
          </w:p>
        </w:tc>
      </w:tr>
      <w:tr>
        <w:tc>
          <w:tcPr>
            <w:tcW w:type="dxa" w:w="800"/>
            <w:tcBorders>
              <w:top w:val="single" w:color="E0E4EA" w:sz="1"/>
              <w:left w:val="single" w:color="E0E4EA" w:sz="1"/>
              <w:bottom w:val="single" w:color="E0E4EA" w:sz="1"/>
              <w:right w:val="single" w:color="E0E4EA" w:sz="1"/>
            </w:tcBorders>
            <w:shd w:fill="0D2B4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3</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Interface de configuration des règles : formulaire visuel avec drag-and-drop des conditions. Prévisualisation « Cette règle se serait déclenchée X fois sur les 12 derniers mois » pour valider la pertinence.</w:t>
            </w:r>
          </w:p>
        </w:tc>
      </w:tr>
      <w:tr>
        <w:tc>
          <w:tcPr>
            <w:tcW w:type="dxa" w:w="800"/>
            <w:tcBorders>
              <w:top w:val="single" w:color="E0E4EA" w:sz="1"/>
              <w:left w:val="single" w:color="E0E4EA" w:sz="1"/>
              <w:bottom w:val="single" w:color="E0E4EA" w:sz="1"/>
              <w:right w:val="single" w:color="E0E4EA" w:sz="1"/>
            </w:tcBorders>
            <w:shd w:fill="1A6BA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4</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Intégration maintenance opportuniste : algorithme identifiant les règles CBM dont le seuil sera atteint dans les 30 prochains jours et les regroupant avec les arrêts programmés existants.</w:t>
            </w:r>
          </w:p>
        </w:tc>
      </w:tr>
    </w:tbl>
    <w:p>
      <w:pPr>
        <w:spacing w:before="200" w:after="0"/>
      </w:pPr>
      <w:r>
        <w:rPr>
          <w:rFonts w:ascii="Arial" w:cs="Arial" w:eastAsia="Arial" w:hAnsi="Arial"/>
          <w:b w:val="false"/>
          <w:bCs w:val="false"/>
          <w:i w:val="false"/>
          <w:iCs w:val="false"/>
          <w:color w:val="1C2533"/>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A6BAE" w:sz="30"/>
              <w:bottom w:val="none" w:color="FFFFFF" w:sz="0"/>
              <w:right w:val="none" w:color="FFFFFF" w:sz="0"/>
            </w:tcBorders>
            <w:shd w:fill="F4F6F9" w:val="clear"/>
            <w:tcMar>
              <w:top w:type="dxa" w:w="140"/>
              <w:left w:type="dxa" w:w="200"/>
              <w:bottom w:type="dxa" w:w="140"/>
              <w:right w:type="dxa" w:w="200"/>
            </w:tcMar>
          </w:tcPr>
          <w:p>
            <w:pPr>
              <w:spacing w:before="60" w:after="60" w:line="276"/>
              <w:jc w:val="left"/>
            </w:pPr>
            <w:r>
              <w:rPr>
                <w:rFonts w:ascii="Arial" w:cs="Arial" w:eastAsia="Arial" w:hAnsi="Arial"/>
                <w:b/>
                <w:bCs/>
                <w:i w:val="false"/>
                <w:iCs w:val="false"/>
                <w:color w:val="1A6BAE"/>
                <w:sz w:val="22"/>
                <w:szCs w:val="22"/>
              </w:rPr>
              <w:t xml:space="preserve">F40  </w:t>
            </w:r>
            <w:r>
              <w:rPr>
                <w:rFonts w:ascii="Arial" w:cs="Arial" w:eastAsia="Arial" w:hAnsi="Arial"/>
                <w:b/>
                <w:bCs/>
                <w:i w:val="false"/>
                <w:iCs w:val="false"/>
                <w:color w:val="0D2B4E"/>
                <w:sz w:val="24"/>
                <w:szCs w:val="24"/>
              </w:rPr>
              <w:t xml:space="preserve">Gestion des Garanties Équipements &amp; Contrats Constructeurs</w:t>
            </w:r>
          </w:p>
          <w:p>
            <w:pPr>
              <w:spacing w:before="60" w:after="60" w:line="276"/>
              <w:jc w:val="left"/>
            </w:pPr>
            <w:r>
              <w:rPr>
                <w:rFonts w:ascii="Arial" w:cs="Arial" w:eastAsia="Arial" w:hAnsi="Arial"/>
                <w:b/>
                <w:bCs/>
                <w:i w:val="false"/>
                <w:iCs w:val="false"/>
                <w:color w:val="8C96A3"/>
                <w:sz w:val="18"/>
                <w:szCs w:val="18"/>
              </w:rPr>
              <w:t xml:space="preserve">Catégorie : </w:t>
            </w:r>
            <w:r>
              <w:rPr>
                <w:rFonts w:ascii="Arial" w:cs="Arial" w:eastAsia="Arial" w:hAnsi="Arial"/>
                <w:b w:val="false"/>
                <w:bCs w:val="false"/>
                <w:i w:val="false"/>
                <w:iCs w:val="false"/>
                <w:color w:val="1C2533"/>
                <w:sz w:val="18"/>
                <w:szCs w:val="18"/>
              </w:rPr>
              <w:t xml:space="preserve">Finance    </w:t>
            </w:r>
            <w:r>
              <w:rPr>
                <w:rFonts w:ascii="Arial" w:cs="Arial" w:eastAsia="Arial" w:hAnsi="Arial"/>
                <w:b/>
                <w:bCs/>
                <w:i w:val="false"/>
                <w:iCs w:val="false"/>
                <w:color w:val="8C96A3"/>
                <w:sz w:val="18"/>
                <w:szCs w:val="18"/>
              </w:rPr>
              <w:t xml:space="preserve">│  Priorité : </w:t>
            </w:r>
            <w:r>
              <w:rPr>
                <w:rFonts w:ascii="Arial" w:cs="Arial" w:eastAsia="Arial" w:hAnsi="Arial"/>
                <w:b/>
                <w:bCs/>
                <w:i w:val="false"/>
                <w:iCs w:val="false"/>
                <w:color w:val="1A6BAE"/>
                <w:sz w:val="18"/>
                <w:szCs w:val="18"/>
              </w:rPr>
              <w:t xml:space="preserve">MOYENNE    </w:t>
            </w:r>
            <w:r>
              <w:rPr>
                <w:rFonts w:ascii="Arial" w:cs="Arial" w:eastAsia="Arial" w:hAnsi="Arial"/>
                <w:b/>
                <w:bCs/>
                <w:i w:val="false"/>
                <w:iCs w:val="false"/>
                <w:color w:val="8C96A3"/>
                <w:sz w:val="18"/>
                <w:szCs w:val="18"/>
              </w:rPr>
              <w:t xml:space="preserve">│  Effort : </w:t>
            </w:r>
            <w:r>
              <w:rPr>
                <w:rFonts w:ascii="Arial" w:cs="Arial" w:eastAsia="Arial" w:hAnsi="Arial"/>
                <w:b w:val="false"/>
                <w:bCs w:val="false"/>
                <w:i w:val="false"/>
                <w:iCs w:val="false"/>
                <w:color w:val="1C2533"/>
                <w:sz w:val="18"/>
                <w:szCs w:val="18"/>
              </w:rPr>
              <w:t xml:space="preserve">Faible    </w:t>
            </w:r>
            <w:r>
              <w:rPr>
                <w:rFonts w:ascii="Arial" w:cs="Arial" w:eastAsia="Arial" w:hAnsi="Arial"/>
                <w:b/>
                <w:bCs/>
                <w:i w:val="false"/>
                <w:iCs w:val="false"/>
                <w:color w:val="8C96A3"/>
                <w:sz w:val="18"/>
                <w:szCs w:val="18"/>
              </w:rPr>
              <w:t xml:space="preserve">│  Phase : </w:t>
            </w:r>
            <w:r>
              <w:rPr>
                <w:rFonts w:ascii="Arial" w:cs="Arial" w:eastAsia="Arial" w:hAnsi="Arial"/>
                <w:b w:val="false"/>
                <w:bCs w:val="false"/>
                <w:i w:val="false"/>
                <w:iCs w:val="false"/>
                <w:color w:val="1C2533"/>
                <w:sz w:val="18"/>
                <w:szCs w:val="18"/>
              </w:rPr>
              <w:t xml:space="preserve">Phase 2    </w:t>
            </w:r>
            <w:r>
              <w:rPr>
                <w:rFonts w:ascii="Arial" w:cs="Arial" w:eastAsia="Arial" w:hAnsi="Arial"/>
                <w:b/>
                <w:bCs/>
                <w:i w:val="false"/>
                <w:iCs w:val="false"/>
                <w:color w:val="8C96A3"/>
                <w:sz w:val="18"/>
                <w:szCs w:val="18"/>
              </w:rPr>
              <w:t xml:space="preserve">│  Statut : </w:t>
            </w:r>
            <w:r>
              <w:rPr>
                <w:rFonts w:ascii="Arial" w:cs="Arial" w:eastAsia="Arial" w:hAnsi="Arial"/>
                <w:b/>
                <w:bCs/>
                <w:i w:val="false"/>
                <w:iCs w:val="false"/>
                <w:color w:val="5E1A8A"/>
                <w:sz w:val="18"/>
                <w:szCs w:val="18"/>
              </w:rPr>
              <w:t xml:space="preserve">NOUVEAU</w:t>
            </w:r>
          </w:p>
        </w:tc>
      </w:tr>
    </w:tbl>
    <w:p>
      <w:pPr>
        <w:spacing w:before="80" w:after="0"/>
      </w:pPr>
      <w:r>
        <w:rPr>
          <w:rFonts w:ascii="Arial" w:cs="Arial" w:eastAsia="Arial" w:hAnsi="Arial"/>
          <w:b w:val="false"/>
          <w:bCs w:val="false"/>
          <w:i w:val="false"/>
          <w:iCs w:val="false"/>
          <w:color w:val="1C2533"/>
          <w:sz w:val="20"/>
          <w:szCs w:val="20"/>
        </w:rPr>
        <w:t xml:space="preserve"/>
      </w:r>
    </w:p>
    <w:p>
      <w:pPr>
        <w:pStyle w:val="Heading3"/>
        <w:spacing w:before="220" w:after="100"/>
      </w:pPr>
      <w:r>
        <w:rPr>
          <w:rFonts w:ascii="Arial" w:cs="Arial" w:eastAsia="Arial" w:hAnsi="Arial"/>
          <w:b/>
          <w:bCs/>
          <w:i w:val="false"/>
          <w:iCs w:val="false"/>
          <w:color w:val="D4600A"/>
          <w:sz w:val="23"/>
          <w:szCs w:val="23"/>
        </w:rPr>
        <w:t xml:space="preserve">Ne plus jamais manquer une garantie constructeur</w:t>
      </w:r>
    </w:p>
    <w:p>
      <w:pPr>
        <w:spacing w:before="60" w:after="60" w:line="276"/>
        <w:jc w:val="left"/>
      </w:pPr>
      <w:r>
        <w:rPr>
          <w:rFonts w:ascii="Arial" w:cs="Arial" w:eastAsia="Arial" w:hAnsi="Arial"/>
          <w:b w:val="false"/>
          <w:bCs w:val="false"/>
          <w:i w:val="false"/>
          <w:iCs w:val="false"/>
          <w:color w:val="1C2533"/>
          <w:sz w:val="20"/>
          <w:szCs w:val="20"/>
        </w:rPr>
        <w:t xml:space="preserve">Les entreprises perdent chaque année des sommes significatives en faisant réparer à leurs frais des équipements encore sous garantie. Maintex peut automatiser le suivi des garanties et alerter proactivement avant chaque intervention sur un équipement couvert.</w:t>
      </w:r>
    </w:p>
    <w:p>
      <w:pPr>
        <w:spacing w:before="80" w:after="0"/>
      </w:pPr>
      <w:r>
        <w:rPr>
          <w:rFonts w:ascii="Arial" w:cs="Arial" w:eastAsia="Arial" w:hAnsi="Arial"/>
          <w:b w:val="false"/>
          <w:bCs w:val="false"/>
          <w:i w:val="false"/>
          <w:iCs w:val="false"/>
          <w:color w:val="1C2533"/>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4EA" w:sz="1"/>
              <w:left w:val="single" w:color="E0E4EA" w:sz="1"/>
              <w:bottom w:val="single" w:color="E0E4EA" w:sz="1"/>
              <w:right w:val="single" w:color="E0E4EA" w:sz="1"/>
            </w:tcBorders>
            <w:shd w:fill="E3F4E9"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Fiche garantie par équipement : type (constructeur / étendue / pièces), dates de début et fin, prestataire agréé, numéro de contrat, conditions de mise en œuvre</w:t>
            </w:r>
          </w:p>
        </w:tc>
      </w:tr>
      <w:tr>
        <w:tc>
          <w:tcPr>
            <w:tcW w:type="dxa" w:w="9026"/>
            <w:tcBorders>
              <w:top w:val="single" w:color="E0E4EA" w:sz="1"/>
              <w:left w:val="single" w:color="E0E4EA" w:sz="1"/>
              <w:bottom w:val="single" w:color="E0E4EA" w:sz="1"/>
              <w:right w:val="single" w:color="E0E4EA" w:sz="1"/>
            </w:tcBorders>
            <w:shd w:fill="FFFFFF"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Alerte automatique à la création d'un BT : si l'équipement est sous garantie, afficher une bannière d'alerte avec les conditions de garantie et le contact du SAV constructeur</w:t>
            </w:r>
          </w:p>
        </w:tc>
      </w:tr>
      <w:tr>
        <w:tc>
          <w:tcPr>
            <w:tcW w:type="dxa" w:w="9026"/>
            <w:tcBorders>
              <w:top w:val="single" w:color="E0E4EA" w:sz="1"/>
              <w:left w:val="single" w:color="E0E4EA" w:sz="1"/>
              <w:bottom w:val="single" w:color="E0E4EA" w:sz="1"/>
              <w:right w:val="single" w:color="E0E4EA" w:sz="1"/>
            </w:tcBorders>
            <w:shd w:fill="E3F4E9"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Suivi des demandes de garantie : workflow de recours en garantie (déclaration → envoi chez le constructeur → retour → clôture) avec traçabilité complète</w:t>
            </w:r>
          </w:p>
        </w:tc>
      </w:tr>
      <w:tr>
        <w:tc>
          <w:tcPr>
            <w:tcW w:type="dxa" w:w="9026"/>
            <w:tcBorders>
              <w:top w:val="single" w:color="E0E4EA" w:sz="1"/>
              <w:left w:val="single" w:color="E0E4EA" w:sz="1"/>
              <w:bottom w:val="single" w:color="E0E4EA" w:sz="1"/>
              <w:right w:val="single" w:color="E0E4EA" w:sz="1"/>
            </w:tcBorders>
            <w:shd w:fill="FFFFFF"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Calcul des économies garanties : total des réparations réalisées sous garantie (qui auraient été à la charge de l'entreprise)</w:t>
            </w:r>
          </w:p>
        </w:tc>
      </w:tr>
      <w:tr>
        <w:tc>
          <w:tcPr>
            <w:tcW w:type="dxa" w:w="9026"/>
            <w:tcBorders>
              <w:top w:val="single" w:color="E0E4EA" w:sz="1"/>
              <w:left w:val="single" w:color="E0E4EA" w:sz="1"/>
              <w:bottom w:val="single" w:color="E0E4EA" w:sz="1"/>
              <w:right w:val="single" w:color="E0E4EA" w:sz="1"/>
            </w:tcBorders>
            <w:shd w:fill="E3F4E9"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Alerte de renouvellement : 90 jours avant l'expiration d'une garantie étendue, proposition de renouvellement</w:t>
            </w:r>
          </w:p>
        </w:tc>
      </w:tr>
    </w:tbl>
    <w:p>
      <w:pPr>
        <w:spacing w:before="200" w:after="0"/>
      </w:pPr>
      <w:r>
        <w:rPr>
          <w:rFonts w:ascii="Arial" w:cs="Arial" w:eastAsia="Arial" w:hAnsi="Arial"/>
          <w:b w:val="false"/>
          <w:bCs w:val="false"/>
          <w:i w:val="false"/>
          <w:iCs w:val="false"/>
          <w:color w:val="1C2533"/>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D4600A" w:sz="30"/>
              <w:bottom w:val="none" w:color="FFFFFF" w:sz="0"/>
              <w:right w:val="none" w:color="FFFFFF" w:sz="0"/>
            </w:tcBorders>
            <w:shd w:fill="F4F6F9" w:val="clear"/>
            <w:tcMar>
              <w:top w:type="dxa" w:w="140"/>
              <w:left w:type="dxa" w:w="200"/>
              <w:bottom w:type="dxa" w:w="140"/>
              <w:right w:type="dxa" w:w="200"/>
            </w:tcMar>
          </w:tcPr>
          <w:p>
            <w:pPr>
              <w:spacing w:before="60" w:after="60" w:line="276"/>
              <w:jc w:val="left"/>
            </w:pPr>
            <w:r>
              <w:rPr>
                <w:rFonts w:ascii="Arial" w:cs="Arial" w:eastAsia="Arial" w:hAnsi="Arial"/>
                <w:b/>
                <w:bCs/>
                <w:i w:val="false"/>
                <w:iCs w:val="false"/>
                <w:color w:val="D4600A"/>
                <w:sz w:val="22"/>
                <w:szCs w:val="22"/>
              </w:rPr>
              <w:t xml:space="preserve">F41  </w:t>
            </w:r>
            <w:r>
              <w:rPr>
                <w:rFonts w:ascii="Arial" w:cs="Arial" w:eastAsia="Arial" w:hAnsi="Arial"/>
                <w:b/>
                <w:bCs/>
                <w:i w:val="false"/>
                <w:iCs w:val="false"/>
                <w:color w:val="0D2B4E"/>
                <w:sz w:val="24"/>
                <w:szCs w:val="24"/>
              </w:rPr>
              <w:t xml:space="preserve">Module Santé, Sécurité &amp; Environnement Étendu (HSE+)</w:t>
            </w:r>
          </w:p>
          <w:p>
            <w:pPr>
              <w:spacing w:before="60" w:after="60" w:line="276"/>
              <w:jc w:val="left"/>
            </w:pPr>
            <w:r>
              <w:rPr>
                <w:rFonts w:ascii="Arial" w:cs="Arial" w:eastAsia="Arial" w:hAnsi="Arial"/>
                <w:b/>
                <w:bCs/>
                <w:i w:val="false"/>
                <w:iCs w:val="false"/>
                <w:color w:val="8C96A3"/>
                <w:sz w:val="18"/>
                <w:szCs w:val="18"/>
              </w:rPr>
              <w:t xml:space="preserve">Catégorie : </w:t>
            </w:r>
            <w:r>
              <w:rPr>
                <w:rFonts w:ascii="Arial" w:cs="Arial" w:eastAsia="Arial" w:hAnsi="Arial"/>
                <w:b w:val="false"/>
                <w:bCs w:val="false"/>
                <w:i w:val="false"/>
                <w:iCs w:val="false"/>
                <w:color w:val="1C2533"/>
                <w:sz w:val="18"/>
                <w:szCs w:val="18"/>
              </w:rPr>
              <w:t xml:space="preserve">HSE    </w:t>
            </w:r>
            <w:r>
              <w:rPr>
                <w:rFonts w:ascii="Arial" w:cs="Arial" w:eastAsia="Arial" w:hAnsi="Arial"/>
                <w:b/>
                <w:bCs/>
                <w:i w:val="false"/>
                <w:iCs w:val="false"/>
                <w:color w:val="8C96A3"/>
                <w:sz w:val="18"/>
                <w:szCs w:val="18"/>
              </w:rPr>
              <w:t xml:space="preserve">│  Priorité : </w:t>
            </w:r>
            <w:r>
              <w:rPr>
                <w:rFonts w:ascii="Arial" w:cs="Arial" w:eastAsia="Arial" w:hAnsi="Arial"/>
                <w:b/>
                <w:bCs/>
                <w:i w:val="false"/>
                <w:iCs w:val="false"/>
                <w:color w:val="D4600A"/>
                <w:sz w:val="18"/>
                <w:szCs w:val="18"/>
              </w:rPr>
              <w:t xml:space="preserve">HAUTE    </w:t>
            </w:r>
            <w:r>
              <w:rPr>
                <w:rFonts w:ascii="Arial" w:cs="Arial" w:eastAsia="Arial" w:hAnsi="Arial"/>
                <w:b/>
                <w:bCs/>
                <w:i w:val="false"/>
                <w:iCs w:val="false"/>
                <w:color w:val="8C96A3"/>
                <w:sz w:val="18"/>
                <w:szCs w:val="18"/>
              </w:rPr>
              <w:t xml:space="preserve">│  Effort : </w:t>
            </w:r>
            <w:r>
              <w:rPr>
                <w:rFonts w:ascii="Arial" w:cs="Arial" w:eastAsia="Arial" w:hAnsi="Arial"/>
                <w:b w:val="false"/>
                <w:bCs w:val="false"/>
                <w:i w:val="false"/>
                <w:iCs w:val="false"/>
                <w:color w:val="1C2533"/>
                <w:sz w:val="18"/>
                <w:szCs w:val="18"/>
              </w:rPr>
              <w:t xml:space="preserve">Moyen    </w:t>
            </w:r>
            <w:r>
              <w:rPr>
                <w:rFonts w:ascii="Arial" w:cs="Arial" w:eastAsia="Arial" w:hAnsi="Arial"/>
                <w:b/>
                <w:bCs/>
                <w:i w:val="false"/>
                <w:iCs w:val="false"/>
                <w:color w:val="8C96A3"/>
                <w:sz w:val="18"/>
                <w:szCs w:val="18"/>
              </w:rPr>
              <w:t xml:space="preserve">│  Phase : </w:t>
            </w:r>
            <w:r>
              <w:rPr>
                <w:rFonts w:ascii="Arial" w:cs="Arial" w:eastAsia="Arial" w:hAnsi="Arial"/>
                <w:b w:val="false"/>
                <w:bCs w:val="false"/>
                <w:i w:val="false"/>
                <w:iCs w:val="false"/>
                <w:color w:val="1C2533"/>
                <w:sz w:val="18"/>
                <w:szCs w:val="18"/>
              </w:rPr>
              <w:t xml:space="preserve">Phase 2    </w:t>
            </w:r>
            <w:r>
              <w:rPr>
                <w:rFonts w:ascii="Arial" w:cs="Arial" w:eastAsia="Arial" w:hAnsi="Arial"/>
                <w:b/>
                <w:bCs/>
                <w:i w:val="false"/>
                <w:iCs w:val="false"/>
                <w:color w:val="8C96A3"/>
                <w:sz w:val="18"/>
                <w:szCs w:val="18"/>
              </w:rPr>
              <w:t xml:space="preserve">│  Statut : </w:t>
            </w:r>
            <w:r>
              <w:rPr>
                <w:rFonts w:ascii="Arial" w:cs="Arial" w:eastAsia="Arial" w:hAnsi="Arial"/>
                <w:b/>
                <w:bCs/>
                <w:i w:val="false"/>
                <w:iCs w:val="false"/>
                <w:color w:val="5E1A8A"/>
                <w:sz w:val="18"/>
                <w:szCs w:val="18"/>
              </w:rPr>
              <w:t xml:space="preserve">NOUVEAU</w:t>
            </w:r>
          </w:p>
        </w:tc>
      </w:tr>
    </w:tbl>
    <w:p>
      <w:pPr>
        <w:spacing w:before="80" w:after="0"/>
      </w:pPr>
      <w:r>
        <w:rPr>
          <w:rFonts w:ascii="Arial" w:cs="Arial" w:eastAsia="Arial" w:hAnsi="Arial"/>
          <w:b w:val="false"/>
          <w:bCs w:val="false"/>
          <w:i w:val="false"/>
          <w:iCs w:val="false"/>
          <w:color w:val="1C2533"/>
          <w:sz w:val="20"/>
          <w:szCs w:val="20"/>
        </w:rPr>
        <w:t xml:space="preserve"/>
      </w:r>
    </w:p>
    <w:p>
      <w:pPr>
        <w:pStyle w:val="Heading3"/>
        <w:spacing w:before="220" w:after="100"/>
      </w:pPr>
      <w:r>
        <w:rPr>
          <w:rFonts w:ascii="Arial" w:cs="Arial" w:eastAsia="Arial" w:hAnsi="Arial"/>
          <w:b/>
          <w:bCs/>
          <w:i w:val="false"/>
          <w:iCs w:val="false"/>
          <w:color w:val="D4600A"/>
          <w:sz w:val="23"/>
          <w:szCs w:val="23"/>
        </w:rPr>
        <w:t xml:space="preserve">Au-delà des permis de travail : une culture HSE intégrée</w:t>
      </w:r>
    </w:p>
    <w:p>
      <w:pPr>
        <w:spacing w:before="60" w:after="60" w:line="276"/>
        <w:jc w:val="left"/>
      </w:pPr>
      <w:r>
        <w:rPr>
          <w:rFonts w:ascii="Arial" w:cs="Arial" w:eastAsia="Arial" w:hAnsi="Arial"/>
          <w:b w:val="false"/>
          <w:bCs w:val="false"/>
          <w:i w:val="false"/>
          <w:iCs w:val="false"/>
          <w:color w:val="1C2533"/>
          <w:sz w:val="20"/>
          <w:szCs w:val="20"/>
        </w:rPr>
        <w:t xml:space="preserve">F25 couvre les permis de travail. F41 va plus loin : c'est un module complet de gestion HSE intégré à la maintenance, couvrant la déclaration et l'analyse des accidents, les causas near-miss (presque-accidents), les inspections HSE planifiées et la gestion des équipements de protection individuelle (EPI).</w:t>
      </w:r>
    </w:p>
    <w:p>
      <w:pPr>
        <w:spacing w:before="80" w:after="0"/>
      </w:pPr>
      <w:r>
        <w:rPr>
          <w:rFonts w:ascii="Arial" w:cs="Arial" w:eastAsia="Arial" w:hAnsi="Arial"/>
          <w:b w:val="false"/>
          <w:bCs w:val="false"/>
          <w:i w:val="false"/>
          <w:iCs w:val="false"/>
          <w:color w:val="1C2533"/>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4EA" w:sz="1"/>
              <w:left w:val="single" w:color="E0E4EA" w:sz="1"/>
              <w:bottom w:val="single" w:color="E0E4EA" w:sz="1"/>
              <w:right w:val="single" w:color="E0E4EA" w:sz="1"/>
            </w:tcBorders>
            <w:shd w:fill="E3F4E9"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Déclaration d'accident et near-miss : formulaire de déclaration d'incident lié à une intervention de maintenance. Lien automatique avec le BT en cours. Analyse 5 Pourquoi intégrée</w:t>
            </w:r>
          </w:p>
        </w:tc>
      </w:tr>
      <w:tr>
        <w:tc>
          <w:tcPr>
            <w:tcW w:type="dxa" w:w="9026"/>
            <w:tcBorders>
              <w:top w:val="single" w:color="E0E4EA" w:sz="1"/>
              <w:left w:val="single" w:color="E0E4EA" w:sz="1"/>
              <w:bottom w:val="single" w:color="E0E4EA" w:sz="1"/>
              <w:right w:val="single" w:color="E0E4EA" w:sz="1"/>
            </w:tcBorders>
            <w:shd w:fill="FFFFFF"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Registre légal des accidents du travail : conforme aux obligations légales OHSAS/ISO 45001 et aux législations du travail locales. Export PDF pour l'inspection du travail</w:t>
            </w:r>
          </w:p>
        </w:tc>
      </w:tr>
      <w:tr>
        <w:tc>
          <w:tcPr>
            <w:tcW w:type="dxa" w:w="9026"/>
            <w:tcBorders>
              <w:top w:val="single" w:color="E0E4EA" w:sz="1"/>
              <w:left w:val="single" w:color="E0E4EA" w:sz="1"/>
              <w:bottom w:val="single" w:color="E0E4EA" w:sz="1"/>
              <w:right w:val="single" w:color="E0E4EA" w:sz="1"/>
            </w:tcBorders>
            <w:shd w:fill="E3F4E9"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Inspections HSE planifiées : FMP de type « inspection sécurité » avec checklist HSE dédiée (vérification des EPI, état des équipements, marquage au sol, extincteurs)</w:t>
            </w:r>
          </w:p>
        </w:tc>
      </w:tr>
      <w:tr>
        <w:tc>
          <w:tcPr>
            <w:tcW w:type="dxa" w:w="9026"/>
            <w:tcBorders>
              <w:top w:val="single" w:color="E0E4EA" w:sz="1"/>
              <w:left w:val="single" w:color="E0E4EA" w:sz="1"/>
              <w:bottom w:val="single" w:color="E0E4EA" w:sz="1"/>
              <w:right w:val="single" w:color="E0E4EA" w:sz="1"/>
            </w:tcBorders>
            <w:shd w:fill="FFFFFF"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Gestion des EPI (Équipements de Protection Individuelle) : stock d'EPI par site, attribution par technicien, dates d'expiration (harnais, lunettes, gants), alertes de remplacement</w:t>
            </w:r>
          </w:p>
        </w:tc>
      </w:tr>
      <w:tr>
        <w:tc>
          <w:tcPr>
            <w:tcW w:type="dxa" w:w="9026"/>
            <w:tcBorders>
              <w:top w:val="single" w:color="E0E4EA" w:sz="1"/>
              <w:left w:val="single" w:color="E0E4EA" w:sz="1"/>
              <w:bottom w:val="single" w:color="E0E4EA" w:sz="1"/>
              <w:right w:val="single" w:color="E0E4EA" w:sz="1"/>
            </w:tcBorders>
            <w:shd w:fill="E3F4E9"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Tableau de bord HSE : taux de fréquence des accidents (TF), taux de gravité (TG), nombre de near-miss, taux de conformité des inspections, évolution mensuelle</w:t>
            </w:r>
          </w:p>
        </w:tc>
      </w:tr>
      <w:tr>
        <w:tc>
          <w:tcPr>
            <w:tcW w:type="dxa" w:w="9026"/>
            <w:tcBorders>
              <w:top w:val="single" w:color="E0E4EA" w:sz="1"/>
              <w:left w:val="single" w:color="E0E4EA" w:sz="1"/>
              <w:bottom w:val="single" w:color="E0E4EA" w:sz="1"/>
              <w:right w:val="single" w:color="E0E4EA" w:sz="1"/>
            </w:tcBorders>
            <w:shd w:fill="FFFFFF"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Indicateurs OHSAS 18001 / ISO 45001 : les KPIs réglementaires sont calculés automatiquement depuis les données de maintenance</w:t>
            </w:r>
          </w:p>
        </w:tc>
      </w:tr>
      <w:tr>
        <w:tc>
          <w:tcPr>
            <w:tcW w:type="dxa" w:w="9026"/>
            <w:tcBorders>
              <w:top w:val="single" w:color="E0E4EA" w:sz="1"/>
              <w:left w:val="single" w:color="E0E4EA" w:sz="1"/>
              <w:bottom w:val="single" w:color="E0E4EA" w:sz="1"/>
              <w:right w:val="single" w:color="E0E4EA" w:sz="1"/>
            </w:tcBorders>
            <w:shd w:fill="E3F4E9"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Intégration avec F25 (Permis de Travail) et F31 (Habilitations) : vision 360° de la conformité sécurité par intervention</w:t>
            </w:r>
          </w:p>
        </w:tc>
      </w:tr>
    </w:tbl>
    <w:p>
      <w:pPr>
        <w:spacing w:before="120" w:after="0"/>
      </w:pPr>
      <w:r>
        <w:rPr>
          <w:rFonts w:ascii="Arial" w:cs="Arial" w:eastAsia="Arial" w:hAnsi="Arial"/>
          <w:b w:val="false"/>
          <w:bCs w:val="false"/>
          <w:i w:val="false"/>
          <w:iCs w:val="false"/>
          <w:color w:val="1C2533"/>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E0E4EA" w:sz="1"/>
              <w:left w:val="single" w:color="E0E4EA" w:sz="1"/>
              <w:bottom w:val="single" w:color="E0E4EA" w:sz="1"/>
              <w:right w:val="single" w:color="E0E4EA" w:sz="1"/>
            </w:tcBorders>
            <w:shd w:fill="0D2B4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1</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Tables : INCIDENT_HSE (BT_id, type ENUM[accident/near-miss/presqu'accident/dégât_matériel], date, lieu, description, gravité, jours_arrêt, analyse_5P_JSON, mesures_correctives_JSON), INSPECTION_HSE (site_id, date, checklist_JSON, non_conformités, score, inspecteur_id), EPI (code, type, date_expiration_mois, technicien_id, date_attribution, statut).</w:t>
            </w:r>
          </w:p>
        </w:tc>
      </w:tr>
      <w:tr>
        <w:tc>
          <w:tcPr>
            <w:tcW w:type="dxa" w:w="800"/>
            <w:tcBorders>
              <w:top w:val="single" w:color="E0E4EA" w:sz="1"/>
              <w:left w:val="single" w:color="E0E4EA" w:sz="1"/>
              <w:bottom w:val="single" w:color="E0E4EA" w:sz="1"/>
              <w:right w:val="single" w:color="E0E4EA" w:sz="1"/>
            </w:tcBorders>
            <w:shd w:fill="1A6BA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2</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Dashboard HSE : graphiques TF/TG sur 12 mois, pyramide de Bird (accidents / near-miss / incidents), carte des zones à risque par site.</w:t>
            </w:r>
          </w:p>
        </w:tc>
      </w:tr>
      <w:tr>
        <w:tc>
          <w:tcPr>
            <w:tcW w:type="dxa" w:w="800"/>
            <w:tcBorders>
              <w:top w:val="single" w:color="E0E4EA" w:sz="1"/>
              <w:left w:val="single" w:color="E0E4EA" w:sz="1"/>
              <w:bottom w:val="single" w:color="E0E4EA" w:sz="1"/>
              <w:right w:val="single" w:color="E0E4EA" w:sz="1"/>
            </w:tcBorders>
            <w:shd w:fill="0D2B4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3</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Intégration BT : à l'ouverture d'un BT, si l'équipement ou le type d'intervention a des antécédents d'incidents HSE, afficher un bandeau d'alerte « Attention : 2 incidents HSE enregistrés sur cet équipement ».</w:t>
            </w:r>
          </w:p>
        </w:tc>
      </w:tr>
      <w:tr>
        <w:tc>
          <w:tcPr>
            <w:tcW w:type="dxa" w:w="800"/>
            <w:tcBorders>
              <w:top w:val="single" w:color="E0E4EA" w:sz="1"/>
              <w:left w:val="single" w:color="E0E4EA" w:sz="1"/>
              <w:bottom w:val="single" w:color="E0E4EA" w:sz="1"/>
              <w:right w:val="single" w:color="E0E4EA" w:sz="1"/>
            </w:tcBorders>
            <w:shd w:fill="1A6BA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4</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Rapport réglementaire annuel : document conforme DUERP (Document Unique d'Évaluation des Risques Professionnels) exportable pour les obligations légales.</w:t>
            </w:r>
          </w:p>
        </w:tc>
      </w:tr>
    </w:tbl>
    <w:p>
      <w:pPr>
        <w:spacing w:before="200" w:after="0"/>
      </w:pPr>
      <w:r>
        <w:rPr>
          <w:rFonts w:ascii="Arial" w:cs="Arial" w:eastAsia="Arial" w:hAnsi="Arial"/>
          <w:b w:val="false"/>
          <w:bCs w:val="false"/>
          <w:i w:val="false"/>
          <w:iCs w:val="false"/>
          <w:color w:val="1C2533"/>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D4600A" w:sz="30"/>
              <w:bottom w:val="none" w:color="FFFFFF" w:sz="0"/>
              <w:right w:val="none" w:color="FFFFFF" w:sz="0"/>
            </w:tcBorders>
            <w:shd w:fill="F4F6F9" w:val="clear"/>
            <w:tcMar>
              <w:top w:type="dxa" w:w="140"/>
              <w:left w:type="dxa" w:w="200"/>
              <w:bottom w:type="dxa" w:w="140"/>
              <w:right w:type="dxa" w:w="200"/>
            </w:tcMar>
          </w:tcPr>
          <w:p>
            <w:pPr>
              <w:spacing w:before="60" w:after="60" w:line="276"/>
              <w:jc w:val="left"/>
            </w:pPr>
            <w:r>
              <w:rPr>
                <w:rFonts w:ascii="Arial" w:cs="Arial" w:eastAsia="Arial" w:hAnsi="Arial"/>
                <w:b/>
                <w:bCs/>
                <w:i w:val="false"/>
                <w:iCs w:val="false"/>
                <w:color w:val="D4600A"/>
                <w:sz w:val="22"/>
                <w:szCs w:val="22"/>
              </w:rPr>
              <w:t xml:space="preserve">F42  </w:t>
            </w:r>
            <w:r>
              <w:rPr>
                <w:rFonts w:ascii="Arial" w:cs="Arial" w:eastAsia="Arial" w:hAnsi="Arial"/>
                <w:b/>
                <w:bCs/>
                <w:i w:val="false"/>
                <w:iCs w:val="false"/>
                <w:color w:val="0D2B4E"/>
                <w:sz w:val="24"/>
                <w:szCs w:val="24"/>
              </w:rPr>
              <w:t xml:space="preserve">Intelligence Tarifaire &amp; Scoring Fournisseurs</w:t>
            </w:r>
          </w:p>
          <w:p>
            <w:pPr>
              <w:spacing w:before="60" w:after="60" w:line="276"/>
              <w:jc w:val="left"/>
            </w:pPr>
            <w:r>
              <w:rPr>
                <w:rFonts w:ascii="Arial" w:cs="Arial" w:eastAsia="Arial" w:hAnsi="Arial"/>
                <w:b/>
                <w:bCs/>
                <w:i w:val="false"/>
                <w:iCs w:val="false"/>
                <w:color w:val="8C96A3"/>
                <w:sz w:val="18"/>
                <w:szCs w:val="18"/>
              </w:rPr>
              <w:t xml:space="preserve">Catégorie : </w:t>
            </w:r>
            <w:r>
              <w:rPr>
                <w:rFonts w:ascii="Arial" w:cs="Arial" w:eastAsia="Arial" w:hAnsi="Arial"/>
                <w:b w:val="false"/>
                <w:bCs w:val="false"/>
                <w:i w:val="false"/>
                <w:iCs w:val="false"/>
                <w:color w:val="1C2533"/>
                <w:sz w:val="18"/>
                <w:szCs w:val="18"/>
              </w:rPr>
              <w:t xml:space="preserve">Achats    </w:t>
            </w:r>
            <w:r>
              <w:rPr>
                <w:rFonts w:ascii="Arial" w:cs="Arial" w:eastAsia="Arial" w:hAnsi="Arial"/>
                <w:b/>
                <w:bCs/>
                <w:i w:val="false"/>
                <w:iCs w:val="false"/>
                <w:color w:val="8C96A3"/>
                <w:sz w:val="18"/>
                <w:szCs w:val="18"/>
              </w:rPr>
              <w:t xml:space="preserve">│  Priorité : </w:t>
            </w:r>
            <w:r>
              <w:rPr>
                <w:rFonts w:ascii="Arial" w:cs="Arial" w:eastAsia="Arial" w:hAnsi="Arial"/>
                <w:b/>
                <w:bCs/>
                <w:i w:val="false"/>
                <w:iCs w:val="false"/>
                <w:color w:val="D4600A"/>
                <w:sz w:val="18"/>
                <w:szCs w:val="18"/>
              </w:rPr>
              <w:t xml:space="preserve">HAUTE    </w:t>
            </w:r>
            <w:r>
              <w:rPr>
                <w:rFonts w:ascii="Arial" w:cs="Arial" w:eastAsia="Arial" w:hAnsi="Arial"/>
                <w:b/>
                <w:bCs/>
                <w:i w:val="false"/>
                <w:iCs w:val="false"/>
                <w:color w:val="8C96A3"/>
                <w:sz w:val="18"/>
                <w:szCs w:val="18"/>
              </w:rPr>
              <w:t xml:space="preserve">│  Effort : </w:t>
            </w:r>
            <w:r>
              <w:rPr>
                <w:rFonts w:ascii="Arial" w:cs="Arial" w:eastAsia="Arial" w:hAnsi="Arial"/>
                <w:b w:val="false"/>
                <w:bCs w:val="false"/>
                <w:i w:val="false"/>
                <w:iCs w:val="false"/>
                <w:color w:val="1C2533"/>
                <w:sz w:val="18"/>
                <w:szCs w:val="18"/>
              </w:rPr>
              <w:t xml:space="preserve">Moyen    </w:t>
            </w:r>
            <w:r>
              <w:rPr>
                <w:rFonts w:ascii="Arial" w:cs="Arial" w:eastAsia="Arial" w:hAnsi="Arial"/>
                <w:b/>
                <w:bCs/>
                <w:i w:val="false"/>
                <w:iCs w:val="false"/>
                <w:color w:val="8C96A3"/>
                <w:sz w:val="18"/>
                <w:szCs w:val="18"/>
              </w:rPr>
              <w:t xml:space="preserve">│  Phase : </w:t>
            </w:r>
            <w:r>
              <w:rPr>
                <w:rFonts w:ascii="Arial" w:cs="Arial" w:eastAsia="Arial" w:hAnsi="Arial"/>
                <w:b w:val="false"/>
                <w:bCs w:val="false"/>
                <w:i w:val="false"/>
                <w:iCs w:val="false"/>
                <w:color w:val="1C2533"/>
                <w:sz w:val="18"/>
                <w:szCs w:val="18"/>
              </w:rPr>
              <w:t xml:space="preserve">Phase 3    </w:t>
            </w:r>
            <w:r>
              <w:rPr>
                <w:rFonts w:ascii="Arial" w:cs="Arial" w:eastAsia="Arial" w:hAnsi="Arial"/>
                <w:b/>
                <w:bCs/>
                <w:i w:val="false"/>
                <w:iCs w:val="false"/>
                <w:color w:val="8C96A3"/>
                <w:sz w:val="18"/>
                <w:szCs w:val="18"/>
              </w:rPr>
              <w:t xml:space="preserve">│  Statut : </w:t>
            </w:r>
            <w:r>
              <w:rPr>
                <w:rFonts w:ascii="Arial" w:cs="Arial" w:eastAsia="Arial" w:hAnsi="Arial"/>
                <w:b/>
                <w:bCs/>
                <w:i w:val="false"/>
                <w:iCs w:val="false"/>
                <w:color w:val="5E1A8A"/>
                <w:sz w:val="18"/>
                <w:szCs w:val="18"/>
              </w:rPr>
              <w:t xml:space="preserve">NOUVEAU</w:t>
            </w:r>
          </w:p>
        </w:tc>
      </w:tr>
    </w:tbl>
    <w:p>
      <w:pPr>
        <w:spacing w:before="80" w:after="0"/>
      </w:pPr>
      <w:r>
        <w:rPr>
          <w:rFonts w:ascii="Arial" w:cs="Arial" w:eastAsia="Arial" w:hAnsi="Arial"/>
          <w:b w:val="false"/>
          <w:bCs w:val="false"/>
          <w:i w:val="false"/>
          <w:iCs w:val="false"/>
          <w:color w:val="1C2533"/>
          <w:sz w:val="20"/>
          <w:szCs w:val="20"/>
        </w:rPr>
        <w:t xml:space="preserve"/>
      </w:r>
    </w:p>
    <w:p>
      <w:pPr>
        <w:pStyle w:val="Heading3"/>
        <w:spacing w:before="220" w:after="100"/>
      </w:pPr>
      <w:r>
        <w:rPr>
          <w:rFonts w:ascii="Arial" w:cs="Arial" w:eastAsia="Arial" w:hAnsi="Arial"/>
          <w:b/>
          <w:bCs/>
          <w:i w:val="false"/>
          <w:iCs w:val="false"/>
          <w:color w:val="D4600A"/>
          <w:sz w:val="23"/>
          <w:szCs w:val="23"/>
        </w:rPr>
        <w:t xml:space="preserve">Transformer les données d'achats en avantage compétitif</w:t>
      </w:r>
    </w:p>
    <w:p>
      <w:pPr>
        <w:spacing w:before="60" w:after="60" w:line="276"/>
        <w:jc w:val="left"/>
      </w:pPr>
      <w:r>
        <w:rPr>
          <w:rFonts w:ascii="Arial" w:cs="Arial" w:eastAsia="Arial" w:hAnsi="Arial"/>
          <w:b w:val="false"/>
          <w:bCs w:val="false"/>
          <w:i w:val="false"/>
          <w:iCs w:val="false"/>
          <w:color w:val="1C2533"/>
          <w:sz w:val="20"/>
          <w:szCs w:val="20"/>
        </w:rPr>
        <w:t xml:space="preserve">Après quelques années d'utilisation, Maintex accumule une richesse de données d'achats : prix historiques par article, performance des fournisseurs (délais, taux de retour, qualité), évolution des prix dans le temps. Cette donnée, analysée intelligemment, peut économiser des millions à un client industriel.</w:t>
      </w:r>
    </w:p>
    <w:p>
      <w:pPr>
        <w:spacing w:before="80" w:after="0"/>
      </w:pPr>
      <w:r>
        <w:rPr>
          <w:rFonts w:ascii="Arial" w:cs="Arial" w:eastAsia="Arial" w:hAnsi="Arial"/>
          <w:b w:val="false"/>
          <w:bCs w:val="false"/>
          <w:i w:val="false"/>
          <w:iCs w:val="false"/>
          <w:color w:val="1C2533"/>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4EA" w:sz="1"/>
              <w:left w:val="single" w:color="E0E4EA" w:sz="1"/>
              <w:bottom w:val="single" w:color="E0E4EA" w:sz="1"/>
              <w:right w:val="single" w:color="E0E4EA" w:sz="1"/>
            </w:tcBorders>
            <w:shd w:fill="E3F4E9"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Score fournisseur global : note composite calculée automatiquement sur Délai (respect des délais de livraison), Qualité (taux de retour / non-conformité), Prix (évolution des prix vs marché), Communication (réactivité aux demandes de prix)</w:t>
            </w:r>
          </w:p>
        </w:tc>
      </w:tr>
      <w:tr>
        <w:tc>
          <w:tcPr>
            <w:tcW w:type="dxa" w:w="9026"/>
            <w:tcBorders>
              <w:top w:val="single" w:color="E0E4EA" w:sz="1"/>
              <w:left w:val="single" w:color="E0E4EA" w:sz="1"/>
              <w:bottom w:val="single" w:color="E0E4EA" w:sz="1"/>
              <w:right w:val="single" w:color="E0E4EA" w:sz="1"/>
            </w:tcBorders>
            <w:shd w:fill="FFFFFF"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Analyse des écarts de prix : pour un article donné, comparaison des prix obtenus auprès de différents fournisseurs sur les 12 derniers mois. Identification du fournisseur le moins cher et le plus fiable</w:t>
            </w:r>
          </w:p>
        </w:tc>
      </w:tr>
      <w:tr>
        <w:tc>
          <w:tcPr>
            <w:tcW w:type="dxa" w:w="9026"/>
            <w:tcBorders>
              <w:top w:val="single" w:color="E0E4EA" w:sz="1"/>
              <w:left w:val="single" w:color="E0E4EA" w:sz="1"/>
              <w:bottom w:val="single" w:color="E0E4EA" w:sz="1"/>
              <w:right w:val="single" w:color="E0E4EA" w:sz="1"/>
            </w:tcBorders>
            <w:shd w:fill="E3F4E9"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Détection des dérives tarifaires : alerte si le prix proposé pour un article dépasse de X% le prix historique moyen. Protection contre les augmentations injustifiées</w:t>
            </w:r>
          </w:p>
        </w:tc>
      </w:tr>
      <w:tr>
        <w:tc>
          <w:tcPr>
            <w:tcW w:type="dxa" w:w="9026"/>
            <w:tcBorders>
              <w:top w:val="single" w:color="E0E4EA" w:sz="1"/>
              <w:left w:val="single" w:color="E0E4EA" w:sz="1"/>
              <w:bottom w:val="single" w:color="E0E4EA" w:sz="1"/>
              <w:right w:val="single" w:color="E0E4EA" w:sz="1"/>
            </w:tcBorders>
            <w:shd w:fill="FFFFFF"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Suggestion de fournisseur préférentiel : lors d'une DA, Maintex suggère automatiquement le fournisseur ayant le meilleur score pour la famille d'article concernée</w:t>
            </w:r>
          </w:p>
        </w:tc>
      </w:tr>
      <w:tr>
        <w:tc>
          <w:tcPr>
            <w:tcW w:type="dxa" w:w="9026"/>
            <w:tcBorders>
              <w:top w:val="single" w:color="E0E4EA" w:sz="1"/>
              <w:left w:val="single" w:color="E0E4EA" w:sz="1"/>
              <w:bottom w:val="single" w:color="E0E4EA" w:sz="1"/>
              <w:right w:val="single" w:color="E0E4EA" w:sz="1"/>
            </w:tcBorders>
            <w:shd w:fill="E3F4E9"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Rapport de performance fournisseurs : bilan annuel par fournisseur avec score détaillé, évolution, montant total d'achats. Base de données pour les négociations contractuelles</w:t>
            </w:r>
          </w:p>
        </w:tc>
      </w:tr>
      <w:tr>
        <w:tc>
          <w:tcPr>
            <w:tcW w:type="dxa" w:w="9026"/>
            <w:tcBorders>
              <w:top w:val="single" w:color="E0E4EA" w:sz="1"/>
              <w:left w:val="single" w:color="E0E4EA" w:sz="1"/>
              <w:bottom w:val="single" w:color="E0E4EA" w:sz="1"/>
              <w:right w:val="single" w:color="E0E4EA" w:sz="1"/>
            </w:tcBorders>
            <w:shd w:fill="FFFFFF" w:val="clear"/>
            <w:tcMar>
              <w:top w:type="dxa" w:w="80"/>
              <w:left w:type="dxa" w:w="150"/>
              <w:bottom w:type="dxa" w:w="80"/>
              <w:right w:type="dxa" w:w="120"/>
            </w:tcMar>
          </w:tcPr>
          <w:p>
            <w:pPr>
              <w:spacing w:before="60" w:after="60" w:line="276"/>
              <w:jc w:val="left"/>
            </w:pPr>
            <w:r>
              <w:rPr>
                <w:rFonts w:ascii="Arial" w:cs="Arial" w:eastAsia="Arial" w:hAnsi="Arial"/>
                <w:b/>
                <w:bCs/>
                <w:i w:val="false"/>
                <w:iCs w:val="false"/>
                <w:color w:val="1B6B35"/>
                <w:sz w:val="20"/>
                <w:szCs w:val="20"/>
              </w:rPr>
              <w:t xml:space="preserve">✓  </w:t>
            </w:r>
            <w:r>
              <w:rPr>
                <w:rFonts w:ascii="Arial" w:cs="Arial" w:eastAsia="Arial" w:hAnsi="Arial"/>
                <w:b w:val="false"/>
                <w:bCs w:val="false"/>
                <w:i w:val="false"/>
                <w:iCs w:val="false"/>
                <w:color w:val="1C2533"/>
                <w:sz w:val="19"/>
                <w:szCs w:val="19"/>
              </w:rPr>
              <w:t xml:space="preserve">Benchmark prix marché (futur) : comparaison des prix locaux avec les prix d'autres clients Maintex (anonymisés) pour identifier les opportunités de négociation</w:t>
            </w:r>
          </w:p>
        </w:tc>
      </w:tr>
    </w:tbl>
    <w:p>
      <w:pPr>
        <w:spacing w:before="120" w:after="0"/>
      </w:pPr>
      <w:r>
        <w:rPr>
          <w:rFonts w:ascii="Arial" w:cs="Arial" w:eastAsia="Arial" w:hAnsi="Arial"/>
          <w:b w:val="false"/>
          <w:bCs w:val="false"/>
          <w:i w:val="false"/>
          <w:iCs w:val="false"/>
          <w:color w:val="1C2533"/>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E0E4EA" w:sz="1"/>
              <w:left w:val="single" w:color="E0E4EA" w:sz="1"/>
              <w:bottom w:val="single" w:color="E0E4EA" w:sz="1"/>
              <w:right w:val="single" w:color="E0E4EA" w:sz="1"/>
            </w:tcBorders>
            <w:shd w:fill="0D2B4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1</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Tables : SCORING_FOURNISSEUR (fournisseur_id, période_mois, score_délai, score_qualité, score_prix, score_global, nb_commandes, taux_retour, délai_moyen_j), PRIX_HISTORIQUE (article_id, fournisseur_id, date, prix_unitaire, devise, quantité_commandée).</w:t>
            </w:r>
          </w:p>
        </w:tc>
      </w:tr>
      <w:tr>
        <w:tc>
          <w:tcPr>
            <w:tcW w:type="dxa" w:w="800"/>
            <w:tcBorders>
              <w:top w:val="single" w:color="E0E4EA" w:sz="1"/>
              <w:left w:val="single" w:color="E0E4EA" w:sz="1"/>
              <w:bottom w:val="single" w:color="E0E4EA" w:sz="1"/>
              <w:right w:val="single" w:color="E0E4EA" w:sz="1"/>
            </w:tcBorders>
            <w:shd w:fill="1A6BA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2</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Calcul du score mensuel : job mensuel calculant les 4 composantes du score depuis les données de commandes et réceptions du mois. Score global = délai×30% + qualité×35% + prix×25% + communication×10%.</w:t>
            </w:r>
          </w:p>
        </w:tc>
      </w:tr>
      <w:tr>
        <w:tc>
          <w:tcPr>
            <w:tcW w:type="dxa" w:w="800"/>
            <w:tcBorders>
              <w:top w:val="single" w:color="E0E4EA" w:sz="1"/>
              <w:left w:val="single" w:color="E0E4EA" w:sz="1"/>
              <w:bottom w:val="single" w:color="E0E4EA" w:sz="1"/>
              <w:right w:val="single" w:color="E0E4EA" w:sz="1"/>
            </w:tcBorders>
            <w:shd w:fill="0D2B4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3</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Alerte dérive tarifaire : à la réception d'une offre de prix (DP/AO), comparer le prix proposé au prix moyen historique (3 dernières commandes). Afficher un badge d'alerte si écart &gt; seuil configuré.</w:t>
            </w:r>
          </w:p>
        </w:tc>
      </w:tr>
      <w:tr>
        <w:tc>
          <w:tcPr>
            <w:tcW w:type="dxa" w:w="800"/>
            <w:tcBorders>
              <w:top w:val="single" w:color="E0E4EA" w:sz="1"/>
              <w:left w:val="single" w:color="E0E4EA" w:sz="1"/>
              <w:bottom w:val="single" w:color="E0E4EA" w:sz="1"/>
              <w:right w:val="single" w:color="E0E4EA" w:sz="1"/>
            </w:tcBorders>
            <w:shd w:fill="1A6BAE" w:val="clear"/>
            <w:tcMar>
              <w:top w:type="dxa" w:w="80"/>
              <w:left w:type="dxa" w:w="80"/>
              <w:bottom w:type="dxa" w:w="80"/>
              <w:right w:type="dxa" w:w="80"/>
            </w:tcMar>
            <w:vAlign w:val="center"/>
          </w:tcPr>
          <w:p>
            <w:pPr>
              <w:spacing w:before="60" w:after="60" w:line="276"/>
              <w:jc w:val="center"/>
            </w:pPr>
            <w:r>
              <w:rPr>
                <w:rFonts w:ascii="Arial" w:cs="Arial" w:eastAsia="Arial" w:hAnsi="Arial"/>
                <w:b/>
                <w:bCs/>
                <w:i w:val="false"/>
                <w:iCs w:val="false"/>
                <w:color w:val="FFFFFF"/>
                <w:sz w:val="20"/>
                <w:szCs w:val="20"/>
              </w:rPr>
              <w:t xml:space="preserve">4</w:t>
            </w:r>
          </w:p>
        </w:tc>
        <w:tc>
          <w:tcPr>
            <w:tcW w:type="dxa" w:w="8226"/>
            <w:tcBorders>
              <w:top w:val="single" w:color="E0E4EA" w:sz="1"/>
              <w:left w:val="single" w:color="E0E4EA" w:sz="1"/>
              <w:bottom w:val="single" w:color="E0E4EA" w:sz="1"/>
              <w:right w:val="single" w:color="E0E4EA" w:sz="1"/>
            </w:tcBorders>
            <w:tcMar>
              <w:top w:type="dxa" w:w="80"/>
              <w:left w:type="dxa" w:w="150"/>
              <w:bottom w:type="dxa" w:w="80"/>
              <w:right w:type="dxa" w:w="120"/>
            </w:tcMar>
          </w:tcPr>
          <w:p>
            <w:pPr>
              <w:spacing w:before="60" w:after="60" w:line="276"/>
              <w:jc w:val="left"/>
            </w:pPr>
            <w:r>
              <w:rPr>
                <w:rFonts w:ascii="Arial" w:cs="Arial" w:eastAsia="Arial" w:hAnsi="Arial"/>
                <w:b w:val="false"/>
                <w:bCs w:val="false"/>
                <w:i w:val="false"/>
                <w:iCs w:val="false"/>
                <w:color w:val="1C2533"/>
                <w:sz w:val="19"/>
                <w:szCs w:val="19"/>
              </w:rPr>
              <w:t xml:space="preserve">Tableau de bord Achats Intelligence : top/flop fournisseurs du trimestre, articles avec les plus fortes dérives de prix, économies réalisées grâce aux alertes tarifaires.</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2B4E" w:val="clear"/>
            <w:tcMar>
              <w:top w:type="dxa" w:w="180"/>
              <w:left w:type="dxa" w:w="240"/>
              <w:bottom w:type="dxa" w:w="180"/>
              <w:right w:type="dxa" w:w="240"/>
            </w:tcMar>
          </w:tcPr>
          <w:p>
            <w:pPr>
              <w:spacing w:before="60" w:after="60" w:line="276"/>
              <w:jc w:val="left"/>
            </w:pPr>
            <w:r>
              <w:rPr>
                <w:rFonts w:ascii="Arial" w:cs="Arial" w:eastAsia="Arial" w:hAnsi="Arial"/>
                <w:b/>
                <w:bCs/>
                <w:i w:val="false"/>
                <w:iCs w:val="false"/>
                <w:color w:val="FFFFFF"/>
                <w:sz w:val="24"/>
                <w:szCs w:val="24"/>
              </w:rPr>
              <w:t xml:space="preserve">PARTIE 4  —  FEUILLE DE ROUTE COMPLÈTE 24 MOIS (2026-2027)</w:t>
            </w:r>
          </w:p>
        </w:tc>
      </w:tr>
    </w:tbl>
    <w:p>
      <w:pPr>
        <w:spacing w:before="120" w:after="0"/>
      </w:pPr>
      <w:r>
        <w:rPr>
          <w:rFonts w:ascii="Arial" w:cs="Arial" w:eastAsia="Arial" w:hAnsi="Arial"/>
          <w:b w:val="false"/>
          <w:bCs w:val="false"/>
          <w:i w:val="false"/>
          <w:iCs w:val="false"/>
          <w:color w:val="1C2533"/>
          <w:sz w:val="20"/>
          <w:szCs w:val="20"/>
        </w:rPr>
        <w:t xml:space="preserve"/>
      </w:r>
    </w:p>
    <w:p>
      <w:pPr>
        <w:pStyle w:val="Heading2"/>
        <w:pBdr>
          <w:bottom w:val="single" w:color="1A6BAE" w:sz="6" w:space="3"/>
        </w:pBdr>
        <w:spacing w:before="300" w:after="140"/>
      </w:pPr>
      <w:r>
        <w:rPr>
          <w:rFonts w:ascii="Arial" w:cs="Arial" w:eastAsia="Arial" w:hAnsi="Arial"/>
          <w:b/>
          <w:bCs/>
          <w:i w:val="false"/>
          <w:iCs w:val="false"/>
          <w:color w:val="1A6BAE"/>
          <w:sz w:val="27"/>
          <w:szCs w:val="27"/>
        </w:rPr>
        <w:t xml:space="preserve">4.1  Vision par phase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4000"/>
        <w:gridCol w:w="1826"/>
      </w:tblGrid>
      <w:tr>
        <w:tc>
          <w:tcPr>
            <w:tcW w:type="dxa" w:w="1400"/>
            <w:tcBorders>
              <w:top w:val="single" w:color="E0E4EA" w:sz="1"/>
              <w:left w:val="single" w:color="E0E4EA" w:sz="1"/>
              <w:bottom w:val="single" w:color="E0E4EA" w:sz="1"/>
              <w:right w:val="single" w:color="E0E4EA" w:sz="1"/>
            </w:tcBorders>
            <w:shd w:fill="0D2B4E"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FFFFFF"/>
                <w:sz w:val="19"/>
                <w:szCs w:val="19"/>
              </w:rPr>
              <w:t xml:space="preserve">Phase</w:t>
            </w:r>
          </w:p>
        </w:tc>
        <w:tc>
          <w:tcPr>
            <w:tcW w:type="dxa" w:w="1800"/>
            <w:tcBorders>
              <w:top w:val="single" w:color="E0E4EA" w:sz="1"/>
              <w:left w:val="single" w:color="E0E4EA" w:sz="1"/>
              <w:bottom w:val="single" w:color="E0E4EA" w:sz="1"/>
              <w:right w:val="single" w:color="E0E4EA" w:sz="1"/>
            </w:tcBorders>
            <w:shd w:fill="0D2B4E"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FFFFFF"/>
                <w:sz w:val="19"/>
                <w:szCs w:val="19"/>
              </w:rPr>
              <w:t xml:space="preserve">Période</w:t>
            </w:r>
          </w:p>
        </w:tc>
        <w:tc>
          <w:tcPr>
            <w:tcW w:type="dxa" w:w="4000"/>
            <w:tcBorders>
              <w:top w:val="single" w:color="E0E4EA" w:sz="1"/>
              <w:left w:val="single" w:color="E0E4EA" w:sz="1"/>
              <w:bottom w:val="single" w:color="E0E4EA" w:sz="1"/>
              <w:right w:val="single" w:color="E0E4EA" w:sz="1"/>
            </w:tcBorders>
            <w:shd w:fill="0D2B4E"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FFFFFF"/>
                <w:sz w:val="19"/>
                <w:szCs w:val="19"/>
              </w:rPr>
              <w:t xml:space="preserve">Fonctionnalités &amp; Objectif</w:t>
            </w:r>
          </w:p>
        </w:tc>
        <w:tc>
          <w:tcPr>
            <w:tcW w:type="dxa" w:w="1826"/>
            <w:tcBorders>
              <w:top w:val="single" w:color="E0E4EA" w:sz="1"/>
              <w:left w:val="single" w:color="E0E4EA" w:sz="1"/>
              <w:bottom w:val="single" w:color="E0E4EA" w:sz="1"/>
              <w:right w:val="single" w:color="E0E4EA" w:sz="1"/>
            </w:tcBorders>
            <w:shd w:fill="0D2B4E"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FFFFFF"/>
                <w:sz w:val="19"/>
                <w:szCs w:val="19"/>
              </w:rPr>
              <w:t xml:space="preserve">Résultat attendu</w:t>
            </w:r>
          </w:p>
        </w:tc>
      </w:tr>
      <w:tr>
        <w:tc>
          <w:tcPr>
            <w:tcW w:type="dxa" w:w="1400"/>
            <w:tcBorders>
              <w:top w:val="single" w:color="E0E4EA" w:sz="1"/>
              <w:left w:val="single" w:color="E0E4EA" w:sz="1"/>
              <w:bottom w:val="single" w:color="E0E4EA" w:sz="1"/>
              <w:right w:val="single" w:color="E0E4EA" w:sz="1"/>
            </w:tcBorders>
            <w:shd w:fill="1B6B35" w:val="clear"/>
            <w:tcMar>
              <w:top w:type="dxa" w:w="120"/>
              <w:left w:type="dxa" w:w="100"/>
              <w:bottom w:type="dxa" w:w="120"/>
              <w:right w:type="dxa" w:w="100"/>
            </w:tcMar>
            <w:vAlign w:val="center"/>
          </w:tcPr>
          <w:p>
            <w:pPr>
              <w:spacing w:before="60" w:after="60" w:line="276"/>
              <w:jc w:val="center"/>
            </w:pPr>
            <w:r>
              <w:rPr>
                <w:rFonts w:ascii="Arial" w:cs="Arial" w:eastAsia="Arial" w:hAnsi="Arial"/>
                <w:b/>
                <w:bCs/>
                <w:i w:val="false"/>
                <w:iCs w:val="false"/>
                <w:color w:val="FFFFFF"/>
                <w:sz w:val="22"/>
                <w:szCs w:val="22"/>
              </w:rPr>
              <w:t xml:space="preserve">PHASE 1</w:t>
            </w:r>
            <w:r>
              <w:rPr>
                <w:rFonts w:ascii="Arial" w:cs="Arial" w:eastAsia="Arial" w:hAnsi="Arial"/>
                <w:b w:val="false"/>
                <w:bCs w:val="false"/>
                <w:i w:val="false"/>
                <w:iCs w:val="false"/>
                <w:color w:val="E3F4E9"/>
                <w:sz w:val="18"/>
                <w:szCs w:val="18"/>
              </w:rPr>
              <w:t xml:space="preserve">
Q2–Q3 2026</w:t>
            </w:r>
          </w:p>
        </w:tc>
        <w:tc>
          <w:tcPr>
            <w:tcW w:type="dxa" w:w="1800"/>
            <w:tcBorders>
              <w:top w:val="single" w:color="E0E4EA" w:sz="1"/>
              <w:left w:val="single" w:color="E0E4EA" w:sz="1"/>
              <w:bottom w:val="single" w:color="E0E4EA" w:sz="1"/>
              <w:right w:val="single" w:color="E0E4EA" w:sz="1"/>
            </w:tcBorders>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9"/>
                <w:szCs w:val="19"/>
              </w:rPr>
              <w:t xml:space="preserve">Mois 1 — 6</w:t>
            </w:r>
          </w:p>
        </w:tc>
        <w:tc>
          <w:tcPr>
            <w:tcW w:type="dxa" w:w="4000"/>
            <w:tcBorders>
              <w:top w:val="single" w:color="E0E4EA" w:sz="1"/>
              <w:left w:val="single" w:color="E0E4EA" w:sz="1"/>
              <w:bottom w:val="single" w:color="E0E4EA" w:sz="1"/>
              <w:right w:val="single" w:color="E0E4EA" w:sz="1"/>
            </w:tcBorders>
            <w:tcMar>
              <w:top w:type="dxa" w:w="100"/>
              <w:left w:type="dxa" w:w="150"/>
              <w:bottom w:type="dxa" w:w="100"/>
              <w:right w:type="dxa" w:w="120"/>
            </w:tcMar>
          </w:tcPr>
          <w:p>
            <w:pPr>
              <w:spacing w:before="40" w:after="40" w:line="276"/>
              <w:jc w:val="left"/>
            </w:pPr>
            <w:r>
              <w:rPr>
                <w:rFonts w:ascii="Arial" w:cs="Arial" w:eastAsia="Arial" w:hAnsi="Arial"/>
                <w:b/>
                <w:bCs/>
                <w:i w:val="false"/>
                <w:iCs w:val="false"/>
                <w:color w:val="0D2B4E"/>
                <w:sz w:val="18"/>
                <w:szCs w:val="18"/>
              </w:rPr>
              <w:t xml:space="preserve">CONSOLIDÉS : </w:t>
            </w:r>
            <w:r>
              <w:rPr>
                <w:rFonts w:ascii="Arial" w:cs="Arial" w:eastAsia="Arial" w:hAnsi="Arial"/>
                <w:b w:val="false"/>
                <w:bCs w:val="false"/>
                <w:i w:val="false"/>
                <w:iCs w:val="false"/>
                <w:color w:val="1C2533"/>
                <w:sz w:val="18"/>
                <w:szCs w:val="18"/>
              </w:rPr>
              <w:t xml:space="preserve">F01 · F02 · F04 · F06 · F10 · F15 · F16 · F20</w:t>
            </w:r>
          </w:p>
          <w:p>
            <w:pPr>
              <w:spacing w:before="40" w:after="40" w:line="276"/>
              <w:jc w:val="left"/>
            </w:pPr>
            <w:r>
              <w:rPr>
                <w:rFonts w:ascii="Arial" w:cs="Arial" w:eastAsia="Arial" w:hAnsi="Arial"/>
                <w:b/>
                <w:bCs/>
                <w:i w:val="false"/>
                <w:iCs w:val="false"/>
                <w:color w:val="0E7C7B"/>
                <w:sz w:val="18"/>
                <w:szCs w:val="18"/>
              </w:rPr>
              <w:t xml:space="preserve">ENRICHIS : </w:t>
            </w:r>
            <w:r>
              <w:rPr>
                <w:rFonts w:ascii="Arial" w:cs="Arial" w:eastAsia="Arial" w:hAnsi="Arial"/>
                <w:b w:val="false"/>
                <w:bCs w:val="false"/>
                <w:i w:val="false"/>
                <w:iCs w:val="false"/>
                <w:color w:val="1C2533"/>
                <w:sz w:val="18"/>
                <w:szCs w:val="18"/>
              </w:rPr>
              <w:t xml:space="preserve">F28 (Mobile-First) · F29 (Onboarding)</w:t>
            </w:r>
          </w:p>
          <w:p>
            <w:pPr>
              <w:spacing w:before="40" w:after="60" w:line="276"/>
              <w:jc w:val="left"/>
            </w:pPr>
            <w:r>
              <w:rPr>
                <w:rFonts w:ascii="Arial" w:cs="Arial" w:eastAsia="Arial" w:hAnsi="Arial"/>
                <w:b w:val="false"/>
                <w:bCs w:val="false"/>
                <w:i/>
                <w:iCs/>
                <w:color w:val="8C96A3"/>
                <w:sz w:val="17"/>
                <w:szCs w:val="17"/>
              </w:rPr>
              <w:t xml:space="preserve">Objectif : Adoption maximale — techniciens terrain équipés, données de base saisies, PM lancées</w:t>
            </w:r>
          </w:p>
        </w:tc>
        <w:tc>
          <w:tcPr>
            <w:tcW w:type="dxa" w:w="1826"/>
            <w:tcBorders>
              <w:top w:val="single" w:color="E0E4EA" w:sz="1"/>
              <w:left w:val="single" w:color="E0E4EA" w:sz="1"/>
              <w:bottom w:val="single" w:color="E0E4EA" w:sz="1"/>
              <w:right w:val="single" w:color="E0E4EA" w:sz="1"/>
            </w:tcBorders>
            <w:shd w:fill="E3F4E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+60% adoption mobile
+40% réduction temps création BT
Premiers clients satisfaits</w:t>
            </w:r>
          </w:p>
        </w:tc>
      </w:tr>
      <w:tr>
        <w:tc>
          <w:tcPr>
            <w:tcW w:type="dxa" w:w="1400"/>
            <w:tcBorders>
              <w:top w:val="single" w:color="E0E4EA" w:sz="1"/>
              <w:left w:val="single" w:color="E0E4EA" w:sz="1"/>
              <w:bottom w:val="single" w:color="E0E4EA" w:sz="1"/>
              <w:right w:val="single" w:color="E0E4EA" w:sz="1"/>
            </w:tcBorders>
            <w:shd w:fill="1A6BAE" w:val="clear"/>
            <w:tcMar>
              <w:top w:type="dxa" w:w="120"/>
              <w:left w:type="dxa" w:w="100"/>
              <w:bottom w:type="dxa" w:w="120"/>
              <w:right w:type="dxa" w:w="100"/>
            </w:tcMar>
            <w:vAlign w:val="center"/>
          </w:tcPr>
          <w:p>
            <w:pPr>
              <w:spacing w:before="60" w:after="60" w:line="276"/>
              <w:jc w:val="center"/>
            </w:pPr>
            <w:r>
              <w:rPr>
                <w:rFonts w:ascii="Arial" w:cs="Arial" w:eastAsia="Arial" w:hAnsi="Arial"/>
                <w:b/>
                <w:bCs/>
                <w:i w:val="false"/>
                <w:iCs w:val="false"/>
                <w:color w:val="FFFFFF"/>
                <w:sz w:val="22"/>
                <w:szCs w:val="22"/>
              </w:rPr>
              <w:t xml:space="preserve">PHASE 2</w:t>
            </w:r>
            <w:r>
              <w:rPr>
                <w:rFonts w:ascii="Arial" w:cs="Arial" w:eastAsia="Arial" w:hAnsi="Arial"/>
                <w:b w:val="false"/>
                <w:bCs w:val="false"/>
                <w:i w:val="false"/>
                <w:iCs w:val="false"/>
                <w:color w:val="D6E8F7"/>
                <w:sz w:val="18"/>
                <w:szCs w:val="18"/>
              </w:rPr>
              <w:t xml:space="preserve">
Q4 2026 – Q1 2027</w:t>
            </w:r>
          </w:p>
        </w:tc>
        <w:tc>
          <w:tcPr>
            <w:tcW w:type="dxa" w:w="1800"/>
            <w:tcBorders>
              <w:top w:val="single" w:color="E0E4EA" w:sz="1"/>
              <w:left w:val="single" w:color="E0E4EA" w:sz="1"/>
              <w:bottom w:val="single" w:color="E0E4EA" w:sz="1"/>
              <w:right w:val="single" w:color="E0E4EA" w:sz="1"/>
            </w:tcBorders>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9"/>
                <w:szCs w:val="19"/>
              </w:rPr>
              <w:t xml:space="preserve">Mois 7 — 14</w:t>
            </w:r>
          </w:p>
        </w:tc>
        <w:tc>
          <w:tcPr>
            <w:tcW w:type="dxa" w:w="4000"/>
            <w:tcBorders>
              <w:top w:val="single" w:color="E0E4EA" w:sz="1"/>
              <w:left w:val="single" w:color="E0E4EA" w:sz="1"/>
              <w:bottom w:val="single" w:color="E0E4EA" w:sz="1"/>
              <w:right w:val="single" w:color="E0E4EA" w:sz="1"/>
            </w:tcBorders>
            <w:tcMar>
              <w:top w:type="dxa" w:w="100"/>
              <w:left w:type="dxa" w:w="150"/>
              <w:bottom w:type="dxa" w:w="100"/>
              <w:right w:type="dxa" w:w="120"/>
            </w:tcMar>
          </w:tcPr>
          <w:p>
            <w:pPr>
              <w:spacing w:before="40" w:after="40" w:line="276"/>
              <w:jc w:val="left"/>
            </w:pPr>
            <w:r>
              <w:rPr>
                <w:rFonts w:ascii="Arial" w:cs="Arial" w:eastAsia="Arial" w:hAnsi="Arial"/>
                <w:b/>
                <w:bCs/>
                <w:i w:val="false"/>
                <w:iCs w:val="false"/>
                <w:color w:val="0D2B4E"/>
                <w:sz w:val="18"/>
                <w:szCs w:val="18"/>
              </w:rPr>
              <w:t xml:space="preserve">CONSOLIDÉS : </w:t>
            </w:r>
            <w:r>
              <w:rPr>
                <w:rFonts w:ascii="Arial" w:cs="Arial" w:eastAsia="Arial" w:hAnsi="Arial"/>
                <w:b w:val="false"/>
                <w:bCs w:val="false"/>
                <w:i w:val="false"/>
                <w:iCs w:val="false"/>
                <w:color w:val="1C2533"/>
                <w:sz w:val="18"/>
                <w:szCs w:val="18"/>
              </w:rPr>
              <w:t xml:space="preserve">F03 · F07 · F08 · F09 · F13 · F14 · F17 · F18 · F19 · F21 · F22 · F24 · F25</w:t>
            </w:r>
          </w:p>
          <w:p>
            <w:pPr>
              <w:spacing w:before="40" w:after="40" w:line="276"/>
              <w:jc w:val="left"/>
            </w:pPr>
            <w:r>
              <w:rPr>
                <w:rFonts w:ascii="Arial" w:cs="Arial" w:eastAsia="Arial" w:hAnsi="Arial"/>
                <w:b/>
                <w:bCs/>
                <w:i w:val="false"/>
                <w:iCs w:val="false"/>
                <w:color w:val="0E7C7B"/>
                <w:sz w:val="18"/>
                <w:szCs w:val="18"/>
              </w:rPr>
              <w:t xml:space="preserve">ENRICHIS : </w:t>
            </w:r>
            <w:r>
              <w:rPr>
                <w:rFonts w:ascii="Arial" w:cs="Arial" w:eastAsia="Arial" w:hAnsi="Arial"/>
                <w:b w:val="false"/>
                <w:bCs w:val="false"/>
                <w:i w:val="false"/>
                <w:iCs w:val="false"/>
                <w:color w:val="1C2533"/>
                <w:sz w:val="18"/>
                <w:szCs w:val="18"/>
              </w:rPr>
              <w:t xml:space="preserve">F30 (Chatbot IA)</w:t>
            </w:r>
          </w:p>
          <w:p>
            <w:pPr>
              <w:spacing w:before="40" w:after="40" w:line="276"/>
              <w:jc w:val="left"/>
            </w:pPr>
            <w:r>
              <w:rPr>
                <w:rFonts w:ascii="Arial" w:cs="Arial" w:eastAsia="Arial" w:hAnsi="Arial"/>
                <w:b/>
                <w:bCs/>
                <w:i w:val="false"/>
                <w:iCs w:val="false"/>
                <w:color w:val="5E1A8A"/>
                <w:sz w:val="18"/>
                <w:szCs w:val="18"/>
              </w:rPr>
              <w:t xml:space="preserve">NOUVEAUX : </w:t>
            </w:r>
            <w:r>
              <w:rPr>
                <w:rFonts w:ascii="Arial" w:cs="Arial" w:eastAsia="Arial" w:hAnsi="Arial"/>
                <w:b w:val="false"/>
                <w:bCs w:val="false"/>
                <w:i w:val="false"/>
                <w:iCs w:val="false"/>
                <w:color w:val="1C2533"/>
                <w:sz w:val="18"/>
                <w:szCs w:val="18"/>
              </w:rPr>
              <w:t xml:space="preserve">F31 · F32 · F33 · F34 · F36 · F37 · F38 · F40 · F41</w:t>
            </w:r>
          </w:p>
          <w:p>
            <w:pPr>
              <w:spacing w:before="40" w:after="60" w:line="276"/>
              <w:jc w:val="left"/>
            </w:pPr>
            <w:r>
              <w:rPr>
                <w:rFonts w:ascii="Arial" w:cs="Arial" w:eastAsia="Arial" w:hAnsi="Arial"/>
                <w:b w:val="false"/>
                <w:bCs w:val="false"/>
                <w:i/>
                <w:iCs/>
                <w:color w:val="8C96A3"/>
                <w:sz w:val="17"/>
                <w:szCs w:val="17"/>
              </w:rPr>
              <w:t xml:space="preserve">Objectif : Consolidation analytique, conformité, écosystème partenaires</w:t>
            </w:r>
          </w:p>
        </w:tc>
        <w:tc>
          <w:tcPr>
            <w:tcW w:type="dxa" w:w="1826"/>
            <w:tcBorders>
              <w:top w:val="single" w:color="E0E4EA" w:sz="1"/>
              <w:left w:val="single" w:color="E0E4EA" w:sz="1"/>
              <w:bottom w:val="single" w:color="E0E4EA" w:sz="1"/>
              <w:right w:val="single" w:color="E0E4EA" w:sz="1"/>
            </w:tcBorders>
            <w:shd w:fill="D6E8F7"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Score fonctionnel 9/10
Ouverture marché institutionnel
Premiers prestataires sur marketplace</w:t>
            </w:r>
          </w:p>
        </w:tc>
      </w:tr>
      <w:tr>
        <w:tc>
          <w:tcPr>
            <w:tcW w:type="dxa" w:w="1400"/>
            <w:tcBorders>
              <w:top w:val="single" w:color="E0E4EA" w:sz="1"/>
              <w:left w:val="single" w:color="E0E4EA" w:sz="1"/>
              <w:bottom w:val="single" w:color="E0E4EA" w:sz="1"/>
              <w:right w:val="single" w:color="E0E4EA" w:sz="1"/>
            </w:tcBorders>
            <w:shd w:fill="D4600A" w:val="clear"/>
            <w:tcMar>
              <w:top w:type="dxa" w:w="120"/>
              <w:left w:type="dxa" w:w="100"/>
              <w:bottom w:type="dxa" w:w="120"/>
              <w:right w:type="dxa" w:w="100"/>
            </w:tcMar>
            <w:vAlign w:val="center"/>
          </w:tcPr>
          <w:p>
            <w:pPr>
              <w:spacing w:before="60" w:after="60" w:line="276"/>
              <w:jc w:val="center"/>
            </w:pPr>
            <w:r>
              <w:rPr>
                <w:rFonts w:ascii="Arial" w:cs="Arial" w:eastAsia="Arial" w:hAnsi="Arial"/>
                <w:b/>
                <w:bCs/>
                <w:i w:val="false"/>
                <w:iCs w:val="false"/>
                <w:color w:val="FFFFFF"/>
                <w:sz w:val="22"/>
                <w:szCs w:val="22"/>
              </w:rPr>
              <w:t xml:space="preserve">PHASE 3</w:t>
            </w:r>
            <w:r>
              <w:rPr>
                <w:rFonts w:ascii="Arial" w:cs="Arial" w:eastAsia="Arial" w:hAnsi="Arial"/>
                <w:b w:val="false"/>
                <w:bCs w:val="false"/>
                <w:i w:val="false"/>
                <w:iCs w:val="false"/>
                <w:color w:val="FDF0E6"/>
                <w:sz w:val="18"/>
                <w:szCs w:val="18"/>
              </w:rPr>
              <w:t xml:space="preserve">
Q2–Q4 2027</w:t>
            </w:r>
          </w:p>
        </w:tc>
        <w:tc>
          <w:tcPr>
            <w:tcW w:type="dxa" w:w="1800"/>
            <w:tcBorders>
              <w:top w:val="single" w:color="E0E4EA" w:sz="1"/>
              <w:left w:val="single" w:color="E0E4EA" w:sz="1"/>
              <w:bottom w:val="single" w:color="E0E4EA" w:sz="1"/>
              <w:right w:val="single" w:color="E0E4EA" w:sz="1"/>
            </w:tcBorders>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9"/>
                <w:szCs w:val="19"/>
              </w:rPr>
              <w:t xml:space="preserve">Mois 15 — 24</w:t>
            </w:r>
          </w:p>
        </w:tc>
        <w:tc>
          <w:tcPr>
            <w:tcW w:type="dxa" w:w="4000"/>
            <w:tcBorders>
              <w:top w:val="single" w:color="E0E4EA" w:sz="1"/>
              <w:left w:val="single" w:color="E0E4EA" w:sz="1"/>
              <w:bottom w:val="single" w:color="E0E4EA" w:sz="1"/>
              <w:right w:val="single" w:color="E0E4EA" w:sz="1"/>
            </w:tcBorders>
            <w:tcMar>
              <w:top w:type="dxa" w:w="100"/>
              <w:left w:type="dxa" w:w="150"/>
              <w:bottom w:type="dxa" w:w="100"/>
              <w:right w:type="dxa" w:w="120"/>
            </w:tcMar>
          </w:tcPr>
          <w:p>
            <w:pPr>
              <w:spacing w:before="40" w:after="40" w:line="276"/>
              <w:jc w:val="left"/>
            </w:pPr>
            <w:r>
              <w:rPr>
                <w:rFonts w:ascii="Arial" w:cs="Arial" w:eastAsia="Arial" w:hAnsi="Arial"/>
                <w:b/>
                <w:bCs/>
                <w:i w:val="false"/>
                <w:iCs w:val="false"/>
                <w:color w:val="0D2B4E"/>
                <w:sz w:val="18"/>
                <w:szCs w:val="18"/>
              </w:rPr>
              <w:t xml:space="preserve">CONSOLIDÉS : </w:t>
            </w:r>
            <w:r>
              <w:rPr>
                <w:rFonts w:ascii="Arial" w:cs="Arial" w:eastAsia="Arial" w:hAnsi="Arial"/>
                <w:b w:val="false"/>
                <w:bCs w:val="false"/>
                <w:i w:val="false"/>
                <w:iCs w:val="false"/>
                <w:color w:val="1C2533"/>
                <w:sz w:val="18"/>
                <w:szCs w:val="18"/>
              </w:rPr>
              <w:t xml:space="preserve">F05 · F11 · F12 · F23 · F26 · F27</w:t>
            </w:r>
          </w:p>
          <w:p>
            <w:pPr>
              <w:spacing w:before="40" w:after="40" w:line="276"/>
              <w:jc w:val="left"/>
            </w:pPr>
            <w:r>
              <w:rPr>
                <w:rFonts w:ascii="Arial" w:cs="Arial" w:eastAsia="Arial" w:hAnsi="Arial"/>
                <w:b/>
                <w:bCs/>
                <w:i w:val="false"/>
                <w:iCs w:val="false"/>
                <w:color w:val="5E1A8A"/>
                <w:sz w:val="18"/>
                <w:szCs w:val="18"/>
              </w:rPr>
              <w:t xml:space="preserve">NOUVEAUX STRATÉGIQUES : </w:t>
            </w:r>
            <w:r>
              <w:rPr>
                <w:rFonts w:ascii="Arial" w:cs="Arial" w:eastAsia="Arial" w:hAnsi="Arial"/>
                <w:b w:val="false"/>
                <w:bCs w:val="false"/>
                <w:i w:val="false"/>
                <w:iCs w:val="false"/>
                <w:color w:val="1C2533"/>
                <w:sz w:val="18"/>
                <w:szCs w:val="18"/>
              </w:rPr>
              <w:t xml:space="preserve">F35 (Digital Twin) · F39 (CBM) · F42 (Scoring Fournisseurs)</w:t>
            </w:r>
          </w:p>
          <w:p>
            <w:pPr>
              <w:spacing w:before="40" w:after="60" w:line="276"/>
              <w:jc w:val="left"/>
            </w:pPr>
            <w:r>
              <w:rPr>
                <w:rFonts w:ascii="Arial" w:cs="Arial" w:eastAsia="Arial" w:hAnsi="Arial"/>
                <w:b w:val="false"/>
                <w:bCs w:val="false"/>
                <w:i/>
                <w:iCs/>
                <w:color w:val="8C96A3"/>
                <w:sz w:val="17"/>
                <w:szCs w:val="17"/>
              </w:rPr>
              <w:t xml:space="preserve">Objectif : Leadership technologique, différenciation IA, expansion internationale</w:t>
            </w:r>
          </w:p>
        </w:tc>
        <w:tc>
          <w:tcPr>
            <w:tcW w:type="dxa" w:w="1826"/>
            <w:tcBorders>
              <w:top w:val="single" w:color="E0E4EA" w:sz="1"/>
              <w:left w:val="single" w:color="E0E4EA" w:sz="1"/>
              <w:bottom w:val="single" w:color="E0E4EA" w:sz="1"/>
              <w:right w:val="single" w:color="E0E4EA" w:sz="1"/>
            </w:tcBorders>
            <w:shd w:fill="FDF0E6"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Position de leader GMAO Afrique
Expansion Moyen-Orient &amp; Lusophone
Score 9.5/10</w:t>
            </w:r>
          </w:p>
        </w:tc>
      </w:tr>
    </w:tbl>
    <w:p>
      <w:pPr>
        <w:spacing w:before="160" w:after="0"/>
      </w:pPr>
      <w:r>
        <w:rPr>
          <w:rFonts w:ascii="Arial" w:cs="Arial" w:eastAsia="Arial" w:hAnsi="Arial"/>
          <w:b w:val="false"/>
          <w:bCs w:val="false"/>
          <w:i w:val="false"/>
          <w:iCs w:val="false"/>
          <w:color w:val="1C2533"/>
          <w:sz w:val="20"/>
          <w:szCs w:val="20"/>
        </w:rPr>
        <w:t xml:space="preserve"/>
      </w:r>
    </w:p>
    <w:p>
      <w:pPr>
        <w:pStyle w:val="Heading2"/>
        <w:pBdr>
          <w:bottom w:val="single" w:color="1A6BAE" w:sz="6" w:space="3"/>
        </w:pBdr>
        <w:spacing w:before="300" w:after="140"/>
      </w:pPr>
      <w:r>
        <w:rPr>
          <w:rFonts w:ascii="Arial" w:cs="Arial" w:eastAsia="Arial" w:hAnsi="Arial"/>
          <w:b/>
          <w:bCs/>
          <w:i w:val="false"/>
          <w:iCs w:val="false"/>
          <w:color w:val="1A6BAE"/>
          <w:sz w:val="27"/>
          <w:szCs w:val="27"/>
        </w:rPr>
        <w:t xml:space="preserve">4.2  Matrice Impact / Effort — Priorisation fine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A6BAE" w:sz="24"/>
              <w:bottom w:val="none" w:color="FFFFFF" w:sz="0"/>
              <w:right w:val="none" w:color="FFFFFF" w:sz="0"/>
            </w:tcBorders>
            <w:shd w:fill="D6E8F7" w:val="clear"/>
            <w:tcMar>
              <w:top w:type="dxa" w:w="100"/>
              <w:left w:type="dxa" w:w="200"/>
              <w:bottom w:type="dxa" w:w="100"/>
              <w:right w:type="dxa" w:w="140"/>
            </w:tcMar>
          </w:tcPr>
          <w:p>
            <w:pPr>
              <w:spacing w:before="30" w:after="30" w:line="276"/>
              <w:jc w:val="left"/>
            </w:pPr>
            <w:r>
              <w:rPr>
                <w:rFonts w:ascii="Arial" w:cs="Arial" w:eastAsia="Arial" w:hAnsi="Arial"/>
                <w:b w:val="false"/>
                <w:bCs w:val="false"/>
                <w:i/>
                <w:iCs/>
                <w:color w:val="1C2533"/>
                <w:sz w:val="20"/>
                <w:szCs w:val="20"/>
              </w:rPr>
              <w:t xml:space="preserve">Lecture : Les fonctionnalités en haut à gauche (fort impact, effort faible) sont à prioriser absolument. Les fonctionnalités en bas à droite (faible impact, effort élevé) sont à reconsidérer ou à planifier très long terme.</w:t>
            </w:r>
          </w:p>
        </w:tc>
      </w:tr>
    </w:tbl>
    <w:p>
      <w:pPr>
        <w:spacing w:before="100" w:after="0"/>
      </w:pPr>
      <w:r>
        <w:rPr>
          <w:rFonts w:ascii="Arial" w:cs="Arial" w:eastAsia="Arial" w:hAnsi="Arial"/>
          <w:b w:val="false"/>
          <w:bCs w:val="false"/>
          <w:i w:val="false"/>
          <w:iCs w:val="false"/>
          <w:color w:val="1C2533"/>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9"/>
                <w:szCs w:val="19"/>
              </w:rPr>
              <w:t xml:space="preserve"/>
            </w:r>
          </w:p>
        </w:tc>
        <w:tc>
          <w:tcPr>
            <w:tcW w:type="dxa" w:w="2256"/>
            <w:tcBorders>
              <w:top w:val="single" w:color="E0E4EA" w:sz="1"/>
              <w:left w:val="single" w:color="E0E4EA" w:sz="1"/>
              <w:bottom w:val="single" w:color="E0E4EA" w:sz="1"/>
              <w:right w:val="single" w:color="E0E4EA" w:sz="1"/>
            </w:tcBorders>
            <w:shd w:fill="1B6B35" w:val="clear"/>
            <w:tcMar>
              <w:top w:type="dxa" w:w="80"/>
              <w:left w:type="dxa" w:w="130"/>
              <w:bottom w:type="dxa" w:w="80"/>
              <w:right w:type="dxa" w:w="130"/>
            </w:tcMar>
            <w:vAlign w:val="top"/>
          </w:tcPr>
          <w:p>
            <w:pPr>
              <w:spacing w:before="60" w:after="60" w:line="276"/>
              <w:jc w:val="center"/>
            </w:pPr>
            <w:r>
              <w:rPr>
                <w:rFonts w:ascii="Arial" w:cs="Arial" w:eastAsia="Arial" w:hAnsi="Arial"/>
                <w:b/>
                <w:bCs/>
                <w:i w:val="false"/>
                <w:iCs w:val="false"/>
                <w:color w:val="FFFFFF"/>
                <w:sz w:val="19"/>
                <w:szCs w:val="19"/>
              </w:rPr>
              <w:t xml:space="preserve">Effort FAIBLE</w:t>
            </w:r>
          </w:p>
        </w:tc>
        <w:tc>
          <w:tcPr>
            <w:tcW w:type="dxa" w:w="2256"/>
            <w:tcBorders>
              <w:top w:val="single" w:color="E0E4EA" w:sz="1"/>
              <w:left w:val="single" w:color="E0E4EA" w:sz="1"/>
              <w:bottom w:val="single" w:color="E0E4EA" w:sz="1"/>
              <w:right w:val="single" w:color="E0E4EA" w:sz="1"/>
            </w:tcBorders>
            <w:shd w:fill="1A6BAE" w:val="clear"/>
            <w:tcMar>
              <w:top w:type="dxa" w:w="80"/>
              <w:left w:type="dxa" w:w="130"/>
              <w:bottom w:type="dxa" w:w="80"/>
              <w:right w:type="dxa" w:w="130"/>
            </w:tcMar>
            <w:vAlign w:val="top"/>
          </w:tcPr>
          <w:p>
            <w:pPr>
              <w:spacing w:before="60" w:after="60" w:line="276"/>
              <w:jc w:val="center"/>
            </w:pPr>
            <w:r>
              <w:rPr>
                <w:rFonts w:ascii="Arial" w:cs="Arial" w:eastAsia="Arial" w:hAnsi="Arial"/>
                <w:b/>
                <w:bCs/>
                <w:i w:val="false"/>
                <w:iCs w:val="false"/>
                <w:color w:val="FFFFFF"/>
                <w:sz w:val="19"/>
                <w:szCs w:val="19"/>
              </w:rPr>
              <w:t xml:space="preserve">Effort MOYEN</w:t>
            </w:r>
          </w:p>
        </w:tc>
        <w:tc>
          <w:tcPr>
            <w:tcW w:type="dxa" w:w="2258"/>
            <w:tcBorders>
              <w:top w:val="single" w:color="E0E4EA" w:sz="1"/>
              <w:left w:val="single" w:color="E0E4EA" w:sz="1"/>
              <w:bottom w:val="single" w:color="E0E4EA" w:sz="1"/>
              <w:right w:val="single" w:color="E0E4EA" w:sz="1"/>
            </w:tcBorders>
            <w:shd w:fill="D4600A" w:val="clear"/>
            <w:tcMar>
              <w:top w:type="dxa" w:w="80"/>
              <w:left w:type="dxa" w:w="130"/>
              <w:bottom w:type="dxa" w:w="80"/>
              <w:right w:type="dxa" w:w="130"/>
            </w:tcMar>
            <w:vAlign w:val="top"/>
          </w:tcPr>
          <w:p>
            <w:pPr>
              <w:spacing w:before="60" w:after="60" w:line="276"/>
              <w:jc w:val="center"/>
            </w:pPr>
            <w:r>
              <w:rPr>
                <w:rFonts w:ascii="Arial" w:cs="Arial" w:eastAsia="Arial" w:hAnsi="Arial"/>
                <w:b/>
                <w:bCs/>
                <w:i w:val="false"/>
                <w:iCs w:val="false"/>
                <w:color w:val="FFFFFF"/>
                <w:sz w:val="19"/>
                <w:szCs w:val="19"/>
              </w:rPr>
              <w:t xml:space="preserve">Effort ÉLEVÉ</w:t>
            </w:r>
          </w:p>
        </w:tc>
      </w:tr>
      <w:tr>
        <w:tc>
          <w:tcPr>
            <w:tcW w:type="dxa" w:w="2256"/>
            <w:tcBorders>
              <w:top w:val="single" w:color="E0E4EA" w:sz="1"/>
              <w:left w:val="single" w:color="E0E4EA" w:sz="1"/>
              <w:bottom w:val="single" w:color="E0E4EA" w:sz="1"/>
              <w:right w:val="single" w:color="E0E4EA" w:sz="1"/>
            </w:tcBorders>
            <w:shd w:fill="B71C1C" w:val="clear"/>
            <w:tcMar>
              <w:top w:type="dxa" w:w="80"/>
              <w:left w:type="dxa" w:w="130"/>
              <w:bottom w:type="dxa" w:w="80"/>
              <w:right w:type="dxa" w:w="130"/>
            </w:tcMar>
            <w:vAlign w:val="top"/>
          </w:tcPr>
          <w:p>
            <w:pPr>
              <w:spacing w:before="60" w:after="60" w:line="276"/>
              <w:jc w:val="center"/>
            </w:pPr>
            <w:r>
              <w:rPr>
                <w:rFonts w:ascii="Arial" w:cs="Arial" w:eastAsia="Arial" w:hAnsi="Arial"/>
                <w:b/>
                <w:bCs/>
                <w:i w:val="false"/>
                <w:iCs w:val="false"/>
                <w:color w:val="FFFFFF"/>
                <w:sz w:val="19"/>
                <w:szCs w:val="19"/>
              </w:rPr>
              <w:t xml:space="preserve">Impact FORT</w:t>
            </w:r>
          </w:p>
        </w:tc>
        <w:tc>
          <w:tcPr>
            <w:tcW w:type="dxa" w:w="2256"/>
            <w:tcBorders>
              <w:top w:val="single" w:color="E0E4EA" w:sz="1"/>
              <w:left w:val="single" w:color="E0E4EA" w:sz="1"/>
              <w:bottom w:val="single" w:color="E0E4EA" w:sz="1"/>
              <w:right w:val="single" w:color="E0E4EA" w:sz="1"/>
            </w:tcBorders>
            <w:shd w:fill="E3F4E9"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1C2533"/>
                <w:sz w:val="17"/>
                <w:szCs w:val="17"/>
              </w:rPr>
              <w:t xml:space="preserve">⭐ QUICK WINS
F02, F10, F29, F36, F40</w:t>
            </w:r>
          </w:p>
        </w:tc>
        <w:tc>
          <w:tcPr>
            <w:tcW w:type="dxa" w:w="2256"/>
            <w:tcBorders>
              <w:top w:val="single" w:color="E0E4EA" w:sz="1"/>
              <w:left w:val="single" w:color="E0E4EA" w:sz="1"/>
              <w:bottom w:val="single" w:color="E0E4EA" w:sz="1"/>
              <w:right w:val="single" w:color="E0E4EA" w:sz="1"/>
            </w:tcBorders>
            <w:shd w:fill="D6E8F7"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1C2533"/>
                <w:sz w:val="17"/>
                <w:szCs w:val="17"/>
              </w:rPr>
              <w:t xml:space="preserve">🎯 STRATÉGIQUES
F01, F06, F15, F16, F17, F28, F31, F32, F33, F34, F38, F41</w:t>
            </w:r>
          </w:p>
        </w:tc>
        <w:tc>
          <w:tcPr>
            <w:tcW w:type="dxa" w:w="2258"/>
            <w:tcBorders>
              <w:top w:val="single" w:color="E0E4EA" w:sz="1"/>
              <w:left w:val="single" w:color="E0E4EA" w:sz="1"/>
              <w:bottom w:val="single" w:color="E0E4EA" w:sz="1"/>
              <w:right w:val="single" w:color="E0E4EA" w:sz="1"/>
            </w:tcBorders>
            <w:shd w:fill="FDF0E6"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1C2533"/>
                <w:sz w:val="17"/>
                <w:szCs w:val="17"/>
              </w:rPr>
              <w:t xml:space="preserve">🚀 INVESTISSEMENTS MAJEURS
F05, F12, F30, F35, F39</w:t>
            </w:r>
          </w:p>
        </w:tc>
      </w:tr>
      <w:tr>
        <w:tc>
          <w:tcPr>
            <w:tcW w:type="dxa" w:w="2256"/>
            <w:tcBorders>
              <w:top w:val="single" w:color="E0E4EA" w:sz="1"/>
              <w:left w:val="single" w:color="E0E4EA" w:sz="1"/>
              <w:bottom w:val="single" w:color="E0E4EA" w:sz="1"/>
              <w:right w:val="single" w:color="E0E4EA" w:sz="1"/>
            </w:tcBorders>
            <w:shd w:fill="D4600A" w:val="clear"/>
            <w:tcMar>
              <w:top w:type="dxa" w:w="80"/>
              <w:left w:type="dxa" w:w="130"/>
              <w:bottom w:type="dxa" w:w="80"/>
              <w:right w:type="dxa" w:w="130"/>
            </w:tcMar>
            <w:vAlign w:val="top"/>
          </w:tcPr>
          <w:p>
            <w:pPr>
              <w:spacing w:before="60" w:after="60" w:line="276"/>
              <w:jc w:val="center"/>
            </w:pPr>
            <w:r>
              <w:rPr>
                <w:rFonts w:ascii="Arial" w:cs="Arial" w:eastAsia="Arial" w:hAnsi="Arial"/>
                <w:b/>
                <w:bCs/>
                <w:i w:val="false"/>
                <w:iCs w:val="false"/>
                <w:color w:val="FFFFFF"/>
                <w:sz w:val="19"/>
                <w:szCs w:val="19"/>
              </w:rPr>
              <w:t xml:space="preserve">Impact MOYEN</w:t>
            </w:r>
          </w:p>
        </w:tc>
        <w:tc>
          <w:tcPr>
            <w:tcW w:type="dxa" w:w="2256"/>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F27, F42</w:t>
            </w:r>
          </w:p>
        </w:tc>
        <w:tc>
          <w:tcPr>
            <w:tcW w:type="dxa" w:w="2256"/>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F04, F07, F09, F13, F14, F20, F22, F23, F26, F37</w:t>
            </w:r>
          </w:p>
        </w:tc>
        <w:tc>
          <w:tcPr>
            <w:tcW w:type="dxa" w:w="2258"/>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7"/>
                <w:szCs w:val="17"/>
              </w:rPr>
              <w:t xml:space="preserve">F03, F08, F11, F19</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E7C7B" w:val="clear"/>
            <w:tcMar>
              <w:top w:type="dxa" w:w="180"/>
              <w:left w:type="dxa" w:w="240"/>
              <w:bottom w:type="dxa" w:w="180"/>
              <w:right w:type="dxa" w:w="240"/>
            </w:tcMar>
          </w:tcPr>
          <w:p>
            <w:pPr>
              <w:spacing w:before="60" w:after="60" w:line="276"/>
              <w:jc w:val="left"/>
            </w:pPr>
            <w:r>
              <w:rPr>
                <w:rFonts w:ascii="Arial" w:cs="Arial" w:eastAsia="Arial" w:hAnsi="Arial"/>
                <w:b/>
                <w:bCs/>
                <w:i w:val="false"/>
                <w:iCs w:val="false"/>
                <w:color w:val="FFFFFF"/>
                <w:sz w:val="24"/>
                <w:szCs w:val="24"/>
              </w:rPr>
              <w:t xml:space="preserve">PARTIE 5  —  ARCHITECTURE TECHNIQUE CIBLE &amp; DIFFÉRENCIATEURS</w:t>
            </w:r>
          </w:p>
        </w:tc>
      </w:tr>
    </w:tbl>
    <w:p>
      <w:pPr>
        <w:spacing w:before="120" w:after="0"/>
      </w:pPr>
      <w:r>
        <w:rPr>
          <w:rFonts w:ascii="Arial" w:cs="Arial" w:eastAsia="Arial" w:hAnsi="Arial"/>
          <w:b w:val="false"/>
          <w:bCs w:val="false"/>
          <w:i w:val="false"/>
          <w:iCs w:val="false"/>
          <w:color w:val="1C2533"/>
          <w:sz w:val="20"/>
          <w:szCs w:val="20"/>
        </w:rPr>
        <w:t xml:space="preserve"/>
      </w:r>
    </w:p>
    <w:p>
      <w:pPr>
        <w:pStyle w:val="Heading2"/>
        <w:pBdr>
          <w:bottom w:val="single" w:color="1A6BAE" w:sz="6" w:space="3"/>
        </w:pBdr>
        <w:spacing w:before="300" w:after="140"/>
      </w:pPr>
      <w:r>
        <w:rPr>
          <w:rFonts w:ascii="Arial" w:cs="Arial" w:eastAsia="Arial" w:hAnsi="Arial"/>
          <w:b/>
          <w:bCs/>
          <w:i w:val="false"/>
          <w:iCs w:val="false"/>
          <w:color w:val="1A6BAE"/>
          <w:sz w:val="27"/>
          <w:szCs w:val="27"/>
        </w:rPr>
        <w:t xml:space="preserve">5.1  Architecture microservices recommandée</w:t>
      </w:r>
    </w:p>
    <w:p>
      <w:pPr>
        <w:spacing w:before="60" w:after="60" w:line="276"/>
        <w:jc w:val="left"/>
      </w:pPr>
      <w:r>
        <w:rPr>
          <w:rFonts w:ascii="Arial" w:cs="Arial" w:eastAsia="Arial" w:hAnsi="Arial"/>
          <w:b w:val="false"/>
          <w:bCs w:val="false"/>
          <w:i w:val="false"/>
          <w:iCs w:val="false"/>
          <w:color w:val="1C2533"/>
          <w:sz w:val="20"/>
          <w:szCs w:val="20"/>
        </w:rPr>
        <w:t xml:space="preserve">Pour supporter 42 fonctionnalités sans dette technique, Maintex doit adopter une architecture modulaire. Les modules peuvent être développés et déployés indépendamment, permettant de livrer de la valeur fonctionnalité par fonctionnalité sans attendre une release globale.</w:t>
      </w:r>
    </w:p>
    <w:p>
      <w:pPr>
        <w:spacing w:before="100" w:after="0"/>
      </w:pPr>
      <w:r>
        <w:rPr>
          <w:rFonts w:ascii="Arial" w:cs="Arial" w:eastAsia="Arial" w:hAnsi="Arial"/>
          <w:b w:val="false"/>
          <w:bCs w:val="false"/>
          <w:i w:val="false"/>
          <w:iCs w:val="false"/>
          <w:color w:val="1C2533"/>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W w:type="dxa" w:w="1800"/>
            <w:tcBorders>
              <w:top w:val="single" w:color="E0E4EA" w:sz="1"/>
              <w:left w:val="single" w:color="E0E4EA" w:sz="1"/>
              <w:bottom w:val="single" w:color="E0E4EA" w:sz="1"/>
              <w:right w:val="single" w:color="E0E4EA" w:sz="1"/>
            </w:tcBorders>
            <w:shd w:fill="0D2B4E"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FFFFFF"/>
                <w:sz w:val="19"/>
                <w:szCs w:val="19"/>
              </w:rPr>
              <w:t xml:space="preserve">Service</w:t>
            </w:r>
          </w:p>
        </w:tc>
        <w:tc>
          <w:tcPr>
            <w:tcW w:type="dxa" w:w="3600"/>
            <w:tcBorders>
              <w:top w:val="single" w:color="E0E4EA" w:sz="1"/>
              <w:left w:val="single" w:color="E0E4EA" w:sz="1"/>
              <w:bottom w:val="single" w:color="E0E4EA" w:sz="1"/>
              <w:right w:val="single" w:color="E0E4EA" w:sz="1"/>
            </w:tcBorders>
            <w:shd w:fill="0D2B4E"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FFFFFF"/>
                <w:sz w:val="19"/>
                <w:szCs w:val="19"/>
              </w:rPr>
              <w:t xml:space="preserve">Responsabilités</w:t>
            </w:r>
          </w:p>
        </w:tc>
        <w:tc>
          <w:tcPr>
            <w:tcW w:type="dxa" w:w="3626"/>
            <w:tcBorders>
              <w:top w:val="single" w:color="E0E4EA" w:sz="1"/>
              <w:left w:val="single" w:color="E0E4EA" w:sz="1"/>
              <w:bottom w:val="single" w:color="E0E4EA" w:sz="1"/>
              <w:right w:val="single" w:color="E0E4EA" w:sz="1"/>
            </w:tcBorders>
            <w:shd w:fill="0D2B4E"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FFFFFF"/>
                <w:sz w:val="19"/>
                <w:szCs w:val="19"/>
              </w:rPr>
              <w:t xml:space="preserve">Technologies recommandées</w:t>
            </w:r>
          </w:p>
        </w:tc>
      </w:tr>
      <w:tr>
        <w:tc>
          <w:tcPr>
            <w:tcW w:type="dxa" w:w="1800"/>
            <w:tcBorders>
              <w:top w:val="single" w:color="E0E4EA" w:sz="1"/>
              <w:left w:val="single" w:color="E0E4EA" w:sz="1"/>
              <w:bottom w:val="single" w:color="E0E4EA" w:sz="1"/>
              <w:right w:val="single" w:color="E0E4EA" w:sz="1"/>
            </w:tcBorders>
            <w:shd w:fill="D6E8F7"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0D2B4E"/>
                <w:sz w:val="18"/>
                <w:szCs w:val="18"/>
              </w:rPr>
              <w:t xml:space="preserve">Core Service</w:t>
            </w:r>
          </w:p>
        </w:tc>
        <w:tc>
          <w:tcPr>
            <w:tcW w:type="dxa" w:w="3600"/>
            <w:tcBorders>
              <w:top w:val="single" w:color="E0E4EA" w:sz="1"/>
              <w:left w:val="single" w:color="E0E4EA" w:sz="1"/>
              <w:bottom w:val="single" w:color="E0E4EA" w:sz="1"/>
              <w:right w:val="single" w:color="E0E4EA" w:sz="1"/>
            </w:tcBorders>
            <w:shd w:fill="D6E8F7"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Équipements, BT, FMP, gammes, nomenclature — le cœur métier de Maintex</w:t>
            </w:r>
          </w:p>
        </w:tc>
        <w:tc>
          <w:tcPr>
            <w:tcW w:type="dxa" w:w="3626"/>
            <w:tcBorders>
              <w:top w:val="single" w:color="E0E4EA" w:sz="1"/>
              <w:left w:val="single" w:color="E0E4EA" w:sz="1"/>
              <w:bottom w:val="single" w:color="E0E4EA" w:sz="1"/>
              <w:right w:val="single" w:color="E0E4EA" w:sz="1"/>
            </w:tcBorders>
            <w:shd w:fill="D6E8F7"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0E7C7B"/>
                <w:sz w:val="18"/>
                <w:szCs w:val="18"/>
              </w:rPr>
              <w:t xml:space="preserve">NestJS + PostgreSQL + Prisma ORM</w:t>
            </w:r>
          </w:p>
        </w:tc>
      </w:tr>
      <w:tr>
        <w:tc>
          <w:tcPr>
            <w:tcW w:type="dxa" w:w="18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0D2B4E"/>
                <w:sz w:val="18"/>
                <w:szCs w:val="18"/>
              </w:rPr>
              <w:t xml:space="preserve">Mobile Service</w:t>
            </w:r>
          </w:p>
        </w:tc>
        <w:tc>
          <w:tcPr>
            <w:tcW w:type="dxa" w:w="36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API optimisée mobile, synchronisation hors-ligne, push notifications</w:t>
            </w:r>
          </w:p>
        </w:tc>
        <w:tc>
          <w:tcPr>
            <w:tcW w:type="dxa" w:w="3626"/>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0E7C7B"/>
                <w:sz w:val="18"/>
                <w:szCs w:val="18"/>
              </w:rPr>
              <w:t xml:space="preserve">NestJS + Redis + WebSockets</w:t>
            </w:r>
          </w:p>
        </w:tc>
      </w:tr>
      <w:tr>
        <w:tc>
          <w:tcPr>
            <w:tcW w:type="dxa" w:w="1800"/>
            <w:tcBorders>
              <w:top w:val="single" w:color="E0E4EA" w:sz="1"/>
              <w:left w:val="single" w:color="E0E4EA" w:sz="1"/>
              <w:bottom w:val="single" w:color="E0E4EA" w:sz="1"/>
              <w:right w:val="single" w:color="E0E4EA" w:sz="1"/>
            </w:tcBorders>
            <w:shd w:fill="D6E8F7"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0D2B4E"/>
                <w:sz w:val="18"/>
                <w:szCs w:val="18"/>
              </w:rPr>
              <w:t xml:space="preserve">AI Service</w:t>
            </w:r>
          </w:p>
        </w:tc>
        <w:tc>
          <w:tcPr>
            <w:tcW w:type="dxa" w:w="3600"/>
            <w:tcBorders>
              <w:top w:val="single" w:color="E0E4EA" w:sz="1"/>
              <w:left w:val="single" w:color="E0E4EA" w:sz="1"/>
              <w:bottom w:val="single" w:color="E0E4EA" w:sz="1"/>
              <w:right w:val="single" w:color="E0E4EA" w:sz="1"/>
            </w:tcBorders>
            <w:shd w:fill="D6E8F7"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Diagnostic IA, détection anomalies, chatbot, RAG, embeddings</w:t>
            </w:r>
          </w:p>
        </w:tc>
        <w:tc>
          <w:tcPr>
            <w:tcW w:type="dxa" w:w="3626"/>
            <w:tcBorders>
              <w:top w:val="single" w:color="E0E4EA" w:sz="1"/>
              <w:left w:val="single" w:color="E0E4EA" w:sz="1"/>
              <w:bottom w:val="single" w:color="E0E4EA" w:sz="1"/>
              <w:right w:val="single" w:color="E0E4EA" w:sz="1"/>
            </w:tcBorders>
            <w:shd w:fill="D6E8F7"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0E7C7B"/>
                <w:sz w:val="18"/>
                <w:szCs w:val="18"/>
              </w:rPr>
              <w:t xml:space="preserve">Python FastAPI + LangChain + Ollama + pgvector</w:t>
            </w:r>
          </w:p>
        </w:tc>
      </w:tr>
      <w:tr>
        <w:tc>
          <w:tcPr>
            <w:tcW w:type="dxa" w:w="18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0D2B4E"/>
                <w:sz w:val="18"/>
                <w:szCs w:val="18"/>
              </w:rPr>
              <w:t xml:space="preserve">Analytics Service</w:t>
            </w:r>
          </w:p>
        </w:tc>
        <w:tc>
          <w:tcPr>
            <w:tcW w:type="dxa" w:w="36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KPIs, Report Builder, tableaux de bord, exports</w:t>
            </w:r>
          </w:p>
        </w:tc>
        <w:tc>
          <w:tcPr>
            <w:tcW w:type="dxa" w:w="3626"/>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0E7C7B"/>
                <w:sz w:val="18"/>
                <w:szCs w:val="18"/>
              </w:rPr>
              <w:t xml:space="preserve">NestJS + Apache Superset (open source) ou Metabase</w:t>
            </w:r>
          </w:p>
        </w:tc>
      </w:tr>
      <w:tr>
        <w:tc>
          <w:tcPr>
            <w:tcW w:type="dxa" w:w="1800"/>
            <w:tcBorders>
              <w:top w:val="single" w:color="E0E4EA" w:sz="1"/>
              <w:left w:val="single" w:color="E0E4EA" w:sz="1"/>
              <w:bottom w:val="single" w:color="E0E4EA" w:sz="1"/>
              <w:right w:val="single" w:color="E0E4EA" w:sz="1"/>
            </w:tcBorders>
            <w:shd w:fill="D6E8F7"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0D2B4E"/>
                <w:sz w:val="18"/>
                <w:szCs w:val="18"/>
              </w:rPr>
              <w:t xml:space="preserve">IoT Service</w:t>
            </w:r>
          </w:p>
        </w:tc>
        <w:tc>
          <w:tcPr>
            <w:tcW w:type="dxa" w:w="3600"/>
            <w:tcBorders>
              <w:top w:val="single" w:color="E0E4EA" w:sz="1"/>
              <w:left w:val="single" w:color="E0E4EA" w:sz="1"/>
              <w:bottom w:val="single" w:color="E0E4EA" w:sz="1"/>
              <w:right w:val="single" w:color="E0E4EA" w:sz="1"/>
            </w:tcBorders>
            <w:shd w:fill="D6E8F7"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Ingestion données capteurs, MQTT, time-series, alertes CBM</w:t>
            </w:r>
          </w:p>
        </w:tc>
        <w:tc>
          <w:tcPr>
            <w:tcW w:type="dxa" w:w="3626"/>
            <w:tcBorders>
              <w:top w:val="single" w:color="E0E4EA" w:sz="1"/>
              <w:left w:val="single" w:color="E0E4EA" w:sz="1"/>
              <w:bottom w:val="single" w:color="E0E4EA" w:sz="1"/>
              <w:right w:val="single" w:color="E0E4EA" w:sz="1"/>
            </w:tcBorders>
            <w:shd w:fill="D6E8F7"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0E7C7B"/>
                <w:sz w:val="18"/>
                <w:szCs w:val="18"/>
              </w:rPr>
              <w:t xml:space="preserve">NestJS + EMQX + TimescaleDB</w:t>
            </w:r>
          </w:p>
        </w:tc>
      </w:tr>
      <w:tr>
        <w:tc>
          <w:tcPr>
            <w:tcW w:type="dxa" w:w="18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0D2B4E"/>
                <w:sz w:val="18"/>
                <w:szCs w:val="18"/>
              </w:rPr>
              <w:t xml:space="preserve">Finance Service</w:t>
            </w:r>
          </w:p>
        </w:tc>
        <w:tc>
          <w:tcPr>
            <w:tcW w:type="dxa" w:w="36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Budget, amortissements, OHADA, multi-devises, export comptable</w:t>
            </w:r>
          </w:p>
        </w:tc>
        <w:tc>
          <w:tcPr>
            <w:tcW w:type="dxa" w:w="3626"/>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0E7C7B"/>
                <w:sz w:val="18"/>
                <w:szCs w:val="18"/>
              </w:rPr>
              <w:t xml:space="preserve">NestJS + PostgreSQL</w:t>
            </w:r>
          </w:p>
        </w:tc>
      </w:tr>
      <w:tr>
        <w:tc>
          <w:tcPr>
            <w:tcW w:type="dxa" w:w="1800"/>
            <w:tcBorders>
              <w:top w:val="single" w:color="E0E4EA" w:sz="1"/>
              <w:left w:val="single" w:color="E0E4EA" w:sz="1"/>
              <w:bottom w:val="single" w:color="E0E4EA" w:sz="1"/>
              <w:right w:val="single" w:color="E0E4EA" w:sz="1"/>
            </w:tcBorders>
            <w:shd w:fill="D6E8F7"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0D2B4E"/>
                <w:sz w:val="18"/>
                <w:szCs w:val="18"/>
              </w:rPr>
              <w:t xml:space="preserve">Procurement Service</w:t>
            </w:r>
          </w:p>
        </w:tc>
        <w:tc>
          <w:tcPr>
            <w:tcW w:type="dxa" w:w="3600"/>
            <w:tcBorders>
              <w:top w:val="single" w:color="E0E4EA" w:sz="1"/>
              <w:left w:val="single" w:color="E0E4EA" w:sz="1"/>
              <w:bottom w:val="single" w:color="E0E4EA" w:sz="1"/>
              <w:right w:val="single" w:color="E0E4EA" w:sz="1"/>
            </w:tcBorders>
            <w:shd w:fill="D6E8F7"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Achats, fournisseurs, scoring, marketplace prestataires</w:t>
            </w:r>
          </w:p>
        </w:tc>
        <w:tc>
          <w:tcPr>
            <w:tcW w:type="dxa" w:w="3626"/>
            <w:tcBorders>
              <w:top w:val="single" w:color="E0E4EA" w:sz="1"/>
              <w:left w:val="single" w:color="E0E4EA" w:sz="1"/>
              <w:bottom w:val="single" w:color="E0E4EA" w:sz="1"/>
              <w:right w:val="single" w:color="E0E4EA" w:sz="1"/>
            </w:tcBorders>
            <w:shd w:fill="D6E8F7"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0E7C7B"/>
                <w:sz w:val="18"/>
                <w:szCs w:val="18"/>
              </w:rPr>
              <w:t xml:space="preserve">NestJS + PostgreSQL</w:t>
            </w:r>
          </w:p>
        </w:tc>
      </w:tr>
      <w:tr>
        <w:tc>
          <w:tcPr>
            <w:tcW w:type="dxa" w:w="18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0D2B4E"/>
                <w:sz w:val="18"/>
                <w:szCs w:val="18"/>
              </w:rPr>
              <w:t xml:space="preserve">HSE Service</w:t>
            </w:r>
          </w:p>
        </w:tc>
        <w:tc>
          <w:tcPr>
            <w:tcW w:type="dxa" w:w="36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Permis travail, incidents, inspections, EPI, conformité</w:t>
            </w:r>
          </w:p>
        </w:tc>
        <w:tc>
          <w:tcPr>
            <w:tcW w:type="dxa" w:w="3626"/>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0E7C7B"/>
                <w:sz w:val="18"/>
                <w:szCs w:val="18"/>
              </w:rPr>
              <w:t xml:space="preserve">NestJS + PostgreSQL</w:t>
            </w:r>
          </w:p>
        </w:tc>
      </w:tr>
      <w:tr>
        <w:tc>
          <w:tcPr>
            <w:tcW w:type="dxa" w:w="1800"/>
            <w:tcBorders>
              <w:top w:val="single" w:color="E0E4EA" w:sz="1"/>
              <w:left w:val="single" w:color="E0E4EA" w:sz="1"/>
              <w:bottom w:val="single" w:color="E0E4EA" w:sz="1"/>
              <w:right w:val="single" w:color="E0E4EA" w:sz="1"/>
            </w:tcBorders>
            <w:shd w:fill="D6E8F7"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0D2B4E"/>
                <w:sz w:val="18"/>
                <w:szCs w:val="18"/>
              </w:rPr>
              <w:t xml:space="preserve">Notification Service</w:t>
            </w:r>
          </w:p>
        </w:tc>
        <w:tc>
          <w:tcPr>
            <w:tcW w:type="dxa" w:w="3600"/>
            <w:tcBorders>
              <w:top w:val="single" w:color="E0E4EA" w:sz="1"/>
              <w:left w:val="single" w:color="E0E4EA" w:sz="1"/>
              <w:bottom w:val="single" w:color="E0E4EA" w:sz="1"/>
              <w:right w:val="single" w:color="E0E4EA" w:sz="1"/>
            </w:tcBorders>
            <w:shd w:fill="D6E8F7"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Email, SMS, push, webhooks, automatisations F12</w:t>
            </w:r>
          </w:p>
        </w:tc>
        <w:tc>
          <w:tcPr>
            <w:tcW w:type="dxa" w:w="3626"/>
            <w:tcBorders>
              <w:top w:val="single" w:color="E0E4EA" w:sz="1"/>
              <w:left w:val="single" w:color="E0E4EA" w:sz="1"/>
              <w:bottom w:val="single" w:color="E0E4EA" w:sz="1"/>
              <w:right w:val="single" w:color="E0E4EA" w:sz="1"/>
            </w:tcBorders>
            <w:shd w:fill="D6E8F7"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0E7C7B"/>
                <w:sz w:val="18"/>
                <w:szCs w:val="18"/>
              </w:rPr>
              <w:t xml:space="preserve">NestJS + BullMQ + Redis + Nodemailer</w:t>
            </w:r>
          </w:p>
        </w:tc>
      </w:tr>
      <w:tr>
        <w:tc>
          <w:tcPr>
            <w:tcW w:type="dxa" w:w="18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0D2B4E"/>
                <w:sz w:val="18"/>
                <w:szCs w:val="18"/>
              </w:rPr>
              <w:t xml:space="preserve">Document Service</w:t>
            </w:r>
          </w:p>
        </w:tc>
        <w:tc>
          <w:tcPr>
            <w:tcW w:type="dxa" w:w="36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DMS, génération PDF, OCR, indexation sémantique documents</w:t>
            </w:r>
          </w:p>
        </w:tc>
        <w:tc>
          <w:tcPr>
            <w:tcW w:type="dxa" w:w="3626"/>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0E7C7B"/>
                <w:sz w:val="18"/>
                <w:szCs w:val="18"/>
              </w:rPr>
              <w:t xml:space="preserve">NestJS + MinIO + Apache Tika + Puppeteer</w:t>
            </w:r>
          </w:p>
        </w:tc>
      </w:tr>
    </w:tbl>
    <w:p>
      <w:pPr>
        <w:spacing w:before="160" w:after="0"/>
      </w:pPr>
      <w:r>
        <w:rPr>
          <w:rFonts w:ascii="Arial" w:cs="Arial" w:eastAsia="Arial" w:hAnsi="Arial"/>
          <w:b w:val="false"/>
          <w:bCs w:val="false"/>
          <w:i w:val="false"/>
          <w:iCs w:val="false"/>
          <w:color w:val="1C2533"/>
          <w:sz w:val="20"/>
          <w:szCs w:val="20"/>
        </w:rPr>
        <w:t xml:space="preserve"/>
      </w:r>
    </w:p>
    <w:p>
      <w:pPr>
        <w:pStyle w:val="Heading2"/>
        <w:pBdr>
          <w:bottom w:val="single" w:color="1A6BAE" w:sz="6" w:space="3"/>
        </w:pBdr>
        <w:spacing w:before="300" w:after="140"/>
      </w:pPr>
      <w:r>
        <w:rPr>
          <w:rFonts w:ascii="Arial" w:cs="Arial" w:eastAsia="Arial" w:hAnsi="Arial"/>
          <w:b/>
          <w:bCs/>
          <w:i w:val="false"/>
          <w:iCs w:val="false"/>
          <w:color w:val="1A6BAE"/>
          <w:sz w:val="27"/>
          <w:szCs w:val="27"/>
        </w:rPr>
        <w:t xml:space="preserve">5.2  Les 7 différenciateurs absolus de Maintex v2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none" w:color="FFFFFF" w:sz="0"/>
              <w:left w:val="none" w:color="FFFFFF" w:sz="0"/>
              <w:bottom w:val="none" w:color="FFFFFF" w:sz="0"/>
              <w:right w:val="none" w:color="FFFFFF" w:sz="0"/>
            </w:tcBorders>
            <w:shd w:fill="A07800" w:val="clear"/>
            <w:tcMar>
              <w:top w:type="dxa" w:w="120"/>
              <w:left w:type="dxa" w:w="80"/>
              <w:bottom w:type="dxa" w:w="120"/>
              <w:right w:type="dxa" w:w="80"/>
            </w:tcMar>
            <w:vAlign w:val="center"/>
          </w:tcPr>
          <w:p>
            <w:pPr>
              <w:spacing w:before="60" w:after="60" w:line="276"/>
              <w:jc w:val="center"/>
            </w:pPr>
            <w:r>
              <w:rPr>
                <w:rFonts w:ascii="Arial" w:cs="Arial" w:eastAsia="Arial" w:hAnsi="Arial"/>
                <w:b/>
                <w:bCs/>
                <w:i w:val="false"/>
                <w:iCs w:val="false"/>
                <w:color w:val="FFFFFF"/>
                <w:sz w:val="28"/>
                <w:szCs w:val="28"/>
              </w:rPr>
              <w:t xml:space="preserve">①</w:t>
            </w:r>
          </w:p>
        </w:tc>
        <w:tc>
          <w:tcPr>
            <w:tcW w:type="dxa" w:w="8526"/>
            <w:tcBorders>
              <w:top w:val="single" w:color="E0E4EA" w:sz="1"/>
              <w:left w:val="none" w:color="FFFFFF" w:sz="0"/>
              <w:bottom w:val="single" w:color="E0E4EA" w:sz="1"/>
              <w:right w:val="none" w:color="FFFFFF" w:sz="0"/>
            </w:tcBorders>
            <w:shd w:fill="F4F6F9" w:val="clear"/>
            <w:tcMar>
              <w:top w:type="dxa" w:w="120"/>
              <w:left w:type="dxa" w:w="180"/>
              <w:bottom w:type="dxa" w:w="120"/>
              <w:right w:type="dxa" w:w="120"/>
            </w:tcMar>
          </w:tcPr>
          <w:p>
            <w:pPr>
              <w:spacing w:before="60" w:after="60" w:line="276"/>
              <w:jc w:val="left"/>
            </w:pPr>
            <w:r>
              <w:rPr>
                <w:rFonts w:ascii="Arial" w:cs="Arial" w:eastAsia="Arial" w:hAnsi="Arial"/>
                <w:b/>
                <w:bCs/>
                <w:i w:val="false"/>
                <w:iCs w:val="false"/>
                <w:color w:val="0D2B4E"/>
                <w:sz w:val="21"/>
                <w:szCs w:val="21"/>
              </w:rPr>
              <w:t xml:space="preserve">SEULE GMAO avec conformité OHADA native</w:t>
            </w:r>
          </w:p>
          <w:p>
            <w:pPr>
              <w:spacing w:before="60" w:after="60" w:line="276"/>
              <w:jc w:val="left"/>
            </w:pPr>
            <w:r>
              <w:rPr>
                <w:rFonts w:ascii="Arial" w:cs="Arial" w:eastAsia="Arial" w:hAnsi="Arial"/>
                <w:b w:val="false"/>
                <w:bCs w:val="false"/>
                <w:i w:val="false"/>
                <w:iCs w:val="false"/>
                <w:color w:val="8C96A3"/>
                <w:sz w:val="18"/>
                <w:szCs w:val="18"/>
              </w:rPr>
              <w:t xml:space="preserve">Aucun concurrent international ne connaît le droit comptable OHADA, le code des marchés publics UEMOA ou la réalité des devises africaines. C'est une forteresse concurrentielle.</w:t>
            </w:r>
          </w:p>
        </w:tc>
      </w:tr>
      <w:tr>
        <w:tc>
          <w:tcPr>
            <w:tcW w:type="dxa" w:w="500"/>
            <w:tcBorders>
              <w:top w:val="none" w:color="FFFFFF" w:sz="0"/>
              <w:left w:val="none" w:color="FFFFFF" w:sz="0"/>
              <w:bottom w:val="none" w:color="FFFFFF" w:sz="0"/>
              <w:right w:val="none" w:color="FFFFFF" w:sz="0"/>
            </w:tcBorders>
            <w:shd w:fill="A07800" w:val="clear"/>
            <w:tcMar>
              <w:top w:type="dxa" w:w="120"/>
              <w:left w:type="dxa" w:w="80"/>
              <w:bottom w:type="dxa" w:w="120"/>
              <w:right w:type="dxa" w:w="80"/>
            </w:tcMar>
            <w:vAlign w:val="center"/>
          </w:tcPr>
          <w:p>
            <w:pPr>
              <w:spacing w:before="60" w:after="60" w:line="276"/>
              <w:jc w:val="center"/>
            </w:pPr>
            <w:r>
              <w:rPr>
                <w:rFonts w:ascii="Arial" w:cs="Arial" w:eastAsia="Arial" w:hAnsi="Arial"/>
                <w:b/>
                <w:bCs/>
                <w:i w:val="false"/>
                <w:iCs w:val="false"/>
                <w:color w:val="FFFFFF"/>
                <w:sz w:val="28"/>
                <w:szCs w:val="28"/>
              </w:rPr>
              <w:t xml:space="preserve">②</w:t>
            </w:r>
          </w:p>
        </w:tc>
        <w:tc>
          <w:tcPr>
            <w:tcW w:type="dxa" w:w="8526"/>
            <w:tcBorders>
              <w:top w:val="single" w:color="E0E4EA" w:sz="1"/>
              <w:left w:val="none" w:color="FFFFFF" w:sz="0"/>
              <w:bottom w:val="single" w:color="E0E4EA" w:sz="1"/>
              <w:right w:val="none" w:color="FFFFFF" w:sz="0"/>
            </w:tcBorders>
            <w:shd w:fill="FFFFFF" w:val="clear"/>
            <w:tcMar>
              <w:top w:type="dxa" w:w="120"/>
              <w:left w:type="dxa" w:w="180"/>
              <w:bottom w:type="dxa" w:w="120"/>
              <w:right w:type="dxa" w:w="120"/>
            </w:tcMar>
          </w:tcPr>
          <w:p>
            <w:pPr>
              <w:spacing w:before="60" w:after="60" w:line="276"/>
              <w:jc w:val="left"/>
            </w:pPr>
            <w:r>
              <w:rPr>
                <w:rFonts w:ascii="Arial" w:cs="Arial" w:eastAsia="Arial" w:hAnsi="Arial"/>
                <w:b/>
                <w:bCs/>
                <w:i w:val="false"/>
                <w:iCs w:val="false"/>
                <w:color w:val="0D2B4E"/>
                <w:sz w:val="21"/>
                <w:szCs w:val="21"/>
              </w:rPr>
              <w:t xml:space="preserve">SEULE GMAO avec module ESG / Empreinte Carbone intégré</w:t>
            </w:r>
          </w:p>
          <w:p>
            <w:pPr>
              <w:spacing w:before="60" w:after="60" w:line="276"/>
              <w:jc w:val="left"/>
            </w:pPr>
            <w:r>
              <w:rPr>
                <w:rFonts w:ascii="Arial" w:cs="Arial" w:eastAsia="Arial" w:hAnsi="Arial"/>
                <w:b w:val="false"/>
                <w:bCs w:val="false"/>
                <w:i w:val="false"/>
                <w:iCs w:val="false"/>
                <w:color w:val="8C96A3"/>
                <w:sz w:val="18"/>
                <w:szCs w:val="18"/>
              </w:rPr>
              <w:t xml:space="preserve">En 2026, les financements de la BOAD, de l'AFD et de la Banque Mondiale exigent des rapports ESG. Maintex est la GMAO qui aide ses clients à les produire automatiquement.</w:t>
            </w:r>
          </w:p>
        </w:tc>
      </w:tr>
      <w:tr>
        <w:tc>
          <w:tcPr>
            <w:tcW w:type="dxa" w:w="500"/>
            <w:tcBorders>
              <w:top w:val="none" w:color="FFFFFF" w:sz="0"/>
              <w:left w:val="none" w:color="FFFFFF" w:sz="0"/>
              <w:bottom w:val="none" w:color="FFFFFF" w:sz="0"/>
              <w:right w:val="none" w:color="FFFFFF" w:sz="0"/>
            </w:tcBorders>
            <w:shd w:fill="A07800" w:val="clear"/>
            <w:tcMar>
              <w:top w:type="dxa" w:w="120"/>
              <w:left w:type="dxa" w:w="80"/>
              <w:bottom w:type="dxa" w:w="120"/>
              <w:right w:type="dxa" w:w="80"/>
            </w:tcMar>
            <w:vAlign w:val="center"/>
          </w:tcPr>
          <w:p>
            <w:pPr>
              <w:spacing w:before="60" w:after="60" w:line="276"/>
              <w:jc w:val="center"/>
            </w:pPr>
            <w:r>
              <w:rPr>
                <w:rFonts w:ascii="Arial" w:cs="Arial" w:eastAsia="Arial" w:hAnsi="Arial"/>
                <w:b/>
                <w:bCs/>
                <w:i w:val="false"/>
                <w:iCs w:val="false"/>
                <w:color w:val="FFFFFF"/>
                <w:sz w:val="28"/>
                <w:szCs w:val="28"/>
              </w:rPr>
              <w:t xml:space="preserve">③</w:t>
            </w:r>
          </w:p>
        </w:tc>
        <w:tc>
          <w:tcPr>
            <w:tcW w:type="dxa" w:w="8526"/>
            <w:tcBorders>
              <w:top w:val="single" w:color="E0E4EA" w:sz="1"/>
              <w:left w:val="none" w:color="FFFFFF" w:sz="0"/>
              <w:bottom w:val="single" w:color="E0E4EA" w:sz="1"/>
              <w:right w:val="none" w:color="FFFFFF" w:sz="0"/>
            </w:tcBorders>
            <w:shd w:fill="F4F6F9" w:val="clear"/>
            <w:tcMar>
              <w:top w:type="dxa" w:w="120"/>
              <w:left w:type="dxa" w:w="180"/>
              <w:bottom w:type="dxa" w:w="120"/>
              <w:right w:type="dxa" w:w="120"/>
            </w:tcMar>
          </w:tcPr>
          <w:p>
            <w:pPr>
              <w:spacing w:before="60" w:after="60" w:line="276"/>
              <w:jc w:val="left"/>
            </w:pPr>
            <w:r>
              <w:rPr>
                <w:rFonts w:ascii="Arial" w:cs="Arial" w:eastAsia="Arial" w:hAnsi="Arial"/>
                <w:b/>
                <w:bCs/>
                <w:i w:val="false"/>
                <w:iCs w:val="false"/>
                <w:color w:val="0D2B4E"/>
                <w:sz w:val="21"/>
                <w:szCs w:val="21"/>
              </w:rPr>
              <w:t xml:space="preserve">SEULE GMAO avec gestion des habilitations réglementaires africaines</w:t>
            </w:r>
          </w:p>
          <w:p>
            <w:pPr>
              <w:spacing w:before="60" w:after="60" w:line="276"/>
              <w:jc w:val="left"/>
            </w:pPr>
            <w:r>
              <w:rPr>
                <w:rFonts w:ascii="Arial" w:cs="Arial" w:eastAsia="Arial" w:hAnsi="Arial"/>
                <w:b w:val="false"/>
                <w:bCs w:val="false"/>
                <w:i w:val="false"/>
                <w:iCs w:val="false"/>
                <w:color w:val="8C96A3"/>
                <w:sz w:val="18"/>
                <w:szCs w:val="18"/>
              </w:rPr>
              <w:t xml:space="preserve">La sécurité au travail est une priorité légale croissante en Afrique (accidents miniers, accidents électriques). Maintex devient l'outil de conformité RH Maintenance de référence.</w:t>
            </w:r>
          </w:p>
        </w:tc>
      </w:tr>
      <w:tr>
        <w:tc>
          <w:tcPr>
            <w:tcW w:type="dxa" w:w="500"/>
            <w:tcBorders>
              <w:top w:val="none" w:color="FFFFFF" w:sz="0"/>
              <w:left w:val="none" w:color="FFFFFF" w:sz="0"/>
              <w:bottom w:val="none" w:color="FFFFFF" w:sz="0"/>
              <w:right w:val="none" w:color="FFFFFF" w:sz="0"/>
            </w:tcBorders>
            <w:shd w:fill="D4600A" w:val="clear"/>
            <w:tcMar>
              <w:top w:type="dxa" w:w="120"/>
              <w:left w:type="dxa" w:w="80"/>
              <w:bottom w:type="dxa" w:w="120"/>
              <w:right w:type="dxa" w:w="80"/>
            </w:tcMar>
            <w:vAlign w:val="center"/>
          </w:tcPr>
          <w:p>
            <w:pPr>
              <w:spacing w:before="60" w:after="60" w:line="276"/>
              <w:jc w:val="center"/>
            </w:pPr>
            <w:r>
              <w:rPr>
                <w:rFonts w:ascii="Arial" w:cs="Arial" w:eastAsia="Arial" w:hAnsi="Arial"/>
                <w:b/>
                <w:bCs/>
                <w:i w:val="false"/>
                <w:iCs w:val="false"/>
                <w:color w:val="FFFFFF"/>
                <w:sz w:val="28"/>
                <w:szCs w:val="28"/>
              </w:rPr>
              <w:t xml:space="preserve">④</w:t>
            </w:r>
          </w:p>
        </w:tc>
        <w:tc>
          <w:tcPr>
            <w:tcW w:type="dxa" w:w="8526"/>
            <w:tcBorders>
              <w:top w:val="single" w:color="E0E4EA" w:sz="1"/>
              <w:left w:val="none" w:color="FFFFFF" w:sz="0"/>
              <w:bottom w:val="single" w:color="E0E4EA" w:sz="1"/>
              <w:right w:val="none" w:color="FFFFFF" w:sz="0"/>
            </w:tcBorders>
            <w:shd w:fill="FFFFFF" w:val="clear"/>
            <w:tcMar>
              <w:top w:type="dxa" w:w="120"/>
              <w:left w:type="dxa" w:w="180"/>
              <w:bottom w:type="dxa" w:w="120"/>
              <w:right w:type="dxa" w:w="120"/>
            </w:tcMar>
          </w:tcPr>
          <w:p>
            <w:pPr>
              <w:spacing w:before="60" w:after="60" w:line="276"/>
              <w:jc w:val="left"/>
            </w:pPr>
            <w:r>
              <w:rPr>
                <w:rFonts w:ascii="Arial" w:cs="Arial" w:eastAsia="Arial" w:hAnsi="Arial"/>
                <w:b/>
                <w:bCs/>
                <w:i w:val="false"/>
                <w:iCs w:val="false"/>
                <w:color w:val="0D2B4E"/>
                <w:sz w:val="21"/>
                <w:szCs w:val="21"/>
              </w:rPr>
              <w:t xml:space="preserve">SEULE GMAO avec expérience mobile conçue pour les contraintes africaines</w:t>
            </w:r>
          </w:p>
          <w:p>
            <w:pPr>
              <w:spacing w:before="60" w:after="60" w:line="276"/>
              <w:jc w:val="left"/>
            </w:pPr>
            <w:r>
              <w:rPr>
                <w:rFonts w:ascii="Arial" w:cs="Arial" w:eastAsia="Arial" w:hAnsi="Arial"/>
                <w:b w:val="false"/>
                <w:bCs w:val="false"/>
                <w:i w:val="false"/>
                <w:iCs w:val="false"/>
                <w:color w:val="8C96A3"/>
                <w:sz w:val="18"/>
                <w:szCs w:val="18"/>
              </w:rPr>
              <w:t xml:space="preserve">Hors-ligne avancé, interfaces adaptées aux zones faible connectivité, support des opérateurs mobiles locaux. MaintainX est conçu pour le wifi américain — Maintex pour la réalité africaine.</w:t>
            </w:r>
          </w:p>
        </w:tc>
      </w:tr>
      <w:tr>
        <w:tc>
          <w:tcPr>
            <w:tcW w:type="dxa" w:w="500"/>
            <w:tcBorders>
              <w:top w:val="none" w:color="FFFFFF" w:sz="0"/>
              <w:left w:val="none" w:color="FFFFFF" w:sz="0"/>
              <w:bottom w:val="none" w:color="FFFFFF" w:sz="0"/>
              <w:right w:val="none" w:color="FFFFFF" w:sz="0"/>
            </w:tcBorders>
            <w:shd w:fill="D4600A" w:val="clear"/>
            <w:tcMar>
              <w:top w:type="dxa" w:w="120"/>
              <w:left w:type="dxa" w:w="80"/>
              <w:bottom w:type="dxa" w:w="120"/>
              <w:right w:type="dxa" w:w="80"/>
            </w:tcMar>
            <w:vAlign w:val="center"/>
          </w:tcPr>
          <w:p>
            <w:pPr>
              <w:spacing w:before="60" w:after="60" w:line="276"/>
              <w:jc w:val="center"/>
            </w:pPr>
            <w:r>
              <w:rPr>
                <w:rFonts w:ascii="Arial" w:cs="Arial" w:eastAsia="Arial" w:hAnsi="Arial"/>
                <w:b/>
                <w:bCs/>
                <w:i w:val="false"/>
                <w:iCs w:val="false"/>
                <w:color w:val="FFFFFF"/>
                <w:sz w:val="28"/>
                <w:szCs w:val="28"/>
              </w:rPr>
              <w:t xml:space="preserve">⑤</w:t>
            </w:r>
          </w:p>
        </w:tc>
        <w:tc>
          <w:tcPr>
            <w:tcW w:type="dxa" w:w="8526"/>
            <w:tcBorders>
              <w:top w:val="single" w:color="E0E4EA" w:sz="1"/>
              <w:left w:val="none" w:color="FFFFFF" w:sz="0"/>
              <w:bottom w:val="single" w:color="E0E4EA" w:sz="1"/>
              <w:right w:val="none" w:color="FFFFFF" w:sz="0"/>
            </w:tcBorders>
            <w:shd w:fill="F4F6F9" w:val="clear"/>
            <w:tcMar>
              <w:top w:type="dxa" w:w="120"/>
              <w:left w:type="dxa" w:w="180"/>
              <w:bottom w:type="dxa" w:w="120"/>
              <w:right w:type="dxa" w:w="120"/>
            </w:tcMar>
          </w:tcPr>
          <w:p>
            <w:pPr>
              <w:spacing w:before="60" w:after="60" w:line="276"/>
              <w:jc w:val="left"/>
            </w:pPr>
            <w:r>
              <w:rPr>
                <w:rFonts w:ascii="Arial" w:cs="Arial" w:eastAsia="Arial" w:hAnsi="Arial"/>
                <w:b/>
                <w:bCs/>
                <w:i w:val="false"/>
                <w:iCs w:val="false"/>
                <w:color w:val="0D2B4E"/>
                <w:sz w:val="21"/>
                <w:szCs w:val="21"/>
              </w:rPr>
              <w:t xml:space="preserve">SEULE GMAO avec marketplace de prestataires de maintenance locaux</w:t>
            </w:r>
          </w:p>
          <w:p>
            <w:pPr>
              <w:spacing w:before="60" w:after="60" w:line="276"/>
              <w:jc w:val="left"/>
            </w:pPr>
            <w:r>
              <w:rPr>
                <w:rFonts w:ascii="Arial" w:cs="Arial" w:eastAsia="Arial" w:hAnsi="Arial"/>
                <w:b w:val="false"/>
                <w:bCs w:val="false"/>
                <w:i w:val="false"/>
                <w:iCs w:val="false"/>
                <w:color w:val="8C96A3"/>
                <w:sz w:val="18"/>
                <w:szCs w:val="18"/>
              </w:rPr>
              <w:t xml:space="preserve">L'écosystème de sous-traitance en Afrique est fragmenté. Maintex peut devenir la plateforme qui le structure, générant une nouvelle source de revenus (commissions) et de la valeur pour les clients.</w:t>
            </w:r>
          </w:p>
        </w:tc>
      </w:tr>
      <w:tr>
        <w:tc>
          <w:tcPr>
            <w:tcW w:type="dxa" w:w="500"/>
            <w:tcBorders>
              <w:top w:val="none" w:color="FFFFFF" w:sz="0"/>
              <w:left w:val="none" w:color="FFFFFF" w:sz="0"/>
              <w:bottom w:val="none" w:color="FFFFFF" w:sz="0"/>
              <w:right w:val="none" w:color="FFFFFF" w:sz="0"/>
            </w:tcBorders>
            <w:shd w:fill="1A6BAE" w:val="clear"/>
            <w:tcMar>
              <w:top w:type="dxa" w:w="120"/>
              <w:left w:type="dxa" w:w="80"/>
              <w:bottom w:type="dxa" w:w="120"/>
              <w:right w:type="dxa" w:w="80"/>
            </w:tcMar>
            <w:vAlign w:val="center"/>
          </w:tcPr>
          <w:p>
            <w:pPr>
              <w:spacing w:before="60" w:after="60" w:line="276"/>
              <w:jc w:val="center"/>
            </w:pPr>
            <w:r>
              <w:rPr>
                <w:rFonts w:ascii="Arial" w:cs="Arial" w:eastAsia="Arial" w:hAnsi="Arial"/>
                <w:b/>
                <w:bCs/>
                <w:i w:val="false"/>
                <w:iCs w:val="false"/>
                <w:color w:val="FFFFFF"/>
                <w:sz w:val="28"/>
                <w:szCs w:val="28"/>
              </w:rPr>
              <w:t xml:space="preserve">⑥</w:t>
            </w:r>
          </w:p>
        </w:tc>
        <w:tc>
          <w:tcPr>
            <w:tcW w:type="dxa" w:w="8526"/>
            <w:tcBorders>
              <w:top w:val="single" w:color="E0E4EA" w:sz="1"/>
              <w:left w:val="none" w:color="FFFFFF" w:sz="0"/>
              <w:bottom w:val="single" w:color="E0E4EA" w:sz="1"/>
              <w:right w:val="none" w:color="FFFFFF" w:sz="0"/>
            </w:tcBorders>
            <w:shd w:fill="FFFFFF" w:val="clear"/>
            <w:tcMar>
              <w:top w:type="dxa" w:w="120"/>
              <w:left w:type="dxa" w:w="180"/>
              <w:bottom w:type="dxa" w:w="120"/>
              <w:right w:type="dxa" w:w="120"/>
            </w:tcMar>
          </w:tcPr>
          <w:p>
            <w:pPr>
              <w:spacing w:before="60" w:after="60" w:line="276"/>
              <w:jc w:val="left"/>
            </w:pPr>
            <w:r>
              <w:rPr>
                <w:rFonts w:ascii="Arial" w:cs="Arial" w:eastAsia="Arial" w:hAnsi="Arial"/>
                <w:b/>
                <w:bCs/>
                <w:i w:val="false"/>
                <w:iCs w:val="false"/>
                <w:color w:val="0D2B4E"/>
                <w:sz w:val="21"/>
                <w:szCs w:val="21"/>
              </w:rPr>
              <w:t xml:space="preserve">SEULE GMAO combinant on-premise + SaaS + offline dans une seule offre</w:t>
            </w:r>
          </w:p>
          <w:p>
            <w:pPr>
              <w:spacing w:before="60" w:after="60" w:line="276"/>
              <w:jc w:val="left"/>
            </w:pPr>
            <w:r>
              <w:rPr>
                <w:rFonts w:ascii="Arial" w:cs="Arial" w:eastAsia="Arial" w:hAnsi="Arial"/>
                <w:b w:val="false"/>
                <w:bCs w:val="false"/>
                <w:i w:val="false"/>
                <w:iCs w:val="false"/>
                <w:color w:val="8C96A3"/>
                <w:sz w:val="18"/>
                <w:szCs w:val="18"/>
              </w:rPr>
              <w:t xml:space="preserve">Les institutions publiques africaines ont des contraintes de souveraineté des données. Les PME veulent le SaaS. Les sites industriels isolés veulent le offline. Maintex est la seule à tout supporter.</w:t>
            </w:r>
          </w:p>
        </w:tc>
      </w:tr>
      <w:tr>
        <w:tc>
          <w:tcPr>
            <w:tcW w:type="dxa" w:w="500"/>
            <w:tcBorders>
              <w:top w:val="none" w:color="FFFFFF" w:sz="0"/>
              <w:left w:val="none" w:color="FFFFFF" w:sz="0"/>
              <w:bottom w:val="none" w:color="FFFFFF" w:sz="0"/>
              <w:right w:val="none" w:color="FFFFFF" w:sz="0"/>
            </w:tcBorders>
            <w:shd w:fill="1A6BAE" w:val="clear"/>
            <w:tcMar>
              <w:top w:type="dxa" w:w="120"/>
              <w:left w:type="dxa" w:w="80"/>
              <w:bottom w:type="dxa" w:w="120"/>
              <w:right w:type="dxa" w:w="80"/>
            </w:tcMar>
            <w:vAlign w:val="center"/>
          </w:tcPr>
          <w:p>
            <w:pPr>
              <w:spacing w:before="60" w:after="60" w:line="276"/>
              <w:jc w:val="center"/>
            </w:pPr>
            <w:r>
              <w:rPr>
                <w:rFonts w:ascii="Arial" w:cs="Arial" w:eastAsia="Arial" w:hAnsi="Arial"/>
                <w:b/>
                <w:bCs/>
                <w:i w:val="false"/>
                <w:iCs w:val="false"/>
                <w:color w:val="FFFFFF"/>
                <w:sz w:val="28"/>
                <w:szCs w:val="28"/>
              </w:rPr>
              <w:t xml:space="preserve">⑦</w:t>
            </w:r>
          </w:p>
        </w:tc>
        <w:tc>
          <w:tcPr>
            <w:tcW w:type="dxa" w:w="8526"/>
            <w:tcBorders>
              <w:top w:val="single" w:color="E0E4EA" w:sz="1"/>
              <w:left w:val="none" w:color="FFFFFF" w:sz="0"/>
              <w:bottom w:val="single" w:color="E0E4EA" w:sz="1"/>
              <w:right w:val="none" w:color="FFFFFF" w:sz="0"/>
            </w:tcBorders>
            <w:shd w:fill="F4F6F9" w:val="clear"/>
            <w:tcMar>
              <w:top w:type="dxa" w:w="120"/>
              <w:left w:type="dxa" w:w="180"/>
              <w:bottom w:type="dxa" w:w="120"/>
              <w:right w:type="dxa" w:w="120"/>
            </w:tcMar>
          </w:tcPr>
          <w:p>
            <w:pPr>
              <w:spacing w:before="60" w:after="60" w:line="276"/>
              <w:jc w:val="left"/>
            </w:pPr>
            <w:r>
              <w:rPr>
                <w:rFonts w:ascii="Arial" w:cs="Arial" w:eastAsia="Arial" w:hAnsi="Arial"/>
                <w:b/>
                <w:bCs/>
                <w:i w:val="false"/>
                <w:iCs w:val="false"/>
                <w:color w:val="0D2B4E"/>
                <w:sz w:val="21"/>
                <w:szCs w:val="21"/>
              </w:rPr>
              <w:t xml:space="preserve">IA entraînable sur les données locales avec des LLM open source</w:t>
            </w:r>
          </w:p>
          <w:p>
            <w:pPr>
              <w:spacing w:before="60" w:after="60" w:line="276"/>
              <w:jc w:val="left"/>
            </w:pPr>
            <w:r>
              <w:rPr>
                <w:rFonts w:ascii="Arial" w:cs="Arial" w:eastAsia="Arial" w:hAnsi="Arial"/>
                <w:b w:val="false"/>
                <w:bCs w:val="false"/>
                <w:i w:val="false"/>
                <w:iCs w:val="false"/>
                <w:color w:val="8C96A3"/>
                <w:sz w:val="18"/>
                <w:szCs w:val="18"/>
              </w:rPr>
              <w:t xml:space="preserve">En utilisant Ollama + Llama/Mistral en local, les données des clients ne quittent jamais leur serveur. Argument RGPD décisif pour les institutions publiques et les secteurs réglementés.</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4600A" w:val="clear"/>
            <w:tcMar>
              <w:top w:type="dxa" w:w="180"/>
              <w:left w:type="dxa" w:w="240"/>
              <w:bottom w:type="dxa" w:w="180"/>
              <w:right w:type="dxa" w:w="240"/>
            </w:tcMar>
          </w:tcPr>
          <w:p>
            <w:pPr>
              <w:spacing w:before="60" w:after="60" w:line="276"/>
              <w:jc w:val="left"/>
            </w:pPr>
            <w:r>
              <w:rPr>
                <w:rFonts w:ascii="Arial" w:cs="Arial" w:eastAsia="Arial" w:hAnsi="Arial"/>
                <w:b/>
                <w:bCs/>
                <w:i w:val="false"/>
                <w:iCs w:val="false"/>
                <w:color w:val="FFFFFF"/>
                <w:sz w:val="24"/>
                <w:szCs w:val="24"/>
              </w:rPr>
              <w:t xml:space="preserve">PARTIE 6  —  RECOMMANDATIONS SUR LE MODÈLE ÉCONOMIQUE</w:t>
            </w:r>
          </w:p>
        </w:tc>
      </w:tr>
    </w:tbl>
    <w:p>
      <w:pPr>
        <w:spacing w:before="120" w:after="0"/>
      </w:pPr>
      <w:r>
        <w:rPr>
          <w:rFonts w:ascii="Arial" w:cs="Arial" w:eastAsia="Arial" w:hAnsi="Arial"/>
          <w:b w:val="false"/>
          <w:bCs w:val="false"/>
          <w:i w:val="false"/>
          <w:iCs w:val="false"/>
          <w:color w:val="1C2533"/>
          <w:sz w:val="20"/>
          <w:szCs w:val="20"/>
        </w:rPr>
        <w:t xml:space="preserve"/>
      </w:r>
    </w:p>
    <w:p>
      <w:pPr>
        <w:pStyle w:val="Heading2"/>
        <w:pBdr>
          <w:bottom w:val="single" w:color="1A6BAE" w:sz="6" w:space="3"/>
        </w:pBdr>
        <w:spacing w:before="300" w:after="140"/>
      </w:pPr>
      <w:r>
        <w:rPr>
          <w:rFonts w:ascii="Arial" w:cs="Arial" w:eastAsia="Arial" w:hAnsi="Arial"/>
          <w:b/>
          <w:bCs/>
          <w:i w:val="false"/>
          <w:iCs w:val="false"/>
          <w:color w:val="1A6BAE"/>
          <w:sz w:val="27"/>
          <w:szCs w:val="27"/>
        </w:rPr>
        <w:t xml:space="preserve">6.1  Architecture tarifaire recommandée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A6BAE" w:sz="24"/>
              <w:bottom w:val="none" w:color="FFFFFF" w:sz="0"/>
              <w:right w:val="none" w:color="FFFFFF" w:sz="0"/>
            </w:tcBorders>
            <w:shd w:fill="D6E8F7" w:val="clear"/>
            <w:tcMar>
              <w:top w:type="dxa" w:w="100"/>
              <w:left w:type="dxa" w:w="200"/>
              <w:bottom w:type="dxa" w:w="100"/>
              <w:right w:type="dxa" w:w="140"/>
            </w:tcMar>
          </w:tcPr>
          <w:p>
            <w:pPr>
              <w:spacing w:before="30" w:after="30" w:line="276"/>
              <w:jc w:val="left"/>
            </w:pPr>
            <w:r>
              <w:rPr>
                <w:rFonts w:ascii="Arial" w:cs="Arial" w:eastAsia="Arial" w:hAnsi="Arial"/>
                <w:b w:val="false"/>
                <w:bCs w:val="false"/>
                <w:i/>
                <w:iCs/>
                <w:color w:val="1C2533"/>
                <w:sz w:val="20"/>
                <w:szCs w:val="20"/>
              </w:rPr>
              <w:t xml:space="preserve">Le modèle tarifaire est lui-même un produit. MaintainX a capturé des parts de marché avec son plan gratuit. Maintex doit adopter une stratégie tarifaire qui crée de l'entrée par le bas (freemium), génère de l'upsell par la valeur (modules premium) et sécurise les grands comptes (enterprise).</w:t>
            </w:r>
          </w:p>
        </w:tc>
      </w:tr>
    </w:tbl>
    <w:p>
      <w:pPr>
        <w:spacing w:before="100" w:after="0"/>
      </w:pPr>
      <w:r>
        <w:rPr>
          <w:rFonts w:ascii="Arial" w:cs="Arial" w:eastAsia="Arial" w:hAnsi="Arial"/>
          <w:b w:val="false"/>
          <w:bCs w:val="false"/>
          <w:i w:val="false"/>
          <w:iCs w:val="false"/>
          <w:color w:val="1C2533"/>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900"/>
        <w:gridCol w:w="1900"/>
        <w:gridCol w:w="2026"/>
      </w:tblGrid>
      <w:tr>
        <w:tc>
          <w:tcPr>
            <w:tcW w:type="dxa" w:w="1500"/>
            <w:tcBorders>
              <w:top w:val="single" w:color="E0E4EA" w:sz="1"/>
              <w:left w:val="single" w:color="E0E4EA" w:sz="1"/>
              <w:bottom w:val="single" w:color="E0E4EA" w:sz="1"/>
              <w:right w:val="single" w:color="E0E4EA" w:sz="1"/>
            </w:tcBorders>
            <w:shd w:fill="0D2B4E"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FFFFFF"/>
                <w:sz w:val="19"/>
                <w:szCs w:val="19"/>
              </w:rPr>
              <w:t xml:space="preserve"/>
            </w:r>
          </w:p>
        </w:tc>
        <w:tc>
          <w:tcPr>
            <w:tcW w:type="dxa" w:w="1700"/>
            <w:tcBorders>
              <w:top w:val="single" w:color="E0E4EA" w:sz="1"/>
              <w:left w:val="single" w:color="E0E4EA" w:sz="1"/>
              <w:bottom w:val="single" w:color="E0E4EA" w:sz="1"/>
              <w:right w:val="single" w:color="E0E4EA" w:sz="1"/>
            </w:tcBorders>
            <w:shd w:fill="8C96A3" w:val="clear"/>
            <w:tcMar>
              <w:top w:type="dxa" w:w="80"/>
              <w:left w:type="dxa" w:w="130"/>
              <w:bottom w:type="dxa" w:w="80"/>
              <w:right w:type="dxa" w:w="130"/>
            </w:tcMar>
            <w:vAlign w:val="top"/>
          </w:tcPr>
          <w:p>
            <w:pPr>
              <w:spacing w:before="60" w:after="60" w:line="276"/>
              <w:jc w:val="center"/>
            </w:pPr>
            <w:r>
              <w:rPr>
                <w:rFonts w:ascii="Arial" w:cs="Arial" w:eastAsia="Arial" w:hAnsi="Arial"/>
                <w:b/>
                <w:bCs/>
                <w:i w:val="false"/>
                <w:iCs w:val="false"/>
                <w:color w:val="FFFFFF"/>
                <w:sz w:val="19"/>
                <w:szCs w:val="19"/>
              </w:rPr>
              <w:t xml:space="preserve">STARTER
(Freemium)</w:t>
            </w:r>
          </w:p>
        </w:tc>
        <w:tc>
          <w:tcPr>
            <w:tcW w:type="dxa" w:w="1900"/>
            <w:tcBorders>
              <w:top w:val="single" w:color="E0E4EA" w:sz="1"/>
              <w:left w:val="single" w:color="E0E4EA" w:sz="1"/>
              <w:bottom w:val="single" w:color="E0E4EA" w:sz="1"/>
              <w:right w:val="single" w:color="E0E4EA" w:sz="1"/>
            </w:tcBorders>
            <w:shd w:fill="1A6BAE" w:val="clear"/>
            <w:tcMar>
              <w:top w:type="dxa" w:w="80"/>
              <w:left w:type="dxa" w:w="130"/>
              <w:bottom w:type="dxa" w:w="80"/>
              <w:right w:type="dxa" w:w="130"/>
            </w:tcMar>
            <w:vAlign w:val="top"/>
          </w:tcPr>
          <w:p>
            <w:pPr>
              <w:spacing w:before="60" w:after="60" w:line="276"/>
              <w:jc w:val="center"/>
            </w:pPr>
            <w:r>
              <w:rPr>
                <w:rFonts w:ascii="Arial" w:cs="Arial" w:eastAsia="Arial" w:hAnsi="Arial"/>
                <w:b/>
                <w:bCs/>
                <w:i w:val="false"/>
                <w:iCs w:val="false"/>
                <w:color w:val="FFFFFF"/>
                <w:sz w:val="19"/>
                <w:szCs w:val="19"/>
              </w:rPr>
              <w:t xml:space="preserve">GROW
(PME)</w:t>
            </w:r>
          </w:p>
        </w:tc>
        <w:tc>
          <w:tcPr>
            <w:tcW w:type="dxa" w:w="1900"/>
            <w:tcBorders>
              <w:top w:val="single" w:color="E0E4EA" w:sz="1"/>
              <w:left w:val="single" w:color="E0E4EA" w:sz="1"/>
              <w:bottom w:val="single" w:color="E0E4EA" w:sz="1"/>
              <w:right w:val="single" w:color="E0E4EA" w:sz="1"/>
            </w:tcBorders>
            <w:shd w:fill="0E7C7B" w:val="clear"/>
            <w:tcMar>
              <w:top w:type="dxa" w:w="80"/>
              <w:left w:type="dxa" w:w="130"/>
              <w:bottom w:type="dxa" w:w="80"/>
              <w:right w:type="dxa" w:w="130"/>
            </w:tcMar>
            <w:vAlign w:val="top"/>
          </w:tcPr>
          <w:p>
            <w:pPr>
              <w:spacing w:before="60" w:after="60" w:line="276"/>
              <w:jc w:val="center"/>
            </w:pPr>
            <w:r>
              <w:rPr>
                <w:rFonts w:ascii="Arial" w:cs="Arial" w:eastAsia="Arial" w:hAnsi="Arial"/>
                <w:b/>
                <w:bCs/>
                <w:i w:val="false"/>
                <w:iCs w:val="false"/>
                <w:color w:val="FFFFFF"/>
                <w:sz w:val="19"/>
                <w:szCs w:val="19"/>
              </w:rPr>
              <w:t xml:space="preserve">PRO
(Entreprise)</w:t>
            </w:r>
          </w:p>
        </w:tc>
        <w:tc>
          <w:tcPr>
            <w:tcW w:type="dxa" w:w="2026"/>
            <w:tcBorders>
              <w:top w:val="single" w:color="E0E4EA" w:sz="1"/>
              <w:left w:val="single" w:color="E0E4EA" w:sz="1"/>
              <w:bottom w:val="single" w:color="E0E4EA" w:sz="1"/>
              <w:right w:val="single" w:color="E0E4EA" w:sz="1"/>
            </w:tcBorders>
            <w:shd w:fill="0D2B4E" w:val="clear"/>
            <w:tcMar>
              <w:top w:type="dxa" w:w="80"/>
              <w:left w:type="dxa" w:w="130"/>
              <w:bottom w:type="dxa" w:w="80"/>
              <w:right w:type="dxa" w:w="130"/>
            </w:tcMar>
            <w:vAlign w:val="top"/>
          </w:tcPr>
          <w:p>
            <w:pPr>
              <w:spacing w:before="60" w:after="60" w:line="276"/>
              <w:jc w:val="center"/>
            </w:pPr>
            <w:r>
              <w:rPr>
                <w:rFonts w:ascii="Arial" w:cs="Arial" w:eastAsia="Arial" w:hAnsi="Arial"/>
                <w:b/>
                <w:bCs/>
                <w:i w:val="false"/>
                <w:iCs w:val="false"/>
                <w:color w:val="FFFFFF"/>
                <w:sz w:val="19"/>
                <w:szCs w:val="19"/>
              </w:rPr>
              <w:t xml:space="preserve">ENTERPRISE
(Grand compte)</w:t>
            </w:r>
          </w:p>
        </w:tc>
      </w:tr>
      <w:tr>
        <w:tc>
          <w:tcPr>
            <w:tcW w:type="dxa" w:w="15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1C2533"/>
                <w:sz w:val="18"/>
                <w:szCs w:val="18"/>
              </w:rPr>
              <w:t xml:space="preserve">Prix / mois</w:t>
            </w:r>
          </w:p>
        </w:tc>
        <w:tc>
          <w:tcPr>
            <w:tcW w:type="dxa" w:w="17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C2533"/>
                <w:sz w:val="18"/>
                <w:szCs w:val="18"/>
              </w:rPr>
              <w:t xml:space="preserve">Gratuit</w:t>
            </w:r>
          </w:p>
        </w:tc>
        <w:tc>
          <w:tcPr>
            <w:tcW w:type="dxa" w:w="1900"/>
            <w:tcBorders>
              <w:top w:val="single" w:color="E0E4EA" w:sz="1"/>
              <w:left w:val="single" w:color="E0E4EA" w:sz="1"/>
              <w:bottom w:val="single" w:color="E0E4EA" w:sz="1"/>
              <w:right w:val="single" w:color="E0E4EA" w:sz="1"/>
            </w:tcBorders>
            <w:shd w:fill="D6E8F7"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C2533"/>
                <w:sz w:val="18"/>
                <w:szCs w:val="18"/>
              </w:rPr>
              <w:t xml:space="preserve">~29€/user/mois</w:t>
            </w:r>
          </w:p>
        </w:tc>
        <w:tc>
          <w:tcPr>
            <w:tcW w:type="dxa" w:w="1900"/>
            <w:tcBorders>
              <w:top w:val="single" w:color="E0E4EA" w:sz="1"/>
              <w:left w:val="single" w:color="E0E4EA" w:sz="1"/>
              <w:bottom w:val="single" w:color="E0E4EA" w:sz="1"/>
              <w:right w:val="single" w:color="E0E4EA" w:sz="1"/>
            </w:tcBorders>
            <w:shd w:fill="D4EDEC"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C2533"/>
                <w:sz w:val="18"/>
                <w:szCs w:val="18"/>
              </w:rPr>
              <w:t xml:space="preserve">~59€/user/mois</w:t>
            </w:r>
          </w:p>
        </w:tc>
        <w:tc>
          <w:tcPr>
            <w:tcW w:type="dxa" w:w="2026"/>
            <w:tcBorders>
              <w:top w:val="single" w:color="E0E4EA" w:sz="1"/>
              <w:left w:val="single" w:color="E0E4EA" w:sz="1"/>
              <w:bottom w:val="single" w:color="E0E4EA" w:sz="1"/>
              <w:right w:val="single" w:color="E0E4EA" w:sz="1"/>
            </w:tcBorders>
            <w:shd w:fill="D6E8F7"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C2533"/>
                <w:sz w:val="18"/>
                <w:szCs w:val="18"/>
              </w:rPr>
              <w:t xml:space="preserve">Sur devis</w:t>
            </w:r>
          </w:p>
        </w:tc>
      </w:tr>
      <w:tr>
        <w:tc>
          <w:tcPr>
            <w:tcW w:type="dxa" w:w="15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1C2533"/>
                <w:sz w:val="18"/>
                <w:szCs w:val="18"/>
              </w:rPr>
              <w:t xml:space="preserve">Utilisateurs</w:t>
            </w:r>
          </w:p>
        </w:tc>
        <w:tc>
          <w:tcPr>
            <w:tcW w:type="dxa" w:w="17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C2533"/>
                <w:sz w:val="18"/>
                <w:szCs w:val="18"/>
              </w:rPr>
              <w:t xml:space="preserve">3 max</w:t>
            </w:r>
          </w:p>
        </w:tc>
        <w:tc>
          <w:tcPr>
            <w:tcW w:type="dxa" w:w="19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C2533"/>
                <w:sz w:val="18"/>
                <w:szCs w:val="18"/>
              </w:rPr>
              <w:t xml:space="preserve">5 à 50</w:t>
            </w:r>
          </w:p>
        </w:tc>
        <w:tc>
          <w:tcPr>
            <w:tcW w:type="dxa" w:w="1900"/>
            <w:tcBorders>
              <w:top w:val="single" w:color="E0E4EA" w:sz="1"/>
              <w:left w:val="single" w:color="E0E4EA" w:sz="1"/>
              <w:bottom w:val="single" w:color="E0E4EA" w:sz="1"/>
              <w:right w:val="single" w:color="E0E4EA" w:sz="1"/>
            </w:tcBorders>
            <w:shd w:fill="D4EDEC"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C2533"/>
                <w:sz w:val="18"/>
                <w:szCs w:val="18"/>
              </w:rPr>
              <w:t xml:space="preserve">50 à 500</w:t>
            </w:r>
          </w:p>
        </w:tc>
        <w:tc>
          <w:tcPr>
            <w:tcW w:type="dxa" w:w="2026"/>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C2533"/>
                <w:sz w:val="18"/>
                <w:szCs w:val="18"/>
              </w:rPr>
              <w:t xml:space="preserve">Illimité</w:t>
            </w:r>
          </w:p>
        </w:tc>
      </w:tr>
      <w:tr>
        <w:tc>
          <w:tcPr>
            <w:tcW w:type="dxa" w:w="15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1C2533"/>
                <w:sz w:val="18"/>
                <w:szCs w:val="18"/>
              </w:rPr>
              <w:t xml:space="preserve">Sites</w:t>
            </w:r>
          </w:p>
        </w:tc>
        <w:tc>
          <w:tcPr>
            <w:tcW w:type="dxa" w:w="17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C2533"/>
                <w:sz w:val="18"/>
                <w:szCs w:val="18"/>
              </w:rPr>
              <w:t xml:space="preserve">1</w:t>
            </w:r>
          </w:p>
        </w:tc>
        <w:tc>
          <w:tcPr>
            <w:tcW w:type="dxa" w:w="1900"/>
            <w:tcBorders>
              <w:top w:val="single" w:color="E0E4EA" w:sz="1"/>
              <w:left w:val="single" w:color="E0E4EA" w:sz="1"/>
              <w:bottom w:val="single" w:color="E0E4EA" w:sz="1"/>
              <w:right w:val="single" w:color="E0E4EA" w:sz="1"/>
            </w:tcBorders>
            <w:shd w:fill="D6E8F7"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C2533"/>
                <w:sz w:val="18"/>
                <w:szCs w:val="18"/>
              </w:rPr>
              <w:t xml:space="preserve">3</w:t>
            </w:r>
          </w:p>
        </w:tc>
        <w:tc>
          <w:tcPr>
            <w:tcW w:type="dxa" w:w="1900"/>
            <w:tcBorders>
              <w:top w:val="single" w:color="E0E4EA" w:sz="1"/>
              <w:left w:val="single" w:color="E0E4EA" w:sz="1"/>
              <w:bottom w:val="single" w:color="E0E4EA" w:sz="1"/>
              <w:right w:val="single" w:color="E0E4EA" w:sz="1"/>
            </w:tcBorders>
            <w:shd w:fill="D4EDEC"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C2533"/>
                <w:sz w:val="18"/>
                <w:szCs w:val="18"/>
              </w:rPr>
              <w:t xml:space="preserve">Illimité</w:t>
            </w:r>
          </w:p>
        </w:tc>
        <w:tc>
          <w:tcPr>
            <w:tcW w:type="dxa" w:w="2026"/>
            <w:tcBorders>
              <w:top w:val="single" w:color="E0E4EA" w:sz="1"/>
              <w:left w:val="single" w:color="E0E4EA" w:sz="1"/>
              <w:bottom w:val="single" w:color="E0E4EA" w:sz="1"/>
              <w:right w:val="single" w:color="E0E4EA" w:sz="1"/>
            </w:tcBorders>
            <w:shd w:fill="D6E8F7"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C2533"/>
                <w:sz w:val="18"/>
                <w:szCs w:val="18"/>
              </w:rPr>
              <w:t xml:space="preserve">Illimité + Multi-tenant</w:t>
            </w:r>
          </w:p>
        </w:tc>
      </w:tr>
      <w:tr>
        <w:tc>
          <w:tcPr>
            <w:tcW w:type="dxa" w:w="15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1C2533"/>
                <w:sz w:val="18"/>
                <w:szCs w:val="18"/>
              </w:rPr>
              <w:t xml:space="preserve">Équipements</w:t>
            </w:r>
          </w:p>
        </w:tc>
        <w:tc>
          <w:tcPr>
            <w:tcW w:type="dxa" w:w="17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C2533"/>
                <w:sz w:val="18"/>
                <w:szCs w:val="18"/>
              </w:rPr>
              <w:t xml:space="preserve">50 max</w:t>
            </w:r>
          </w:p>
        </w:tc>
        <w:tc>
          <w:tcPr>
            <w:tcW w:type="dxa" w:w="19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C2533"/>
                <w:sz w:val="18"/>
                <w:szCs w:val="18"/>
              </w:rPr>
              <w:t xml:space="preserve">500</w:t>
            </w:r>
          </w:p>
        </w:tc>
        <w:tc>
          <w:tcPr>
            <w:tcW w:type="dxa" w:w="1900"/>
            <w:tcBorders>
              <w:top w:val="single" w:color="E0E4EA" w:sz="1"/>
              <w:left w:val="single" w:color="E0E4EA" w:sz="1"/>
              <w:bottom w:val="single" w:color="E0E4EA" w:sz="1"/>
              <w:right w:val="single" w:color="E0E4EA" w:sz="1"/>
            </w:tcBorders>
            <w:shd w:fill="D4EDEC"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C2533"/>
                <w:sz w:val="18"/>
                <w:szCs w:val="18"/>
              </w:rPr>
              <w:t xml:space="preserve">Illimité</w:t>
            </w:r>
          </w:p>
        </w:tc>
        <w:tc>
          <w:tcPr>
            <w:tcW w:type="dxa" w:w="2026"/>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C2533"/>
                <w:sz w:val="18"/>
                <w:szCs w:val="18"/>
              </w:rPr>
              <w:t xml:space="preserve">Illimité</w:t>
            </w:r>
          </w:p>
        </w:tc>
      </w:tr>
      <w:tr>
        <w:tc>
          <w:tcPr>
            <w:tcW w:type="dxa" w:w="15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1C2533"/>
                <w:sz w:val="18"/>
                <w:szCs w:val="18"/>
              </w:rPr>
              <w:t xml:space="preserve">IA (F01, F05)</w:t>
            </w:r>
          </w:p>
        </w:tc>
        <w:tc>
          <w:tcPr>
            <w:tcW w:type="dxa" w:w="17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B71C1C"/>
                <w:sz w:val="18"/>
                <w:szCs w:val="18"/>
              </w:rPr>
              <w:t xml:space="preserve">✗</w:t>
            </w:r>
          </w:p>
        </w:tc>
        <w:tc>
          <w:tcPr>
            <w:tcW w:type="dxa" w:w="1900"/>
            <w:tcBorders>
              <w:top w:val="single" w:color="E0E4EA" w:sz="1"/>
              <w:left w:val="single" w:color="E0E4EA" w:sz="1"/>
              <w:bottom w:val="single" w:color="E0E4EA" w:sz="1"/>
              <w:right w:val="single" w:color="E0E4EA" w:sz="1"/>
            </w:tcBorders>
            <w:shd w:fill="D6E8F7"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C2533"/>
                <w:sz w:val="18"/>
                <w:szCs w:val="18"/>
              </w:rPr>
              <w:t xml:space="preserve">F01 seul</w:t>
            </w:r>
          </w:p>
        </w:tc>
        <w:tc>
          <w:tcPr>
            <w:tcW w:type="dxa" w:w="1900"/>
            <w:tcBorders>
              <w:top w:val="single" w:color="E0E4EA" w:sz="1"/>
              <w:left w:val="single" w:color="E0E4EA" w:sz="1"/>
              <w:bottom w:val="single" w:color="E0E4EA" w:sz="1"/>
              <w:right w:val="single" w:color="E0E4EA" w:sz="1"/>
            </w:tcBorders>
            <w:shd w:fill="D4EDEC"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C2533"/>
                <w:sz w:val="18"/>
                <w:szCs w:val="18"/>
              </w:rPr>
              <w:t xml:space="preserve">F01 + F05</w:t>
            </w:r>
          </w:p>
        </w:tc>
        <w:tc>
          <w:tcPr>
            <w:tcW w:type="dxa" w:w="2026"/>
            <w:tcBorders>
              <w:top w:val="single" w:color="E0E4EA" w:sz="1"/>
              <w:left w:val="single" w:color="E0E4EA" w:sz="1"/>
              <w:bottom w:val="single" w:color="E0E4EA" w:sz="1"/>
              <w:right w:val="single" w:color="E0E4EA" w:sz="1"/>
            </w:tcBorders>
            <w:shd w:fill="D6E8F7"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C2533"/>
                <w:sz w:val="18"/>
                <w:szCs w:val="18"/>
              </w:rPr>
              <w:t xml:space="preserve">F01 + F05 + LLM local</w:t>
            </w:r>
          </w:p>
        </w:tc>
      </w:tr>
      <w:tr>
        <w:tc>
          <w:tcPr>
            <w:tcW w:type="dxa" w:w="15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1C2533"/>
                <w:sz w:val="18"/>
                <w:szCs w:val="18"/>
              </w:rPr>
              <w:t xml:space="preserve">Module ESG (F32)</w:t>
            </w:r>
          </w:p>
        </w:tc>
        <w:tc>
          <w:tcPr>
            <w:tcW w:type="dxa" w:w="17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B71C1C"/>
                <w:sz w:val="18"/>
                <w:szCs w:val="18"/>
              </w:rPr>
              <w:t xml:space="preserve">✗</w:t>
            </w:r>
          </w:p>
        </w:tc>
        <w:tc>
          <w:tcPr>
            <w:tcW w:type="dxa" w:w="19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B71C1C"/>
                <w:sz w:val="18"/>
                <w:szCs w:val="18"/>
              </w:rPr>
              <w:t xml:space="preserve">✗</w:t>
            </w:r>
          </w:p>
        </w:tc>
        <w:tc>
          <w:tcPr>
            <w:tcW w:type="dxa" w:w="1900"/>
            <w:tcBorders>
              <w:top w:val="single" w:color="E0E4EA" w:sz="1"/>
              <w:left w:val="single" w:color="E0E4EA" w:sz="1"/>
              <w:bottom w:val="single" w:color="E0E4EA" w:sz="1"/>
              <w:right w:val="single" w:color="E0E4EA" w:sz="1"/>
            </w:tcBorders>
            <w:shd w:fill="D4EDEC"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B6B35"/>
                <w:sz w:val="18"/>
                <w:szCs w:val="18"/>
              </w:rPr>
              <w:t xml:space="preserve">✓</w:t>
            </w:r>
          </w:p>
        </w:tc>
        <w:tc>
          <w:tcPr>
            <w:tcW w:type="dxa" w:w="2026"/>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B6B35"/>
                <w:sz w:val="18"/>
                <w:szCs w:val="18"/>
              </w:rPr>
              <w:t xml:space="preserve">✓ + API export</w:t>
            </w:r>
          </w:p>
        </w:tc>
      </w:tr>
      <w:tr>
        <w:tc>
          <w:tcPr>
            <w:tcW w:type="dxa" w:w="15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1C2533"/>
                <w:sz w:val="18"/>
                <w:szCs w:val="18"/>
              </w:rPr>
              <w:t xml:space="preserve">SSO / LDAP (F07)</w:t>
            </w:r>
          </w:p>
        </w:tc>
        <w:tc>
          <w:tcPr>
            <w:tcW w:type="dxa" w:w="17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B71C1C"/>
                <w:sz w:val="18"/>
                <w:szCs w:val="18"/>
              </w:rPr>
              <w:t xml:space="preserve">✗</w:t>
            </w:r>
          </w:p>
        </w:tc>
        <w:tc>
          <w:tcPr>
            <w:tcW w:type="dxa" w:w="1900"/>
            <w:tcBorders>
              <w:top w:val="single" w:color="E0E4EA" w:sz="1"/>
              <w:left w:val="single" w:color="E0E4EA" w:sz="1"/>
              <w:bottom w:val="single" w:color="E0E4EA" w:sz="1"/>
              <w:right w:val="single" w:color="E0E4EA" w:sz="1"/>
            </w:tcBorders>
            <w:shd w:fill="D6E8F7"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B71C1C"/>
                <w:sz w:val="18"/>
                <w:szCs w:val="18"/>
              </w:rPr>
              <w:t xml:space="preserve">✗</w:t>
            </w:r>
          </w:p>
        </w:tc>
        <w:tc>
          <w:tcPr>
            <w:tcW w:type="dxa" w:w="1900"/>
            <w:tcBorders>
              <w:top w:val="single" w:color="E0E4EA" w:sz="1"/>
              <w:left w:val="single" w:color="E0E4EA" w:sz="1"/>
              <w:bottom w:val="single" w:color="E0E4EA" w:sz="1"/>
              <w:right w:val="single" w:color="E0E4EA" w:sz="1"/>
            </w:tcBorders>
            <w:shd w:fill="D4EDEC"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B6B35"/>
                <w:sz w:val="18"/>
                <w:szCs w:val="18"/>
              </w:rPr>
              <w:t xml:space="preserve">✓</w:t>
            </w:r>
          </w:p>
        </w:tc>
        <w:tc>
          <w:tcPr>
            <w:tcW w:type="dxa" w:w="2026"/>
            <w:tcBorders>
              <w:top w:val="single" w:color="E0E4EA" w:sz="1"/>
              <w:left w:val="single" w:color="E0E4EA" w:sz="1"/>
              <w:bottom w:val="single" w:color="E0E4EA" w:sz="1"/>
              <w:right w:val="single" w:color="E0E4EA" w:sz="1"/>
            </w:tcBorders>
            <w:shd w:fill="D6E8F7"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B6B35"/>
                <w:sz w:val="18"/>
                <w:szCs w:val="18"/>
              </w:rPr>
              <w:t xml:space="preserve">✓</w:t>
            </w:r>
          </w:p>
        </w:tc>
      </w:tr>
      <w:tr>
        <w:tc>
          <w:tcPr>
            <w:tcW w:type="dxa" w:w="15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1C2533"/>
                <w:sz w:val="18"/>
                <w:szCs w:val="18"/>
              </w:rPr>
              <w:t xml:space="preserve">Marketplace (F33)</w:t>
            </w:r>
          </w:p>
        </w:tc>
        <w:tc>
          <w:tcPr>
            <w:tcW w:type="dxa" w:w="17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B71C1C"/>
                <w:sz w:val="18"/>
                <w:szCs w:val="18"/>
              </w:rPr>
              <w:t xml:space="preserve">✗</w:t>
            </w:r>
          </w:p>
        </w:tc>
        <w:tc>
          <w:tcPr>
            <w:tcW w:type="dxa" w:w="19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B6B35"/>
                <w:sz w:val="18"/>
                <w:szCs w:val="18"/>
              </w:rPr>
              <w:t xml:space="preserve">✓ (accès)</w:t>
            </w:r>
          </w:p>
        </w:tc>
        <w:tc>
          <w:tcPr>
            <w:tcW w:type="dxa" w:w="1900"/>
            <w:tcBorders>
              <w:top w:val="single" w:color="E0E4EA" w:sz="1"/>
              <w:left w:val="single" w:color="E0E4EA" w:sz="1"/>
              <w:bottom w:val="single" w:color="E0E4EA" w:sz="1"/>
              <w:right w:val="single" w:color="E0E4EA" w:sz="1"/>
            </w:tcBorders>
            <w:shd w:fill="D4EDEC"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B6B35"/>
                <w:sz w:val="18"/>
                <w:szCs w:val="18"/>
              </w:rPr>
              <w:t xml:space="preserve">✓ (création)</w:t>
            </w:r>
          </w:p>
        </w:tc>
        <w:tc>
          <w:tcPr>
            <w:tcW w:type="dxa" w:w="2026"/>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B6B35"/>
                <w:sz w:val="18"/>
                <w:szCs w:val="18"/>
              </w:rPr>
              <w:t xml:space="preserve">✓ (prioritaire)</w:t>
            </w:r>
          </w:p>
        </w:tc>
      </w:tr>
      <w:tr>
        <w:tc>
          <w:tcPr>
            <w:tcW w:type="dxa" w:w="15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1C2533"/>
                <w:sz w:val="18"/>
                <w:szCs w:val="18"/>
              </w:rPr>
              <w:t xml:space="preserve">On-premise</w:t>
            </w:r>
          </w:p>
        </w:tc>
        <w:tc>
          <w:tcPr>
            <w:tcW w:type="dxa" w:w="17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B71C1C"/>
                <w:sz w:val="18"/>
                <w:szCs w:val="18"/>
              </w:rPr>
              <w:t xml:space="preserve">✗</w:t>
            </w:r>
          </w:p>
        </w:tc>
        <w:tc>
          <w:tcPr>
            <w:tcW w:type="dxa" w:w="1900"/>
            <w:tcBorders>
              <w:top w:val="single" w:color="E0E4EA" w:sz="1"/>
              <w:left w:val="single" w:color="E0E4EA" w:sz="1"/>
              <w:bottom w:val="single" w:color="E0E4EA" w:sz="1"/>
              <w:right w:val="single" w:color="E0E4EA" w:sz="1"/>
            </w:tcBorders>
            <w:shd w:fill="D6E8F7"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B71C1C"/>
                <w:sz w:val="18"/>
                <w:szCs w:val="18"/>
              </w:rPr>
              <w:t xml:space="preserve">✗</w:t>
            </w:r>
          </w:p>
        </w:tc>
        <w:tc>
          <w:tcPr>
            <w:tcW w:type="dxa" w:w="1900"/>
            <w:tcBorders>
              <w:top w:val="single" w:color="E0E4EA" w:sz="1"/>
              <w:left w:val="single" w:color="E0E4EA" w:sz="1"/>
              <w:bottom w:val="single" w:color="E0E4EA" w:sz="1"/>
              <w:right w:val="single" w:color="E0E4EA" w:sz="1"/>
            </w:tcBorders>
            <w:shd w:fill="D4EDEC"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C2533"/>
                <w:sz w:val="18"/>
                <w:szCs w:val="18"/>
              </w:rPr>
              <w:t xml:space="preserve">Option</w:t>
            </w:r>
          </w:p>
        </w:tc>
        <w:tc>
          <w:tcPr>
            <w:tcW w:type="dxa" w:w="2026"/>
            <w:tcBorders>
              <w:top w:val="single" w:color="E0E4EA" w:sz="1"/>
              <w:left w:val="single" w:color="E0E4EA" w:sz="1"/>
              <w:bottom w:val="single" w:color="E0E4EA" w:sz="1"/>
              <w:right w:val="single" w:color="E0E4EA" w:sz="1"/>
            </w:tcBorders>
            <w:shd w:fill="D6E8F7"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B6B35"/>
                <w:sz w:val="18"/>
                <w:szCs w:val="18"/>
              </w:rPr>
              <w:t xml:space="preserve">✓</w:t>
            </w:r>
          </w:p>
        </w:tc>
      </w:tr>
      <w:tr>
        <w:tc>
          <w:tcPr>
            <w:tcW w:type="dxa" w:w="15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1C2533"/>
                <w:sz w:val="18"/>
                <w:szCs w:val="18"/>
              </w:rPr>
              <w:t xml:space="preserve">Support</w:t>
            </w:r>
          </w:p>
        </w:tc>
        <w:tc>
          <w:tcPr>
            <w:tcW w:type="dxa" w:w="17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C2533"/>
                <w:sz w:val="18"/>
                <w:szCs w:val="18"/>
              </w:rPr>
              <w:t xml:space="preserve">Base de connaissance</w:t>
            </w:r>
          </w:p>
        </w:tc>
        <w:tc>
          <w:tcPr>
            <w:tcW w:type="dxa" w:w="19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C2533"/>
                <w:sz w:val="18"/>
                <w:szCs w:val="18"/>
              </w:rPr>
              <w:t xml:space="preserve">Email</w:t>
            </w:r>
          </w:p>
        </w:tc>
        <w:tc>
          <w:tcPr>
            <w:tcW w:type="dxa" w:w="1900"/>
            <w:tcBorders>
              <w:top w:val="single" w:color="E0E4EA" w:sz="1"/>
              <w:left w:val="single" w:color="E0E4EA" w:sz="1"/>
              <w:bottom w:val="single" w:color="E0E4EA" w:sz="1"/>
              <w:right w:val="single" w:color="E0E4EA" w:sz="1"/>
            </w:tcBorders>
            <w:shd w:fill="D4EDEC"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C2533"/>
                <w:sz w:val="18"/>
                <w:szCs w:val="18"/>
              </w:rPr>
              <w:t xml:space="preserve">Chat + Email</w:t>
            </w:r>
          </w:p>
        </w:tc>
        <w:tc>
          <w:tcPr>
            <w:tcW w:type="dxa" w:w="2026"/>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center"/>
            </w:pPr>
            <w:r>
              <w:rPr>
                <w:rFonts w:ascii="Arial" w:cs="Arial" w:eastAsia="Arial" w:hAnsi="Arial"/>
                <w:i w:val="false"/>
                <w:iCs w:val="false"/>
                <w:color w:val="1C2533"/>
                <w:sz w:val="18"/>
                <w:szCs w:val="18"/>
              </w:rPr>
              <w:t xml:space="preserve">CSM dédié</w:t>
            </w:r>
          </w:p>
        </w:tc>
      </w:tr>
    </w:tbl>
    <w:p>
      <w:pPr>
        <w:spacing w:before="160" w:after="0"/>
      </w:pPr>
      <w:r>
        <w:rPr>
          <w:rFonts w:ascii="Arial" w:cs="Arial" w:eastAsia="Arial" w:hAnsi="Arial"/>
          <w:b w:val="false"/>
          <w:bCs w:val="false"/>
          <w:i w:val="false"/>
          <w:iCs w:val="false"/>
          <w:color w:val="1C2533"/>
          <w:sz w:val="20"/>
          <w:szCs w:val="20"/>
        </w:rPr>
        <w:t xml:space="preserve"/>
      </w:r>
    </w:p>
    <w:p>
      <w:pPr>
        <w:pStyle w:val="Heading2"/>
        <w:pBdr>
          <w:bottom w:val="single" w:color="1A6BAE" w:sz="6" w:space="3"/>
        </w:pBdr>
        <w:spacing w:before="300" w:after="140"/>
      </w:pPr>
      <w:r>
        <w:rPr>
          <w:rFonts w:ascii="Arial" w:cs="Arial" w:eastAsia="Arial" w:hAnsi="Arial"/>
          <w:b/>
          <w:bCs/>
          <w:i w:val="false"/>
          <w:iCs w:val="false"/>
          <w:color w:val="1A6BAE"/>
          <w:sz w:val="27"/>
          <w:szCs w:val="27"/>
        </w:rPr>
        <w:t xml:space="preserve">6.2  Nouvelles sources de revenus générées par les fonctionnalités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226"/>
      </w:tblGrid>
      <w:tr>
        <w:tc>
          <w:tcPr>
            <w:tcW w:type="dxa" w:w="1400"/>
            <w:tcBorders>
              <w:top w:val="single" w:color="E0E4EA" w:sz="1"/>
              <w:left w:val="single" w:color="E0E4EA" w:sz="1"/>
              <w:bottom w:val="single" w:color="E0E4EA" w:sz="1"/>
              <w:right w:val="single" w:color="E0E4EA" w:sz="1"/>
            </w:tcBorders>
            <w:shd w:fill="0D2B4E"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FFFFFF"/>
                <w:sz w:val="19"/>
                <w:szCs w:val="19"/>
              </w:rPr>
              <w:t xml:space="preserve">Fonctionnalité</w:t>
            </w:r>
          </w:p>
        </w:tc>
        <w:tc>
          <w:tcPr>
            <w:tcW w:type="dxa" w:w="2200"/>
            <w:tcBorders>
              <w:top w:val="single" w:color="E0E4EA" w:sz="1"/>
              <w:left w:val="single" w:color="E0E4EA" w:sz="1"/>
              <w:bottom w:val="single" w:color="E0E4EA" w:sz="1"/>
              <w:right w:val="single" w:color="E0E4EA" w:sz="1"/>
            </w:tcBorders>
            <w:shd w:fill="0D2B4E"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FFFFFF"/>
                <w:sz w:val="19"/>
                <w:szCs w:val="19"/>
              </w:rPr>
              <w:t xml:space="preserve">Modèle de revenus</w:t>
            </w:r>
          </w:p>
        </w:tc>
        <w:tc>
          <w:tcPr>
            <w:tcW w:type="dxa" w:w="2200"/>
            <w:tcBorders>
              <w:top w:val="single" w:color="E0E4EA" w:sz="1"/>
              <w:left w:val="single" w:color="E0E4EA" w:sz="1"/>
              <w:bottom w:val="single" w:color="E0E4EA" w:sz="1"/>
              <w:right w:val="single" w:color="E0E4EA" w:sz="1"/>
            </w:tcBorders>
            <w:shd w:fill="0D2B4E"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FFFFFF"/>
                <w:sz w:val="19"/>
                <w:szCs w:val="19"/>
              </w:rPr>
              <w:t xml:space="preserve">Potentiel estimé</w:t>
            </w:r>
          </w:p>
        </w:tc>
        <w:tc>
          <w:tcPr>
            <w:tcW w:type="dxa" w:w="3226"/>
            <w:tcBorders>
              <w:top w:val="single" w:color="E0E4EA" w:sz="1"/>
              <w:left w:val="single" w:color="E0E4EA" w:sz="1"/>
              <w:bottom w:val="single" w:color="E0E4EA" w:sz="1"/>
              <w:right w:val="single" w:color="E0E4EA" w:sz="1"/>
            </w:tcBorders>
            <w:shd w:fill="0D2B4E"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FFFFFF"/>
                <w:sz w:val="19"/>
                <w:szCs w:val="19"/>
              </w:rPr>
              <w:t xml:space="preserve">Conditions de succès</w:t>
            </w:r>
          </w:p>
        </w:tc>
      </w:tr>
      <w:tr>
        <w:tc>
          <w:tcPr>
            <w:tcW w:type="dxa" w:w="14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0D2B4E"/>
                <w:sz w:val="18"/>
                <w:szCs w:val="18"/>
              </w:rPr>
              <w:t xml:space="preserve">F33 — Marketplace</w:t>
            </w:r>
          </w:p>
        </w:tc>
        <w:tc>
          <w:tcPr>
            <w:tcW w:type="dxa" w:w="22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Commission 5-10% sur les interventions externalisées</w:t>
            </w:r>
          </w:p>
        </w:tc>
        <w:tc>
          <w:tcPr>
            <w:tcW w:type="dxa" w:w="2200"/>
            <w:tcBorders>
              <w:top w:val="single" w:color="E0E4EA" w:sz="1"/>
              <w:left w:val="single" w:color="E0E4EA" w:sz="1"/>
              <w:bottom w:val="single" w:color="E0E4EA" w:sz="1"/>
              <w:right w:val="single" w:color="E0E4EA" w:sz="1"/>
            </w:tcBorders>
            <w:shd w:fill="FFF8DC"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A07800"/>
                <w:sz w:val="18"/>
                <w:szCs w:val="18"/>
              </w:rPr>
              <w:t xml:space="preserve">Élevé — récurrent</w:t>
            </w:r>
          </w:p>
        </w:tc>
        <w:tc>
          <w:tcPr>
            <w:tcW w:type="dxa" w:w="3226"/>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8C96A3"/>
                <w:sz w:val="17"/>
                <w:szCs w:val="17"/>
              </w:rPr>
              <w:t xml:space="preserve">Nombre critique de prestataires (&gt;50 dans les 2 premières villes)</w:t>
            </w:r>
          </w:p>
        </w:tc>
      </w:tr>
      <w:tr>
        <w:tc>
          <w:tcPr>
            <w:tcW w:type="dxa" w:w="14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0D2B4E"/>
                <w:sz w:val="18"/>
                <w:szCs w:val="18"/>
              </w:rPr>
              <w:t xml:space="preserve">F30 — Chatbot IA</w:t>
            </w:r>
          </w:p>
        </w:tc>
        <w:tc>
          <w:tcPr>
            <w:tcW w:type="dxa" w:w="22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Module IA premium (upsell sur plan PRO/Enterprise)</w:t>
            </w:r>
          </w:p>
        </w:tc>
        <w:tc>
          <w:tcPr>
            <w:tcW w:type="dxa" w:w="22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A07800"/>
                <w:sz w:val="18"/>
                <w:szCs w:val="18"/>
              </w:rPr>
              <w:t xml:space="preserve">Moyen — récurrent</w:t>
            </w:r>
          </w:p>
        </w:tc>
        <w:tc>
          <w:tcPr>
            <w:tcW w:type="dxa" w:w="3226"/>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8C96A3"/>
                <w:sz w:val="17"/>
                <w:szCs w:val="17"/>
              </w:rPr>
              <w:t xml:space="preserve">Qualité de la base de connaissance, satisfaction utilisateur</w:t>
            </w:r>
          </w:p>
        </w:tc>
      </w:tr>
      <w:tr>
        <w:tc>
          <w:tcPr>
            <w:tcW w:type="dxa" w:w="14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0D2B4E"/>
                <w:sz w:val="18"/>
                <w:szCs w:val="18"/>
              </w:rPr>
              <w:t xml:space="preserve">F32 — ESG</w:t>
            </w:r>
          </w:p>
        </w:tc>
        <w:tc>
          <w:tcPr>
            <w:tcW w:type="dxa" w:w="22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Module ESG premium + conseil ESG (services professionnels)</w:t>
            </w:r>
          </w:p>
        </w:tc>
        <w:tc>
          <w:tcPr>
            <w:tcW w:type="dxa" w:w="2200"/>
            <w:tcBorders>
              <w:top w:val="single" w:color="E0E4EA" w:sz="1"/>
              <w:left w:val="single" w:color="E0E4EA" w:sz="1"/>
              <w:bottom w:val="single" w:color="E0E4EA" w:sz="1"/>
              <w:right w:val="single" w:color="E0E4EA" w:sz="1"/>
            </w:tcBorders>
            <w:shd w:fill="FFF8DC"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A07800"/>
                <w:sz w:val="18"/>
                <w:szCs w:val="18"/>
              </w:rPr>
              <w:t xml:space="preserve">Très élevé — réglementaire</w:t>
            </w:r>
          </w:p>
        </w:tc>
        <w:tc>
          <w:tcPr>
            <w:tcW w:type="dxa" w:w="3226"/>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8C96A3"/>
                <w:sz w:val="17"/>
                <w:szCs w:val="17"/>
              </w:rPr>
              <w:t xml:space="preserve">Communication auprès des institutions financières (BOAD, AFD)</w:t>
            </w:r>
          </w:p>
        </w:tc>
      </w:tr>
      <w:tr>
        <w:tc>
          <w:tcPr>
            <w:tcW w:type="dxa" w:w="14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0D2B4E"/>
                <w:sz w:val="18"/>
                <w:szCs w:val="18"/>
              </w:rPr>
              <w:t xml:space="preserve">F35 — Digital Twin</w:t>
            </w:r>
          </w:p>
        </w:tc>
        <w:tc>
          <w:tcPr>
            <w:tcW w:type="dxa" w:w="22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Module Enterprise uniquement, prix premium</w:t>
            </w:r>
          </w:p>
        </w:tc>
        <w:tc>
          <w:tcPr>
            <w:tcW w:type="dxa" w:w="22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A07800"/>
                <w:sz w:val="18"/>
                <w:szCs w:val="18"/>
              </w:rPr>
              <w:t xml:space="preserve">Élevé — secteurs industriels</w:t>
            </w:r>
          </w:p>
        </w:tc>
        <w:tc>
          <w:tcPr>
            <w:tcW w:type="dxa" w:w="3226"/>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8C96A3"/>
                <w:sz w:val="17"/>
                <w:szCs w:val="17"/>
              </w:rPr>
              <w:t xml:space="preserve">Intégration IoT mature (F11) préalablement déployée</w:t>
            </w:r>
          </w:p>
        </w:tc>
      </w:tr>
      <w:tr>
        <w:tc>
          <w:tcPr>
            <w:tcW w:type="dxa" w:w="14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0D2B4E"/>
                <w:sz w:val="18"/>
                <w:szCs w:val="18"/>
              </w:rPr>
              <w:t xml:space="preserve">F37 — Portail Client</w:t>
            </w:r>
          </w:p>
        </w:tc>
        <w:tc>
          <w:tcPr>
            <w:tcW w:type="dxa" w:w="2200"/>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Sous-licence par commanditaire (modèle B2B2B)</w:t>
            </w:r>
          </w:p>
        </w:tc>
        <w:tc>
          <w:tcPr>
            <w:tcW w:type="dxa" w:w="2200"/>
            <w:tcBorders>
              <w:top w:val="single" w:color="E0E4EA" w:sz="1"/>
              <w:left w:val="single" w:color="E0E4EA" w:sz="1"/>
              <w:bottom w:val="single" w:color="E0E4EA" w:sz="1"/>
              <w:right w:val="single" w:color="E0E4EA" w:sz="1"/>
            </w:tcBorders>
            <w:shd w:fill="FFF8DC"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A07800"/>
                <w:sz w:val="18"/>
                <w:szCs w:val="18"/>
              </w:rPr>
              <w:t xml:space="preserve">Moyen — multiplicateur</w:t>
            </w:r>
          </w:p>
        </w:tc>
        <w:tc>
          <w:tcPr>
            <w:tcW w:type="dxa" w:w="3226"/>
            <w:tcBorders>
              <w:top w:val="single" w:color="E0E4EA" w:sz="1"/>
              <w:left w:val="single" w:color="E0E4EA" w:sz="1"/>
              <w:bottom w:val="single" w:color="E0E4EA" w:sz="1"/>
              <w:right w:val="single" w:color="E0E4EA" w:sz="1"/>
            </w:tcBorders>
            <w:shd w:fill="F4F6F9"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8C96A3"/>
                <w:sz w:val="17"/>
                <w:szCs w:val="17"/>
              </w:rPr>
              <w:t xml:space="preserve">Adoption par les prestataires de maintenance comme outil de service</w:t>
            </w:r>
          </w:p>
        </w:tc>
      </w:tr>
      <w:tr>
        <w:tc>
          <w:tcPr>
            <w:tcW w:type="dxa" w:w="14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0D2B4E"/>
                <w:sz w:val="18"/>
                <w:szCs w:val="18"/>
              </w:rPr>
              <w:t xml:space="preserve">F38 — Conformité OHADA</w:t>
            </w:r>
          </w:p>
        </w:tc>
        <w:tc>
          <w:tcPr>
            <w:tcW w:type="dxa" w:w="22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1C2533"/>
                <w:sz w:val="18"/>
                <w:szCs w:val="18"/>
              </w:rPr>
              <w:t xml:space="preserve">Partenariat avec les cabinets comptables africains</w:t>
            </w:r>
          </w:p>
        </w:tc>
        <w:tc>
          <w:tcPr>
            <w:tcW w:type="dxa" w:w="2200"/>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A07800"/>
                <w:sz w:val="18"/>
                <w:szCs w:val="18"/>
              </w:rPr>
              <w:t xml:space="preserve">Moyen — récurrent</w:t>
            </w:r>
          </w:p>
        </w:tc>
        <w:tc>
          <w:tcPr>
            <w:tcW w:type="dxa" w:w="3226"/>
            <w:tcBorders>
              <w:top w:val="single" w:color="E0E4EA" w:sz="1"/>
              <w:left w:val="single" w:color="E0E4EA" w:sz="1"/>
              <w:bottom w:val="single" w:color="E0E4EA" w:sz="1"/>
              <w:right w:val="single" w:color="E0E4EA" w:sz="1"/>
            </w:tcBorders>
            <w:shd w:fill="FFFFFF" w:val="clear"/>
            <w:tcMar>
              <w:top w:type="dxa" w:w="80"/>
              <w:left w:type="dxa" w:w="130"/>
              <w:bottom w:type="dxa" w:w="80"/>
              <w:right w:type="dxa" w:w="130"/>
            </w:tcMar>
            <w:vAlign w:val="top"/>
          </w:tcPr>
          <w:p>
            <w:pPr>
              <w:spacing w:before="60" w:after="60" w:line="276"/>
              <w:jc w:val="left"/>
            </w:pPr>
            <w:r>
              <w:rPr>
                <w:rFonts w:ascii="Arial" w:cs="Arial" w:eastAsia="Arial" w:hAnsi="Arial"/>
                <w:i w:val="false"/>
                <w:iCs w:val="false"/>
                <w:color w:val="8C96A3"/>
                <w:sz w:val="17"/>
                <w:szCs w:val="17"/>
              </w:rPr>
              <w:t xml:space="preserve">Certification par un grand cabinet (KPMG Africa, Deloitte Africa)</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2B4E" w:val="clear"/>
            <w:tcMar>
              <w:top w:type="dxa" w:w="180"/>
              <w:left w:type="dxa" w:w="240"/>
              <w:bottom w:type="dxa" w:w="180"/>
              <w:right w:type="dxa" w:w="240"/>
            </w:tcMar>
          </w:tcPr>
          <w:p>
            <w:pPr>
              <w:spacing w:before="60" w:after="60" w:line="276"/>
              <w:jc w:val="left"/>
            </w:pPr>
            <w:r>
              <w:rPr>
                <w:rFonts w:ascii="Arial" w:cs="Arial" w:eastAsia="Arial" w:hAnsi="Arial"/>
                <w:b/>
                <w:bCs/>
                <w:i w:val="false"/>
                <w:iCs w:val="false"/>
                <w:color w:val="FFFFFF"/>
                <w:sz w:val="24"/>
                <w:szCs w:val="24"/>
              </w:rPr>
              <w:t xml:space="preserve">CONCLUSION  —  LA VISION MAINTEX 2027</w:t>
            </w:r>
          </w:p>
        </w:tc>
      </w:tr>
    </w:tbl>
    <w:p>
      <w:pPr>
        <w:spacing w:before="160" w:after="0"/>
      </w:pPr>
      <w:r>
        <w:rPr>
          <w:rFonts w:ascii="Arial" w:cs="Arial" w:eastAsia="Arial" w:hAnsi="Arial"/>
          <w:b w:val="false"/>
          <w:bCs w:val="false"/>
          <w:i w:val="false"/>
          <w:iCs w:val="false"/>
          <w:color w:val="1C2533"/>
          <w:sz w:val="20"/>
          <w:szCs w:val="20"/>
        </w:rPr>
        <w:t xml:space="preserve"/>
      </w:r>
    </w:p>
    <w:p>
      <w:pPr>
        <w:pStyle w:val="Heading2"/>
        <w:pBdr>
          <w:bottom w:val="single" w:color="1A6BAE" w:sz="6" w:space="3"/>
        </w:pBdr>
        <w:spacing w:before="300" w:after="140"/>
      </w:pPr>
      <w:r>
        <w:rPr>
          <w:rFonts w:ascii="Arial" w:cs="Arial" w:eastAsia="Arial" w:hAnsi="Arial"/>
          <w:b/>
          <w:bCs/>
          <w:i w:val="false"/>
          <w:iCs w:val="false"/>
          <w:color w:val="1A6BAE"/>
          <w:sz w:val="27"/>
          <w:szCs w:val="27"/>
        </w:rPr>
        <w:t xml:space="preserve">Le chemin vers la GMAO que l'on s'arrache</w:t>
      </w:r>
    </w:p>
    <w:p>
      <w:pPr>
        <w:spacing w:before="60" w:after="60" w:line="276"/>
        <w:jc w:val="left"/>
      </w:pPr>
      <w:r>
        <w:rPr>
          <w:rFonts w:ascii="Arial" w:cs="Arial" w:eastAsia="Arial" w:hAnsi="Arial"/>
          <w:b w:val="false"/>
          <w:bCs w:val="false"/>
          <w:i w:val="false"/>
          <w:iCs w:val="false"/>
          <w:color w:val="1C2533"/>
          <w:sz w:val="20"/>
          <w:szCs w:val="20"/>
        </w:rPr>
        <w:t xml:space="preserve">Les 42 fonctionnalités de ce document ne sont pas une liste de souhaits. C'est une architecture produit cohérente, construite autour d'une conviction forte : Maintex ne doit pas chercher à copier MaintainX. Il doit le dépasser sur les dimensions où il est le seul à pouvoir gagner.</w:t>
      </w:r>
    </w:p>
    <w:p>
      <w:pPr>
        <w:spacing w:before="120" w:after="0"/>
      </w:pPr>
      <w:r>
        <w:rPr>
          <w:rFonts w:ascii="Arial" w:cs="Arial" w:eastAsia="Arial" w:hAnsi="Arial"/>
          <w:b w:val="false"/>
          <w:bCs w:val="false"/>
          <w:i w:val="false"/>
          <w:iCs w:val="false"/>
          <w:color w:val="1C2533"/>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E0E4EA" w:sz="1"/>
              <w:left w:val="single" w:color="E0E4EA" w:sz="1"/>
              <w:bottom w:val="single" w:color="E0E4EA" w:sz="1"/>
              <w:right w:val="single" w:color="E0E4EA" w:sz="1"/>
            </w:tcBorders>
            <w:shd w:fill="0D2B4E"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FFFFFF"/>
                <w:sz w:val="19"/>
                <w:szCs w:val="19"/>
              </w:rPr>
              <w:t xml:space="preserve">Ce que Maintex doit être</w:t>
            </w:r>
          </w:p>
        </w:tc>
        <w:tc>
          <w:tcPr>
            <w:tcW w:type="dxa" w:w="3008"/>
            <w:tcBorders>
              <w:top w:val="single" w:color="E0E4EA" w:sz="1"/>
              <w:left w:val="single" w:color="E0E4EA" w:sz="1"/>
              <w:bottom w:val="single" w:color="E0E4EA" w:sz="1"/>
              <w:right w:val="single" w:color="E0E4EA" w:sz="1"/>
            </w:tcBorders>
            <w:shd w:fill="B71C1C"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FFFFFF"/>
                <w:sz w:val="19"/>
                <w:szCs w:val="19"/>
              </w:rPr>
              <w:t xml:space="preserve">Ce que Maintex ne doit pas être</w:t>
            </w:r>
          </w:p>
        </w:tc>
        <w:tc>
          <w:tcPr>
            <w:tcW w:type="dxa" w:w="3010"/>
            <w:tcBorders>
              <w:top w:val="single" w:color="E0E4EA" w:sz="1"/>
              <w:left w:val="single" w:color="E0E4EA" w:sz="1"/>
              <w:bottom w:val="single" w:color="E0E4EA" w:sz="1"/>
              <w:right w:val="single" w:color="E0E4EA" w:sz="1"/>
            </w:tcBorders>
            <w:shd w:fill="1B6B35" w:val="clear"/>
            <w:tcMar>
              <w:top w:type="dxa" w:w="80"/>
              <w:left w:type="dxa" w:w="130"/>
              <w:bottom w:type="dxa" w:w="80"/>
              <w:right w:type="dxa" w:w="130"/>
            </w:tcMar>
            <w:vAlign w:val="top"/>
          </w:tcPr>
          <w:p>
            <w:pPr>
              <w:spacing w:before="60" w:after="60" w:line="276"/>
              <w:jc w:val="left"/>
            </w:pPr>
            <w:r>
              <w:rPr>
                <w:rFonts w:ascii="Arial" w:cs="Arial" w:eastAsia="Arial" w:hAnsi="Arial"/>
                <w:b/>
                <w:bCs/>
                <w:i w:val="false"/>
                <w:iCs w:val="false"/>
                <w:color w:val="FFFFFF"/>
                <w:sz w:val="19"/>
                <w:szCs w:val="19"/>
              </w:rPr>
              <w:t xml:space="preserve">La promesse Maintex 2027</w:t>
            </w:r>
          </w:p>
        </w:tc>
      </w:tr>
      <w:tr>
        <w:tc>
          <w:tcPr>
            <w:tcW w:type="dxa" w:w="3008"/>
            <w:tcBorders>
              <w:top w:val="single" w:color="E0E4EA" w:sz="1"/>
              <w:left w:val="single" w:color="E0E4EA" w:sz="1"/>
              <w:bottom w:val="single" w:color="E0E4EA" w:sz="1"/>
              <w:right w:val="single" w:color="E0E4EA" w:sz="1"/>
            </w:tcBorders>
            <w:shd w:fill="D6E8F7" w:val="clear"/>
            <w:tcMar>
              <w:top w:type="dxa" w:w="120"/>
              <w:left w:type="dxa" w:w="150"/>
              <w:bottom w:type="dxa" w:w="120"/>
              <w:right w:type="dxa" w:w="120"/>
            </w:tcMar>
          </w:tcPr>
          <w:p>
            <w:pPr>
              <w:spacing w:before="30" w:after="30" w:line="276"/>
              <w:jc w:val="left"/>
            </w:pPr>
            <w:r>
              <w:rPr>
                <w:rFonts w:ascii="Arial" w:cs="Arial" w:eastAsia="Arial" w:hAnsi="Arial"/>
                <w:b w:val="false"/>
                <w:bCs w:val="false"/>
                <w:i w:val="false"/>
                <w:iCs w:val="false"/>
                <w:color w:val="1C2533"/>
                <w:sz w:val="18"/>
                <w:szCs w:val="18"/>
              </w:rPr>
              <w:t xml:space="preserve">✓ La GMAO africaine qui pense global</w:t>
            </w:r>
          </w:p>
          <w:p>
            <w:pPr>
              <w:spacing w:before="30" w:after="30" w:line="276"/>
              <w:jc w:val="left"/>
            </w:pPr>
            <w:r>
              <w:rPr>
                <w:rFonts w:ascii="Arial" w:cs="Arial" w:eastAsia="Arial" w:hAnsi="Arial"/>
                <w:b w:val="false"/>
                <w:bCs w:val="false"/>
                <w:i w:val="false"/>
                <w:iCs w:val="false"/>
                <w:color w:val="1C2533"/>
                <w:sz w:val="18"/>
                <w:szCs w:val="18"/>
              </w:rPr>
              <w:t xml:space="preserve">✓ La GMAO qui aide à la conformité ESG</w:t>
            </w:r>
          </w:p>
          <w:p>
            <w:pPr>
              <w:spacing w:before="30" w:after="30" w:line="276"/>
              <w:jc w:val="left"/>
            </w:pPr>
            <w:r>
              <w:rPr>
                <w:rFonts w:ascii="Arial" w:cs="Arial" w:eastAsia="Arial" w:hAnsi="Arial"/>
                <w:b w:val="false"/>
                <w:bCs w:val="false"/>
                <w:i w:val="false"/>
                <w:iCs w:val="false"/>
                <w:color w:val="1C2533"/>
                <w:sz w:val="18"/>
                <w:szCs w:val="18"/>
              </w:rPr>
              <w:t xml:space="preserve">✓ La GMAO qui forme et protège les techniciens</w:t>
            </w:r>
          </w:p>
          <w:p>
            <w:pPr>
              <w:spacing w:before="30" w:after="30" w:line="276"/>
              <w:jc w:val="left"/>
            </w:pPr>
            <w:r>
              <w:rPr>
                <w:rFonts w:ascii="Arial" w:cs="Arial" w:eastAsia="Arial" w:hAnsi="Arial"/>
                <w:b w:val="false"/>
                <w:bCs w:val="false"/>
                <w:i w:val="false"/>
                <w:iCs w:val="false"/>
                <w:color w:val="1C2533"/>
                <w:sz w:val="18"/>
                <w:szCs w:val="18"/>
              </w:rPr>
              <w:t xml:space="preserve">✓ La GMAO qui crée un écosystème de valeur</w:t>
            </w:r>
          </w:p>
          <w:p>
            <w:pPr>
              <w:spacing w:before="30" w:after="30" w:line="276"/>
              <w:jc w:val="left"/>
            </w:pPr>
            <w:r>
              <w:rPr>
                <w:rFonts w:ascii="Arial" w:cs="Arial" w:eastAsia="Arial" w:hAnsi="Arial"/>
                <w:b w:val="false"/>
                <w:bCs w:val="false"/>
                <w:i w:val="false"/>
                <w:iCs w:val="false"/>
                <w:color w:val="1C2533"/>
                <w:sz w:val="18"/>
                <w:szCs w:val="18"/>
              </w:rPr>
              <w:t xml:space="preserve">✓ La GMAO qui fonctionne sans réseau</w:t>
            </w:r>
          </w:p>
        </w:tc>
        <w:tc>
          <w:tcPr>
            <w:tcW w:type="dxa" w:w="3008"/>
            <w:tcBorders>
              <w:top w:val="single" w:color="E0E4EA" w:sz="1"/>
              <w:left w:val="single" w:color="E0E4EA" w:sz="1"/>
              <w:bottom w:val="single" w:color="E0E4EA" w:sz="1"/>
              <w:right w:val="single" w:color="E0E4EA" w:sz="1"/>
            </w:tcBorders>
            <w:shd w:fill="FDECEA" w:val="clear"/>
            <w:tcMar>
              <w:top w:type="dxa" w:w="120"/>
              <w:left w:type="dxa" w:w="150"/>
              <w:bottom w:type="dxa" w:w="120"/>
              <w:right w:type="dxa" w:w="120"/>
            </w:tcMar>
          </w:tcPr>
          <w:p>
            <w:pPr>
              <w:spacing w:before="30" w:after="30" w:line="276"/>
              <w:jc w:val="left"/>
            </w:pPr>
            <w:r>
              <w:rPr>
                <w:rFonts w:ascii="Arial" w:cs="Arial" w:eastAsia="Arial" w:hAnsi="Arial"/>
                <w:b w:val="false"/>
                <w:bCs w:val="false"/>
                <w:i w:val="false"/>
                <w:iCs w:val="false"/>
                <w:color w:val="B71C1C"/>
                <w:sz w:val="18"/>
                <w:szCs w:val="18"/>
              </w:rPr>
              <w:t xml:space="preserve">✗ Un clone de MaintainX pour l'Afrique</w:t>
            </w:r>
          </w:p>
          <w:p>
            <w:pPr>
              <w:spacing w:before="30" w:after="30" w:line="276"/>
              <w:jc w:val="left"/>
            </w:pPr>
            <w:r>
              <w:rPr>
                <w:rFonts w:ascii="Arial" w:cs="Arial" w:eastAsia="Arial" w:hAnsi="Arial"/>
                <w:b w:val="false"/>
                <w:bCs w:val="false"/>
                <w:i w:val="false"/>
                <w:iCs w:val="false"/>
                <w:color w:val="B71C1C"/>
                <w:sz w:val="18"/>
                <w:szCs w:val="18"/>
              </w:rPr>
              <w:t xml:space="preserve">✗ Un outil de surveillance des techniciens</w:t>
            </w:r>
          </w:p>
          <w:p>
            <w:pPr>
              <w:spacing w:before="30" w:after="30" w:line="276"/>
              <w:jc w:val="left"/>
            </w:pPr>
            <w:r>
              <w:rPr>
                <w:rFonts w:ascii="Arial" w:cs="Arial" w:eastAsia="Arial" w:hAnsi="Arial"/>
                <w:b w:val="false"/>
                <w:bCs w:val="false"/>
                <w:i w:val="false"/>
                <w:iCs w:val="false"/>
                <w:color w:val="B71C1C"/>
                <w:sz w:val="18"/>
                <w:szCs w:val="18"/>
              </w:rPr>
              <w:t xml:space="preserve">✗ Un produit complexe réservé aux experts</w:t>
            </w:r>
          </w:p>
          <w:p>
            <w:pPr>
              <w:spacing w:before="30" w:after="30" w:line="276"/>
              <w:jc w:val="left"/>
            </w:pPr>
            <w:r>
              <w:rPr>
                <w:rFonts w:ascii="Arial" w:cs="Arial" w:eastAsia="Arial" w:hAnsi="Arial"/>
                <w:b w:val="false"/>
                <w:bCs w:val="false"/>
                <w:i w:val="false"/>
                <w:iCs w:val="false"/>
                <w:color w:val="B71C1C"/>
                <w:sz w:val="18"/>
                <w:szCs w:val="18"/>
              </w:rPr>
              <w:t xml:space="preserve">✗ Un logiciel isolé du SI de l'entreprise</w:t>
            </w:r>
          </w:p>
          <w:p>
            <w:pPr>
              <w:spacing w:before="30" w:after="30" w:line="276"/>
              <w:jc w:val="left"/>
            </w:pPr>
            <w:r>
              <w:rPr>
                <w:rFonts w:ascii="Arial" w:cs="Arial" w:eastAsia="Arial" w:hAnsi="Arial"/>
                <w:b w:val="false"/>
                <w:bCs w:val="false"/>
                <w:i w:val="false"/>
                <w:iCs w:val="false"/>
                <w:color w:val="B71C1C"/>
                <w:sz w:val="18"/>
                <w:szCs w:val="18"/>
              </w:rPr>
              <w:t xml:space="preserve">✗ Une GMAO qui ignore les normes locales</w:t>
            </w:r>
          </w:p>
        </w:tc>
        <w:tc>
          <w:tcPr>
            <w:tcW w:type="dxa" w:w="3010"/>
            <w:tcBorders>
              <w:top w:val="single" w:color="E0E4EA" w:sz="1"/>
              <w:left w:val="single" w:color="E0E4EA" w:sz="1"/>
              <w:bottom w:val="single" w:color="E0E4EA" w:sz="1"/>
              <w:right w:val="single" w:color="E0E4EA" w:sz="1"/>
            </w:tcBorders>
            <w:shd w:fill="E3F4E9" w:val="clear"/>
            <w:tcMar>
              <w:top w:type="dxa" w:w="120"/>
              <w:left w:type="dxa" w:w="150"/>
              <w:bottom w:type="dxa" w:w="120"/>
              <w:right w:type="dxa" w:w="120"/>
            </w:tcMar>
          </w:tcPr>
          <w:p>
            <w:pPr>
              <w:spacing w:before="40" w:after="80" w:line="276"/>
              <w:jc w:val="left"/>
            </w:pPr>
            <w:r>
              <w:rPr>
                <w:rFonts w:ascii="Arial" w:cs="Arial" w:eastAsia="Arial" w:hAnsi="Arial"/>
                <w:b w:val="false"/>
                <w:bCs w:val="false"/>
                <w:i/>
                <w:iCs/>
                <w:color w:val="1B6B35"/>
                <w:sz w:val="20"/>
                <w:szCs w:val="20"/>
              </w:rPr>
              <w:t xml:space="preserve">"La GMAO que tout responsable technique veut montrer à son DG, que tout technicien utilise avec plaisir, que tout DAF recommande à son CFO, et que tout prestataire veut rejoindre."</w:t>
            </w:r>
          </w:p>
          <w:p>
            <w:pPr>
              <w:spacing w:before="40" w:after="60" w:line="276"/>
              <w:jc w:val="left"/>
            </w:pPr>
            <w:r>
              <w:rPr>
                <w:rFonts w:ascii="Arial" w:cs="Arial" w:eastAsia="Arial" w:hAnsi="Arial"/>
                <w:b/>
                <w:bCs/>
                <w:i w:val="false"/>
                <w:iCs w:val="false"/>
                <w:color w:val="0D2B4E"/>
                <w:sz w:val="19"/>
                <w:szCs w:val="19"/>
              </w:rPr>
              <w:t xml:space="preserve">Score cible 2027 : 9.5/10 sur tous les axes du benchmark.</w:t>
            </w:r>
          </w:p>
        </w:tc>
      </w:tr>
    </w:tbl>
    <w:p>
      <w:pPr>
        <w:spacing w:before="160" w:after="0"/>
      </w:pPr>
      <w:r>
        <w:rPr>
          <w:rFonts w:ascii="Arial" w:cs="Arial" w:eastAsia="Arial" w:hAnsi="Arial"/>
          <w:b w:val="false"/>
          <w:bCs w:val="false"/>
          <w:i w:val="false"/>
          <w:iCs w:val="false"/>
          <w:color w:val="1C2533"/>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600A" w:sz="6"/>
              <w:left w:val="single" w:color="D4600A" w:sz="24"/>
              <w:bottom w:val="none" w:color="FFFFFF" w:sz="0"/>
              <w:right w:val="none" w:color="FFFFFF" w:sz="0"/>
            </w:tcBorders>
            <w:shd w:fill="FFF8DC" w:val="clear"/>
            <w:tcMar>
              <w:top w:type="dxa" w:w="120"/>
              <w:left w:type="dxa" w:w="220"/>
              <w:bottom w:type="dxa" w:w="120"/>
              <w:right w:type="dxa" w:w="160"/>
            </w:tcMar>
          </w:tcPr>
          <w:p>
            <w:pPr>
              <w:spacing w:before="40" w:after="40" w:line="276"/>
              <w:jc w:val="left"/>
            </w:pPr>
            <w:r>
              <w:rPr>
                <w:rFonts w:ascii="Arial" w:cs="Arial" w:eastAsia="Arial" w:hAnsi="Arial"/>
                <w:b w:val="false"/>
                <w:bCs w:val="false"/>
                <w:i w:val="false"/>
                <w:iCs w:val="false"/>
                <w:color w:val="1C2533"/>
                <w:sz w:val="20"/>
                <w:szCs w:val="20"/>
              </w:rPr>
              <w:t xml:space="preserve">3 recommandations immédiates pour démarrer dès demain :</w:t>
            </w:r>
          </w:p>
          <w:p>
            <w:pPr>
              <w:spacing w:before="40" w:after="40" w:line="276"/>
              <w:jc w:val="left"/>
            </w:pPr>
            <w:r>
              <w:rPr>
                <w:rFonts w:ascii="Arial" w:cs="Arial" w:eastAsia="Arial" w:hAnsi="Arial"/>
                <w:b w:val="false"/>
                <w:bCs w:val="false"/>
                <w:i w:val="false"/>
                <w:iCs w:val="false"/>
                <w:color w:val="1C2533"/>
                <w:sz w:val="20"/>
                <w:szCs w:val="20"/>
              </w:rPr>
              <w:t xml:space="preserve">1. Lancer F29 (Onboarding Guidé) EN PREMIER — c'est la fonctionnalité qui fait tenir toutes les autres en améliorant l'adoption dès J1.</w:t>
            </w:r>
          </w:p>
          <w:p>
            <w:pPr>
              <w:spacing w:before="40" w:after="40" w:line="276"/>
              <w:jc w:val="left"/>
            </w:pPr>
            <w:r>
              <w:rPr>
                <w:rFonts w:ascii="Arial" w:cs="Arial" w:eastAsia="Arial" w:hAnsi="Arial"/>
                <w:b w:val="false"/>
                <w:bCs w:val="false"/>
                <w:i w:val="false"/>
                <w:iCs w:val="false"/>
                <w:color w:val="1C2533"/>
                <w:sz w:val="20"/>
                <w:szCs w:val="20"/>
              </w:rPr>
              <w:t xml:space="preserve">2. Lancer F28 (Mobile-First) EN PARALLÈLE — les techniciens terrain sont les ambassadeurs de la GMAO. S'ils l'adoptent, tout le reste suit.</w:t>
            </w:r>
          </w:p>
          <w:p>
            <w:pPr>
              <w:spacing w:before="40" w:after="40" w:line="276"/>
              <w:jc w:val="left"/>
            </w:pPr>
            <w:r>
              <w:rPr>
                <w:rFonts w:ascii="Arial" w:cs="Arial" w:eastAsia="Arial" w:hAnsi="Arial"/>
                <w:b w:val="false"/>
                <w:bCs w:val="false"/>
                <w:i w:val="false"/>
                <w:iCs w:val="false"/>
                <w:color w:val="1C2533"/>
                <w:sz w:val="20"/>
                <w:szCs w:val="20"/>
              </w:rPr>
              <w:t xml:space="preserve">3. Recruter un expert ESG pour concevoir F32 (Module Énergie) — c'est la fonctionnalité qui différencie Maintex de TOUS ses concurrents mondiaux dans les 5 prochaines années.</w:t>
            </w:r>
          </w:p>
        </w:tc>
      </w:tr>
    </w:tbl>
    <w:p>
      <w:pPr>
        <w:spacing w:before="200" w:after="0"/>
      </w:pPr>
      <w:r>
        <w:rPr>
          <w:rFonts w:ascii="Arial" w:cs="Arial" w:eastAsia="Arial" w:hAnsi="Arial"/>
          <w:b w:val="false"/>
          <w:bCs w:val="false"/>
          <w:i w:val="false"/>
          <w:iCs w:val="false"/>
          <w:color w:val="1C2533"/>
          <w:sz w:val="20"/>
          <w:szCs w:val="20"/>
        </w:rPr>
        <w:t xml:space="preserve"/>
      </w:r>
    </w:p>
    <w:p>
      <w:pPr>
        <w:pBdr>
          <w:top w:val="single" w:color="E0E4EA" w:sz="4" w:space="8"/>
        </w:pBdr>
        <w:spacing w:before="200"/>
        <w:jc w:val="center"/>
      </w:pPr>
      <w:r>
        <w:rPr>
          <w:rFonts w:ascii="Arial" w:cs="Arial" w:eastAsia="Arial" w:hAnsi="Arial"/>
          <w:b w:val="false"/>
          <w:bCs w:val="false"/>
          <w:i/>
          <w:iCs/>
          <w:color w:val="8C96A3"/>
          <w:sz w:val="17"/>
          <w:szCs w:val="17"/>
        </w:rPr>
        <w:t xml:space="preserve">Document confidentiel — BBC &amp; Partners / Maintex — Mars 2026 — Version 2.0</w:t>
      </w:r>
    </w:p>
    <w:sectPr>
      <w:headerReference w:type="default" r:id="rId6"/>
      <w:footerReference w:type="default" r:id="rId7"/>
      <w:pgSz w:w="11906" w:h="16838" w:orient="portrait"/>
      <w:pgMar w:top="1020" w:right="1020" w:bottom="102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4EA" w:sz="3" w:space="2"/>
      </w:pBdr>
      <w:tabs>
        <w:tab w:val="right" w:pos="9026"/>
      </w:tabs>
    </w:pPr>
    <w:r>
      <w:rPr>
        <w:rFonts w:ascii="Arial" w:cs="Arial" w:eastAsia="Arial" w:hAnsi="Arial"/>
        <w:b w:val="false"/>
        <w:bCs w:val="false"/>
        <w:i w:val="false"/>
        <w:iCs w:val="false"/>
        <w:color w:val="8C96A3"/>
        <w:sz w:val="16"/>
        <w:szCs w:val="16"/>
      </w:rPr>
      <w:t xml:space="preserve">BBC &amp; Partners / Maintex — Document confidentiel</w:t>
    </w:r>
    <w:r>
      <w:rPr>
        <w:rFonts w:ascii="Arial" w:cs="Arial" w:eastAsia="Arial" w:hAnsi="Arial"/>
        <w:b w:val="false"/>
        <w:bCs w:val="false"/>
        <w:i w:val="false"/>
        <w:iCs w:val="false"/>
        <w:color w:val="8C96A3"/>
        <w:sz w:val="16"/>
        <w:szCs w:val="16"/>
      </w:rPr>
      <w:t xml:space="preserve">	Page </w:t>
    </w:r>
    <w:r>
      <w:rPr>
        <w:rFonts w:ascii="Arial" w:cs="Arial" w:eastAsia="Arial" w:hAnsi="Arial"/>
        <w:color w:val="8C96A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AE" w:sz="4" w:space="2"/>
      </w:pBdr>
      <w:tabs>
        <w:tab w:val="right" w:pos="9026"/>
      </w:tabs>
    </w:pPr>
    <w:r>
      <w:rPr>
        <w:rFonts w:ascii="Arial" w:cs="Arial" w:eastAsia="Arial" w:hAnsi="Arial"/>
        <w:b w:val="false"/>
        <w:bCs w:val="false"/>
        <w:i w:val="false"/>
        <w:iCs w:val="false"/>
        <w:color w:val="1A6BAE"/>
        <w:sz w:val="17"/>
        <w:szCs w:val="17"/>
      </w:rPr>
      <w:t xml:space="preserve">MAINTEX — Vision Produit Complète : La GMAO de Référence</w:t>
    </w:r>
    <w:r>
      <w:rPr>
        <w:rFonts w:ascii="Arial" w:cs="Arial" w:eastAsia="Arial" w:hAnsi="Arial"/>
        <w:b w:val="false"/>
        <w:bCs w:val="false"/>
        <w:i w:val="false"/>
        <w:iCs w:val="false"/>
        <w:color w:val="1C2533"/>
        <w:sz w:val="17"/>
        <w:szCs w:val="17"/>
      </w:rPr>
      <w:t xml:space="preserve">	</w:t>
    </w:r>
    <w:r>
      <w:rPr>
        <w:rFonts w:ascii="Arial" w:cs="Arial" w:eastAsia="Arial" w:hAnsi="Arial"/>
        <w:b w:val="false"/>
        <w:bCs w:val="false"/>
        <w:i w:val="false"/>
        <w:iCs w:val="false"/>
        <w:color w:val="8C96A3"/>
        <w:sz w:val="17"/>
        <w:szCs w:val="17"/>
      </w:rPr>
      <w:t xml:space="preserve">Mars 2026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5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2B4E"/>
      <w:sz w:val="34"/>
      <w:szCs w:val="34"/>
    </w:rPr>
  </w:style>
  <w:style w:type="paragraph" w:styleId="Heading2">
    <w:name w:val="Heading 2"/>
    <w:basedOn w:val="Normal"/>
    <w:next w:val="Normal"/>
    <w:qFormat/>
    <w:pPr>
      <w:spacing w:before="300" w:after="140"/>
      <w:outlineLvl w:val="1"/>
    </w:pPr>
    <w:rPr>
      <w:rFonts w:ascii="Arial" w:cs="Arial" w:eastAsia="Arial" w:hAnsi="Arial"/>
      <w:b/>
      <w:bCs/>
      <w:color w:val="1A6BAE"/>
      <w:sz w:val="27"/>
      <w:szCs w:val="27"/>
    </w:rPr>
  </w:style>
  <w:style w:type="paragraph" w:styleId="Heading3">
    <w:name w:val="Heading 3"/>
    <w:basedOn w:val="Normal"/>
    <w:next w:val="Normal"/>
    <w:qFormat/>
    <w:pPr>
      <w:spacing w:before="220" w:after="100"/>
      <w:outlineLvl w:val="2"/>
    </w:pPr>
    <w:rPr>
      <w:rFonts w:ascii="Arial" w:cs="Arial" w:eastAsia="Arial" w:hAnsi="Arial"/>
      <w:b/>
      <w:bCs/>
      <w:color w:val="D4600A"/>
      <w:sz w:val="23"/>
      <w:szCs w:val="23"/>
    </w:rPr>
  </w:style>
  <w:style w:type="paragraph" w:styleId="Heading4">
    <w:name w:val="Heading 4"/>
    <w:basedOn w:val="Normal"/>
    <w:next w:val="Normal"/>
    <w:qFormat/>
    <w:pPr>
      <w:spacing w:before="160" w:after="80"/>
      <w:outlineLvl w:val="3"/>
    </w:pPr>
    <w:rPr>
      <w:rFonts w:ascii="Arial" w:cs="Arial" w:eastAsia="Arial" w:hAnsi="Arial"/>
      <w:b/>
      <w:bCs/>
      <w:color w:val="0E7C7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2026-03-26T14:46:11.916Z</dcterms:created>
  <dcterms:modified xsi:type="dcterms:W3CDTF">2026-03-26T14:46:11.918Z</dcterms:modified>
</cp:coreProperties>
</file>

<file path=docProps/custom.xml><?xml version="1.0" encoding="utf-8"?>
<Properties xmlns="http://schemas.openxmlformats.org/officeDocument/2006/custom-properties" xmlns:vt="http://schemas.openxmlformats.org/officeDocument/2006/docPropsVTypes"/>
</file>