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E14A9" w14:textId="77777777" w:rsidR="00742250" w:rsidRPr="00742250" w:rsidRDefault="00742250" w:rsidP="00742250">
      <w:r w:rsidRPr="00742250">
        <w:rPr>
          <w:b/>
          <w:bCs/>
        </w:rPr>
        <w:t>Titre H1 :</w:t>
      </w:r>
      <w:r w:rsidRPr="00742250">
        <w:t xml:space="preserve"> GMAO Chimie &amp; Pharma : maîtrisez la conformité réglementaire et la disponibilité de vos équipements de process</w:t>
      </w:r>
    </w:p>
    <w:p w14:paraId="5B9B7368" w14:textId="77777777" w:rsidR="00742250" w:rsidRPr="00742250" w:rsidRDefault="00742250" w:rsidP="00742250">
      <w:r w:rsidRPr="00742250">
        <w:rPr>
          <w:b/>
          <w:bCs/>
        </w:rPr>
        <w:t>Meta description :</w:t>
      </w:r>
      <w:r w:rsidRPr="00742250">
        <w:t xml:space="preserve"> Maintex est la GMAO conçue pour la chimie et la pharmacie. Traçabilité GMP et FDA automatique, maintenance préventive sur équipements de process critiques, aide au diagnostic par IA et maintenance prédictive pour anticiper les défaillances avant tout incident de conformité.</w:t>
      </w:r>
    </w:p>
    <w:p w14:paraId="75A738B7" w14:textId="77777777" w:rsidR="00742250" w:rsidRPr="00742250" w:rsidRDefault="00742250" w:rsidP="00742250">
      <w:r w:rsidRPr="00742250">
        <w:pict w14:anchorId="2B995B42">
          <v:rect id="_x0000_i1086" style="width:0;height:1.5pt" o:hralign="center" o:hrstd="t" o:hr="t" fillcolor="#a0a0a0" stroked="f"/>
        </w:pict>
      </w:r>
    </w:p>
    <w:p w14:paraId="2B37BFD0" w14:textId="77777777" w:rsidR="00742250" w:rsidRPr="00742250" w:rsidRDefault="00742250" w:rsidP="00742250">
      <w:r w:rsidRPr="00742250">
        <w:rPr>
          <w:b/>
          <w:bCs/>
        </w:rPr>
        <w:t>H1 — Chimie &amp; Pharma : quand une défaillance sur un équipement de process peut coûter une certification, le diagnostic ne peut pas attendre</w:t>
      </w:r>
    </w:p>
    <w:p w14:paraId="14C667CE" w14:textId="77777777" w:rsidR="00742250" w:rsidRPr="00742250" w:rsidRDefault="00742250" w:rsidP="00742250">
      <w:r w:rsidRPr="00742250">
        <w:t>Dans l'industrie chimique et pharmaceutique, la maintenance n'est pas seulement un enjeu de disponibilité — c'est un enjeu de conformité réglementaire, de sécurité des process et parfois de sécurité des personnes. Une intervention non tracée, un contrôle périodique manqué, un historique incomplet lors d'un audit GMP ou FDA : les conséquences ne se mesurent pas seulement en temps d'arrêt, elles se mesurent en non-conformités, en certifications remises en cause et en marchés perdus.</w:t>
      </w:r>
    </w:p>
    <w:p w14:paraId="1A890A21" w14:textId="77777777" w:rsidR="00742250" w:rsidRPr="00742250" w:rsidRDefault="00742250" w:rsidP="00742250">
      <w:r w:rsidRPr="00742250">
        <w:t>Et pourtant, dans beaucoup d'organisations, la traçabilité repose encore sur des processus manuels — des feuilles de saisie, des fichiers Excel, des historiques reconstitués en urgence avant chaque audit. Pendant ce temps, les équipements de process critiques — réacteurs, colonnes de distillation, systèmes de filtration, équipements de conditionnement — continuent de fonctionner sans surveillance structurée, jusqu'à la panne.</w:t>
      </w:r>
    </w:p>
    <w:p w14:paraId="1656419F" w14:textId="77777777" w:rsidR="00742250" w:rsidRPr="00742250" w:rsidRDefault="00742250" w:rsidP="00742250">
      <w:r w:rsidRPr="00742250">
        <w:t>Maintex change cette réalité. Une GMAO nouvelle génération intégrant l'intelligence artificielle, conçue pour les environnements chimiques et pharmaceutiques les plus exigeants : traçabilité automatique dans le flux de travail, aide active au diagnostic et surveillance continue des équipements pour anticiper les défaillances avant tout incident de conformité ou de production.</w:t>
      </w:r>
    </w:p>
    <w:p w14:paraId="06203BFE" w14:textId="77777777" w:rsidR="00742250" w:rsidRPr="00742250" w:rsidRDefault="00742250" w:rsidP="00742250">
      <w:r w:rsidRPr="00742250">
        <w:pict w14:anchorId="354EAC73">
          <v:rect id="_x0000_i1087" style="width:0;height:1.5pt" o:hralign="center" o:hrstd="t" o:hr="t" fillcolor="#a0a0a0" stroked="f"/>
        </w:pict>
      </w:r>
    </w:p>
    <w:p w14:paraId="1DAA40D7" w14:textId="77777777" w:rsidR="00742250" w:rsidRPr="00742250" w:rsidRDefault="00742250" w:rsidP="00742250">
      <w:r w:rsidRPr="00742250">
        <w:rPr>
          <w:b/>
          <w:bCs/>
        </w:rPr>
        <w:t>H2 — Les enjeux spécifiques de la maintenance en chimie et pharmacie</w:t>
      </w:r>
    </w:p>
    <w:p w14:paraId="2786291C" w14:textId="77777777" w:rsidR="00742250" w:rsidRPr="00742250" w:rsidRDefault="00742250" w:rsidP="00742250">
      <w:r w:rsidRPr="00742250">
        <w:rPr>
          <w:b/>
          <w:bCs/>
        </w:rPr>
        <w:t>H3 — La conformité réglementaire : GMP, FDA, ISO et au-delà</w:t>
      </w:r>
    </w:p>
    <w:p w14:paraId="60E3E911" w14:textId="77777777" w:rsidR="00742250" w:rsidRPr="00742250" w:rsidRDefault="00742250" w:rsidP="00742250">
      <w:r w:rsidRPr="00742250">
        <w:t>Dans la pharmacie, les Bonnes Pratiques de Fabrication (BPF/GMP) imposent une documentation rigoureuse de chaque intervention sur les équipements en contact avec la production. Les référentiels FDA 21 CFR Part 11, les normes ISO 9001 et ISO 13485, les exigences EUDRALEX : chaque référentiel impose sa propre logique de traçabilité, de qualification et de validation.</w:t>
      </w:r>
    </w:p>
    <w:p w14:paraId="22711F79" w14:textId="77777777" w:rsidR="00742250" w:rsidRPr="00742250" w:rsidRDefault="00742250" w:rsidP="00742250">
      <w:r w:rsidRPr="00742250">
        <w:t xml:space="preserve">Une maintenance mal documentée, c'est un écart lors d'une inspection, une remise en cause de la qualification d'un équipement, une déviation à investiguer. Dans un secteur où </w:t>
      </w:r>
      <w:r w:rsidRPr="00742250">
        <w:lastRenderedPageBreak/>
        <w:t>chaque lot de production peut valoir des millions d'euros, ces situations ne sont pas théoriques — elles sont coûteuses et récurrentes pour les organisations qui ne disposent pas des bons outils.</w:t>
      </w:r>
    </w:p>
    <w:p w14:paraId="68D126D1" w14:textId="77777777" w:rsidR="00742250" w:rsidRPr="00742250" w:rsidRDefault="00742250" w:rsidP="00742250">
      <w:r w:rsidRPr="00742250">
        <w:rPr>
          <w:b/>
          <w:bCs/>
        </w:rPr>
        <w:t>H3 — La continuité de process : quand l'arrêt d'un équipement compromet un lot entier</w:t>
      </w:r>
    </w:p>
    <w:p w14:paraId="3ACB132B" w14:textId="77777777" w:rsidR="00742250" w:rsidRPr="00742250" w:rsidRDefault="00742250" w:rsidP="00742250">
      <w:r w:rsidRPr="00742250">
        <w:t>Dans la chimie fine et la pharmacie, un équipement défaillant en cours de production ne provoque pas seulement un arrêt — il peut compromettre l'intégralité d'un lot en cours de fabrication. Réacteur qui s'arrête en pleine réaction, système de contrôle de température défaillant, pompe de dosage hors service : ces situations entraînent des pertes de matière, des rebuts coûteux et des investigations de déviation qui mobilisent des ressources considérables.</w:t>
      </w:r>
    </w:p>
    <w:p w14:paraId="1BAB1A09" w14:textId="77777777" w:rsidR="00742250" w:rsidRPr="00742250" w:rsidRDefault="00742250" w:rsidP="00742250">
      <w:r w:rsidRPr="00742250">
        <w:t>La maintenance préventive et prédictive n'est pas un luxe dans ce secteur — c'est une condition de la rentabilité des opérations.</w:t>
      </w:r>
    </w:p>
    <w:p w14:paraId="0E1294B4" w14:textId="77777777" w:rsidR="00742250" w:rsidRPr="00742250" w:rsidRDefault="00742250" w:rsidP="00742250">
      <w:r w:rsidRPr="00742250">
        <w:rPr>
          <w:b/>
          <w:bCs/>
        </w:rPr>
        <w:t>H3 — La sécurité des opérateurs et la gestion des risques process</w:t>
      </w:r>
    </w:p>
    <w:p w14:paraId="79DF712A" w14:textId="77777777" w:rsidR="00742250" w:rsidRPr="00742250" w:rsidRDefault="00742250" w:rsidP="00742250">
      <w:r w:rsidRPr="00742250">
        <w:t>Dans les environnements chimiques, les équipements défaillants ne représentent pas seulement un risque de production — ils représentent un risque pour les opérateurs et l'environnement. Réservoirs sous pression, équipements manipulant des substances dangereuses, systèmes de ventilation et de traitement des effluents : une maintenance structurée et orientée prévention est un pilier fondamental de la politique HSE de tout site chimique ou pharmaceutique sérieux.</w:t>
      </w:r>
    </w:p>
    <w:p w14:paraId="0C0545CE" w14:textId="77777777" w:rsidR="00742250" w:rsidRPr="00742250" w:rsidRDefault="00742250" w:rsidP="00742250">
      <w:r w:rsidRPr="00742250">
        <w:rPr>
          <w:b/>
          <w:bCs/>
        </w:rPr>
        <w:t>H3 — La qualification et requalification des équipements</w:t>
      </w:r>
    </w:p>
    <w:p w14:paraId="4153B8E4" w14:textId="77777777" w:rsidR="00742250" w:rsidRPr="00742250" w:rsidRDefault="00742250" w:rsidP="00742250">
      <w:r w:rsidRPr="00742250">
        <w:t>Dans l'industrie pharmaceutique, les équipements doivent être qualifiés (IQ, OQ, PQ) avant leur mise en production et requalifiés après toute intervention significative. Ce cycle de qualification impose une traçabilité précise des interventions, une documentation sans lacune et un historique consultable à tout moment par les équipes qualité et réglementaires.</w:t>
      </w:r>
    </w:p>
    <w:p w14:paraId="43E8E07D" w14:textId="77777777" w:rsidR="00742250" w:rsidRPr="00742250" w:rsidRDefault="00742250" w:rsidP="00742250">
      <w:r w:rsidRPr="00742250">
        <w:t>Une GMAO qui ne s'intègre pas naturellement dans ce processus devient rapidement un obstacle plutôt qu'un outil.</w:t>
      </w:r>
    </w:p>
    <w:p w14:paraId="57F8F732" w14:textId="77777777" w:rsidR="00742250" w:rsidRPr="00742250" w:rsidRDefault="00742250" w:rsidP="00742250">
      <w:r w:rsidRPr="00742250">
        <w:pict w14:anchorId="263A7778">
          <v:rect id="_x0000_i1088" style="width:0;height:1.5pt" o:hralign="center" o:hrstd="t" o:hr="t" fillcolor="#a0a0a0" stroked="f"/>
        </w:pict>
      </w:r>
    </w:p>
    <w:p w14:paraId="05302690" w14:textId="77777777" w:rsidR="00742250" w:rsidRPr="00742250" w:rsidRDefault="00742250" w:rsidP="00742250">
      <w:r w:rsidRPr="00742250">
        <w:rPr>
          <w:b/>
          <w:bCs/>
        </w:rPr>
        <w:t>H2 — La réponse Maintex pour la maintenance chimie et pharmacie</w:t>
      </w:r>
    </w:p>
    <w:p w14:paraId="23441D48" w14:textId="77777777" w:rsidR="00742250" w:rsidRPr="00742250" w:rsidRDefault="00742250" w:rsidP="00742250">
      <w:r w:rsidRPr="00742250">
        <w:rPr>
          <w:b/>
          <w:bCs/>
        </w:rPr>
        <w:t>H3 — Une traçabilité GMP et FDA automatique, construite dans le flux de travail</w:t>
      </w:r>
    </w:p>
    <w:p w14:paraId="07242B20" w14:textId="77777777" w:rsidR="00742250" w:rsidRPr="00742250" w:rsidRDefault="00742250" w:rsidP="00742250">
      <w:r w:rsidRPr="00742250">
        <w:t xml:space="preserve">Maintex est conçu pour être utilisé naturellement sur le terrain — interface mobile adaptée aux environnements contraints, saisie rapide et guidée, enregistrement automatique de chaque action réalisée. La traçabilité n'est pas une tâche supplémentaire pour le </w:t>
      </w:r>
      <w:r w:rsidRPr="00742250">
        <w:lastRenderedPageBreak/>
        <w:t>technicien : elle se construit en temps réel, intervention après intervention, sans ressaisie ni perte d'information.</w:t>
      </w:r>
    </w:p>
    <w:p w14:paraId="1197278B" w14:textId="77777777" w:rsidR="00742250" w:rsidRPr="00742250" w:rsidRDefault="00742250" w:rsidP="00742250">
      <w:r w:rsidRPr="00742250">
        <w:t>Vos exigences GMP sont couvertes automatiquement. Vos obligations FDA 21 CFR Part 11 sont documentées dans le flux. Vos plans de maintenance ISO sont suivis et historisés. En cas d'audit ou d'inspection, vous disposez d'un historique complet, structuré et exploitable — sans reconstitution manuelle de dernière minute.</w:t>
      </w:r>
    </w:p>
    <w:p w14:paraId="6ED4CCD2" w14:textId="77777777" w:rsidR="00742250" w:rsidRPr="00742250" w:rsidRDefault="00742250" w:rsidP="00742250">
      <w:r w:rsidRPr="00742250">
        <w:rPr>
          <w:b/>
          <w:bCs/>
        </w:rPr>
        <w:t>H3 — La gestion des équipements de process critiques et de leurs fonctions vitales</w:t>
      </w:r>
    </w:p>
    <w:p w14:paraId="74C27F82" w14:textId="77777777" w:rsidR="00742250" w:rsidRPr="00742250" w:rsidRDefault="00742250" w:rsidP="00742250">
      <w:r w:rsidRPr="00742250">
        <w:t>Maintex structure vos actifs selon leur rôle dans le process de production et leur criticité réglementaire. Chaque équipement dispose d'un historique complet : interventions réalisées, pièces remplacées, observations terrain, qualifications et requalifications associées, gammes de maintenance préventive.</w:t>
      </w:r>
    </w:p>
    <w:p w14:paraId="64A29BBB" w14:textId="77777777" w:rsidR="00742250" w:rsidRPr="00742250" w:rsidRDefault="00742250" w:rsidP="00742250">
      <w:r w:rsidRPr="00742250">
        <w:t>Mais Maintex va plus loin avec le concept de fonctions vitales : un ensemble d'équipements qui concourent à assurer une même fonction de production — un système de synthèse, une ligne de conditionnement stérile, un circuit de refroidissement. Vous pilotez la disponibilité réelle de vos fonctions de production, pas seulement l'état de chaque équipement pris isolément.</w:t>
      </w:r>
    </w:p>
    <w:p w14:paraId="4D3D385D" w14:textId="77777777" w:rsidR="00742250" w:rsidRPr="00742250" w:rsidRDefault="00742250" w:rsidP="00742250">
      <w:r w:rsidRPr="00742250">
        <w:rPr>
          <w:b/>
          <w:bCs/>
        </w:rPr>
        <w:t>H3 — L'IA pour un diagnostic plus rapide sur des équipements complexes</w:t>
      </w:r>
    </w:p>
    <w:p w14:paraId="40A8230C" w14:textId="77777777" w:rsidR="00742250" w:rsidRPr="00742250" w:rsidRDefault="00742250" w:rsidP="00742250">
      <w:r w:rsidRPr="00742250">
        <w:t>Les équipements de process chimique et pharmaceutique sont souvent sophistiqués et leur comportement en défaillance difficile à interpréter rapidement. Maintex intègre l'intelligence artificielle pour aider le technicien à identifier les causes probables d'une panne à partir de l'historique des défaillances similaires — sur le même équipement ou sur le même type de ligne.</w:t>
      </w:r>
    </w:p>
    <w:p w14:paraId="0D556658" w14:textId="77777777" w:rsidR="00742250" w:rsidRPr="00742250" w:rsidRDefault="00742250" w:rsidP="00742250">
      <w:r w:rsidRPr="00742250">
        <w:t>Le technicien ne part plus d'une page blanche. Il dispose d'une structure de diagnostic guidée, des causes les plus probables identifiées et des procédures de remise en fonctionnement associées aux solutions déjà validées. Résultat : moins d'hésitations, moins d'essais-erreurs, une remise en production plus rapide — et une documentation d'intervention complète dès la clôture.</w:t>
      </w:r>
    </w:p>
    <w:p w14:paraId="2043EF6C" w14:textId="77777777" w:rsidR="00742250" w:rsidRPr="00742250" w:rsidRDefault="00742250" w:rsidP="00742250">
      <w:r w:rsidRPr="00742250">
        <w:rPr>
          <w:b/>
          <w:bCs/>
        </w:rPr>
        <w:t>H3 — La maintenance prédictive par IA : anticiper avant l'incident de conformité</w:t>
      </w:r>
    </w:p>
    <w:p w14:paraId="6944D793" w14:textId="77777777" w:rsidR="00742250" w:rsidRPr="00742250" w:rsidRDefault="00742250" w:rsidP="00742250">
      <w:r w:rsidRPr="00742250">
        <w:t>Dans la chimie et la pharmacie, une panne imprévue sur un équipement critique n'est jamais seulement un arrêt de production — c'est potentiellement une déviation à investiguer, un lot à détruire, une qualification à reprendre. Le coût réel dépasse largement la valeur de la pièce défaillante.</w:t>
      </w:r>
    </w:p>
    <w:p w14:paraId="110F1E56" w14:textId="77777777" w:rsidR="00742250" w:rsidRPr="00742250" w:rsidRDefault="00742250" w:rsidP="00742250">
      <w:r w:rsidRPr="00742250">
        <w:t xml:space="preserve">Maintex analyse en continu les données terrain de vos équipements de process — historique des interventions, fréquences de défaillance, anomalies détectées, variations de performance — pour identifier les signaux faibles précurseurs d'une dégradation. Vous intervenez avant la panne, au moment optimal, sur la base de données réelles et non de </w:t>
      </w:r>
      <w:r w:rsidRPr="00742250">
        <w:lastRenderedPageBreak/>
        <w:t>fréquences théoriques. La maintenance prédictive se construit par accumulation de vos propres données — sans investissement supplémentaire en capteurs ou en infrastructure complexe.</w:t>
      </w:r>
    </w:p>
    <w:p w14:paraId="0C0B8D5B" w14:textId="77777777" w:rsidR="00742250" w:rsidRPr="00742250" w:rsidRDefault="00742250" w:rsidP="00742250">
      <w:r w:rsidRPr="00742250">
        <w:rPr>
          <w:b/>
          <w:bCs/>
        </w:rPr>
        <w:t>H3 — La gestion des pièces de rechange stratégiques</w:t>
      </w:r>
    </w:p>
    <w:p w14:paraId="323A93CE" w14:textId="77777777" w:rsidR="00742250" w:rsidRPr="00742250" w:rsidRDefault="00742250" w:rsidP="00742250">
      <w:r w:rsidRPr="00742250">
        <w:t>Dans un environnement réglementé, une rupture de stock sur une pièce critique n'est pas qu'un problème logistique — c'est un risque pour la qualification de l'équipement et la continuité de la production. Maintex relie vos stocks aux équipements et aux fonctions qu'ils supportent. Vous anticipez les besoins, sécurisez les pièces stratégiques et évitez les ruptures qui immobilisent un équipement qualifié en attente de pièce.</w:t>
      </w:r>
    </w:p>
    <w:p w14:paraId="0C452513" w14:textId="77777777" w:rsidR="00742250" w:rsidRPr="00742250" w:rsidRDefault="00742250" w:rsidP="00742250">
      <w:r w:rsidRPr="00742250">
        <w:rPr>
          <w:b/>
          <w:bCs/>
        </w:rPr>
        <w:t>H3 — Des indicateurs de pilotage pour la direction technique et qualité</w:t>
      </w:r>
    </w:p>
    <w:p w14:paraId="53ABF835" w14:textId="77777777" w:rsidR="00742250" w:rsidRPr="00742250" w:rsidRDefault="00742250" w:rsidP="00742250">
      <w:r w:rsidRPr="00742250">
        <w:t xml:space="preserve">Maintex fournit aux responsables maintenance et aux directeurs techniques les indicateurs qui comptent dans un environnement réglementé : taux de disponibilité par fonction vitale, délai moyen de remise en fonctionnement, taux de conformité documentaire des interventions, </w:t>
      </w:r>
      <w:proofErr w:type="spellStart"/>
      <w:r w:rsidRPr="00742250">
        <w:t>backlog</w:t>
      </w:r>
      <w:proofErr w:type="spellEnd"/>
      <w:r w:rsidRPr="00742250">
        <w:t xml:space="preserve"> de maintenance préventive en retard, équipements à risque de dépassement d'échéance de qualification.</w:t>
      </w:r>
    </w:p>
    <w:p w14:paraId="075DECD6" w14:textId="77777777" w:rsidR="00742250" w:rsidRPr="00742250" w:rsidRDefault="00742250" w:rsidP="00742250">
      <w:r w:rsidRPr="00742250">
        <w:t>Ces tableaux de bord ne sont pas des rapports — ce sont des outils de pilotage actif. Ils permettent d'anticiper les fragilités, de justifier les investissements de renouvellement et de démontrer la maîtrise des processus de maintenance lors des audits clients et des inspections réglementaires.</w:t>
      </w:r>
    </w:p>
    <w:p w14:paraId="39539094" w14:textId="77777777" w:rsidR="00742250" w:rsidRPr="00742250" w:rsidRDefault="00742250" w:rsidP="00742250">
      <w:r w:rsidRPr="00742250">
        <w:rPr>
          <w:b/>
          <w:bCs/>
        </w:rPr>
        <w:t>H3 — Une base de connaissances technique partagée, cruciale en environnement réglementé</w:t>
      </w:r>
    </w:p>
    <w:p w14:paraId="55DE5881" w14:textId="77777777" w:rsidR="00742250" w:rsidRPr="00742250" w:rsidRDefault="00742250" w:rsidP="00742250">
      <w:r w:rsidRPr="00742250">
        <w:t>Dans de nombreux laboratoires et sites de production pharmaceutique, le savoir-faire de maintenance est concentré chez quelques techniciens expérimentés qui connaissent les équipements dans le détail. Quand ils ne sont pas disponibles, la qualité des interventions chute — et avec elle, le niveau de conformité documentaire.</w:t>
      </w:r>
    </w:p>
    <w:p w14:paraId="4DF6256E" w14:textId="77777777" w:rsidR="00742250" w:rsidRPr="00742250" w:rsidRDefault="00742250" w:rsidP="00742250">
      <w:r w:rsidRPr="00742250">
        <w:t>Avec Maintex, les diagnostics passés, les causes identifiées, les solutions validées et les procédures associées sont structurés et accessibles à toute l'équipe. Un technicien intervenant sur un équipement qu'il ne connaît pas dispose immédiatement du contexte complet et de l'historique de qualification. La compétence devient collective, documentée et auditée.</w:t>
      </w:r>
    </w:p>
    <w:p w14:paraId="7706BB42" w14:textId="77777777" w:rsidR="00742250" w:rsidRPr="00742250" w:rsidRDefault="00742250" w:rsidP="00742250">
      <w:r w:rsidRPr="00742250">
        <w:pict w14:anchorId="2C05F935">
          <v:rect id="_x0000_i1089" style="width:0;height:1.5pt" o:hralign="center" o:hrstd="t" o:hr="t" fillcolor="#a0a0a0" stroked="f"/>
        </w:pict>
      </w:r>
    </w:p>
    <w:p w14:paraId="584ACC0F" w14:textId="77777777" w:rsidR="00742250" w:rsidRPr="00742250" w:rsidRDefault="00742250" w:rsidP="00742250">
      <w:r w:rsidRPr="00742250">
        <w:rPr>
          <w:b/>
          <w:bCs/>
        </w:rPr>
        <w:t>H2 — Résultats concrets pour les sites chimiques et pharmaceutiques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8"/>
        <w:gridCol w:w="5198"/>
      </w:tblGrid>
      <w:tr w:rsidR="00742250" w:rsidRPr="00742250" w14:paraId="0237883D" w14:textId="77777777">
        <w:trPr>
          <w:tblHeader/>
          <w:tblCellSpacing w:w="15" w:type="dxa"/>
        </w:trPr>
        <w:tc>
          <w:tcPr>
            <w:tcW w:w="0" w:type="auto"/>
            <w:vAlign w:val="center"/>
            <w:hideMark/>
          </w:tcPr>
          <w:p w14:paraId="488349AB" w14:textId="77777777" w:rsidR="00742250" w:rsidRPr="00742250" w:rsidRDefault="00742250" w:rsidP="00742250">
            <w:pPr>
              <w:rPr>
                <w:b/>
                <w:bCs/>
              </w:rPr>
            </w:pPr>
            <w:r w:rsidRPr="00742250">
              <w:rPr>
                <w:b/>
                <w:bCs/>
              </w:rPr>
              <w:lastRenderedPageBreak/>
              <w:t>Indicateur</w:t>
            </w:r>
          </w:p>
        </w:tc>
        <w:tc>
          <w:tcPr>
            <w:tcW w:w="0" w:type="auto"/>
            <w:vAlign w:val="center"/>
            <w:hideMark/>
          </w:tcPr>
          <w:p w14:paraId="6FAE0660" w14:textId="77777777" w:rsidR="00742250" w:rsidRPr="00742250" w:rsidRDefault="00742250" w:rsidP="00742250">
            <w:pPr>
              <w:rPr>
                <w:b/>
                <w:bCs/>
              </w:rPr>
            </w:pPr>
            <w:r w:rsidRPr="00742250">
              <w:rPr>
                <w:b/>
                <w:bCs/>
              </w:rPr>
              <w:t>Impact avec Maintex</w:t>
            </w:r>
          </w:p>
        </w:tc>
      </w:tr>
      <w:tr w:rsidR="00742250" w:rsidRPr="00742250" w14:paraId="373039F5" w14:textId="77777777">
        <w:trPr>
          <w:tblCellSpacing w:w="15" w:type="dxa"/>
        </w:trPr>
        <w:tc>
          <w:tcPr>
            <w:tcW w:w="0" w:type="auto"/>
            <w:vAlign w:val="center"/>
            <w:hideMark/>
          </w:tcPr>
          <w:p w14:paraId="27724D46" w14:textId="77777777" w:rsidR="00742250" w:rsidRPr="00742250" w:rsidRDefault="00742250" w:rsidP="00742250">
            <w:r w:rsidRPr="00742250">
              <w:t>Conformité documentaire GMP/FDA</w:t>
            </w:r>
          </w:p>
        </w:tc>
        <w:tc>
          <w:tcPr>
            <w:tcW w:w="0" w:type="auto"/>
            <w:vAlign w:val="center"/>
            <w:hideMark/>
          </w:tcPr>
          <w:p w14:paraId="670B4A5A" w14:textId="77777777" w:rsidR="00742250" w:rsidRPr="00742250" w:rsidRDefault="00742250" w:rsidP="00742250">
            <w:r w:rsidRPr="00742250">
              <w:t>Garantie par une traçabilité automatique dans le flux de travail</w:t>
            </w:r>
          </w:p>
        </w:tc>
      </w:tr>
      <w:tr w:rsidR="00742250" w:rsidRPr="00742250" w14:paraId="59DE5221" w14:textId="77777777">
        <w:trPr>
          <w:tblCellSpacing w:w="15" w:type="dxa"/>
        </w:trPr>
        <w:tc>
          <w:tcPr>
            <w:tcW w:w="0" w:type="auto"/>
            <w:vAlign w:val="center"/>
            <w:hideMark/>
          </w:tcPr>
          <w:p w14:paraId="502C4EFC" w14:textId="77777777" w:rsidR="00742250" w:rsidRPr="00742250" w:rsidRDefault="00742250" w:rsidP="00742250">
            <w:r w:rsidRPr="00742250">
              <w:t>Arrêts non planifiés sur équipements de process</w:t>
            </w:r>
          </w:p>
        </w:tc>
        <w:tc>
          <w:tcPr>
            <w:tcW w:w="0" w:type="auto"/>
            <w:vAlign w:val="center"/>
            <w:hideMark/>
          </w:tcPr>
          <w:p w14:paraId="4EDEF15D" w14:textId="77777777" w:rsidR="00742250" w:rsidRPr="00742250" w:rsidRDefault="00742250" w:rsidP="00742250">
            <w:r w:rsidRPr="00742250">
              <w:t>Réduits par la maintenance prédictive par IA</w:t>
            </w:r>
          </w:p>
        </w:tc>
      </w:tr>
      <w:tr w:rsidR="00742250" w:rsidRPr="00742250" w14:paraId="6B2F208F" w14:textId="77777777">
        <w:trPr>
          <w:tblCellSpacing w:w="15" w:type="dxa"/>
        </w:trPr>
        <w:tc>
          <w:tcPr>
            <w:tcW w:w="0" w:type="auto"/>
            <w:vAlign w:val="center"/>
            <w:hideMark/>
          </w:tcPr>
          <w:p w14:paraId="4101918F" w14:textId="77777777" w:rsidR="00742250" w:rsidRPr="00742250" w:rsidRDefault="00742250" w:rsidP="00742250">
            <w:r w:rsidRPr="00742250">
              <w:t>Pertes de lot en cours de production</w:t>
            </w:r>
          </w:p>
        </w:tc>
        <w:tc>
          <w:tcPr>
            <w:tcW w:w="0" w:type="auto"/>
            <w:vAlign w:val="center"/>
            <w:hideMark/>
          </w:tcPr>
          <w:p w14:paraId="7439DF0E" w14:textId="77777777" w:rsidR="00742250" w:rsidRPr="00742250" w:rsidRDefault="00742250" w:rsidP="00742250">
            <w:r w:rsidRPr="00742250">
              <w:t>Limitées par l'anticipation des défaillances critiques</w:t>
            </w:r>
          </w:p>
        </w:tc>
      </w:tr>
      <w:tr w:rsidR="00742250" w:rsidRPr="00742250" w14:paraId="41315479" w14:textId="77777777">
        <w:trPr>
          <w:tblCellSpacing w:w="15" w:type="dxa"/>
        </w:trPr>
        <w:tc>
          <w:tcPr>
            <w:tcW w:w="0" w:type="auto"/>
            <w:vAlign w:val="center"/>
            <w:hideMark/>
          </w:tcPr>
          <w:p w14:paraId="0A00ED30" w14:textId="77777777" w:rsidR="00742250" w:rsidRPr="00742250" w:rsidRDefault="00742250" w:rsidP="00742250">
            <w:r w:rsidRPr="00742250">
              <w:t>Préparation aux audits et inspections</w:t>
            </w:r>
          </w:p>
        </w:tc>
        <w:tc>
          <w:tcPr>
            <w:tcW w:w="0" w:type="auto"/>
            <w:vAlign w:val="center"/>
            <w:hideMark/>
          </w:tcPr>
          <w:p w14:paraId="6097F8D1" w14:textId="77777777" w:rsidR="00742250" w:rsidRPr="00742250" w:rsidRDefault="00742250" w:rsidP="00742250">
            <w:r w:rsidRPr="00742250">
              <w:t>Simplifiée par un historique complet et structuré</w:t>
            </w:r>
          </w:p>
        </w:tc>
      </w:tr>
      <w:tr w:rsidR="00742250" w:rsidRPr="00742250" w14:paraId="031A8BA6" w14:textId="77777777">
        <w:trPr>
          <w:tblCellSpacing w:w="15" w:type="dxa"/>
        </w:trPr>
        <w:tc>
          <w:tcPr>
            <w:tcW w:w="0" w:type="auto"/>
            <w:vAlign w:val="center"/>
            <w:hideMark/>
          </w:tcPr>
          <w:p w14:paraId="1C828B0A" w14:textId="77777777" w:rsidR="00742250" w:rsidRPr="00742250" w:rsidRDefault="00742250" w:rsidP="00742250">
            <w:r w:rsidRPr="00742250">
              <w:t>Qualification et requalification des équipements</w:t>
            </w:r>
          </w:p>
        </w:tc>
        <w:tc>
          <w:tcPr>
            <w:tcW w:w="0" w:type="auto"/>
            <w:vAlign w:val="center"/>
            <w:hideMark/>
          </w:tcPr>
          <w:p w14:paraId="571CB362" w14:textId="77777777" w:rsidR="00742250" w:rsidRPr="00742250" w:rsidRDefault="00742250" w:rsidP="00742250">
            <w:r w:rsidRPr="00742250">
              <w:t>Sécurisée par une traçabilité exhaustive des interventions</w:t>
            </w:r>
          </w:p>
        </w:tc>
      </w:tr>
      <w:tr w:rsidR="00742250" w:rsidRPr="00742250" w14:paraId="2C995FD6" w14:textId="77777777">
        <w:trPr>
          <w:tblCellSpacing w:w="15" w:type="dxa"/>
        </w:trPr>
        <w:tc>
          <w:tcPr>
            <w:tcW w:w="0" w:type="auto"/>
            <w:vAlign w:val="center"/>
            <w:hideMark/>
          </w:tcPr>
          <w:p w14:paraId="2C6C1900" w14:textId="77777777" w:rsidR="00742250" w:rsidRPr="00742250" w:rsidRDefault="00742250" w:rsidP="00742250">
            <w:r w:rsidRPr="00742250">
              <w:t>Gestion des pièces de rechange stratégiques</w:t>
            </w:r>
          </w:p>
        </w:tc>
        <w:tc>
          <w:tcPr>
            <w:tcW w:w="0" w:type="auto"/>
            <w:vAlign w:val="center"/>
            <w:hideMark/>
          </w:tcPr>
          <w:p w14:paraId="4A07E999" w14:textId="77777777" w:rsidR="00742250" w:rsidRPr="00742250" w:rsidRDefault="00742250" w:rsidP="00742250">
            <w:r w:rsidRPr="00742250">
              <w:t>Optimisée pour éviter les ruptures sur équipements qualifiés</w:t>
            </w:r>
          </w:p>
        </w:tc>
      </w:tr>
      <w:tr w:rsidR="00742250" w:rsidRPr="00742250" w14:paraId="54D017A5" w14:textId="77777777">
        <w:trPr>
          <w:tblCellSpacing w:w="15" w:type="dxa"/>
        </w:trPr>
        <w:tc>
          <w:tcPr>
            <w:tcW w:w="0" w:type="auto"/>
            <w:vAlign w:val="center"/>
            <w:hideMark/>
          </w:tcPr>
          <w:p w14:paraId="12FE52A3" w14:textId="77777777" w:rsidR="00742250" w:rsidRPr="00742250" w:rsidRDefault="00742250" w:rsidP="00742250">
            <w:r w:rsidRPr="00742250">
              <w:t>First Time Fix</w:t>
            </w:r>
          </w:p>
        </w:tc>
        <w:tc>
          <w:tcPr>
            <w:tcW w:w="0" w:type="auto"/>
            <w:vAlign w:val="center"/>
            <w:hideMark/>
          </w:tcPr>
          <w:p w14:paraId="41B4EC0A" w14:textId="77777777" w:rsidR="00742250" w:rsidRPr="00742250" w:rsidRDefault="00742250" w:rsidP="00742250">
            <w:r w:rsidRPr="00742250">
              <w:t>Amélioré par le diagnostic assisté par IA</w:t>
            </w:r>
          </w:p>
        </w:tc>
      </w:tr>
      <w:tr w:rsidR="00742250" w:rsidRPr="00742250" w14:paraId="4D6444D8" w14:textId="77777777">
        <w:trPr>
          <w:tblCellSpacing w:w="15" w:type="dxa"/>
        </w:trPr>
        <w:tc>
          <w:tcPr>
            <w:tcW w:w="0" w:type="auto"/>
            <w:vAlign w:val="center"/>
            <w:hideMark/>
          </w:tcPr>
          <w:p w14:paraId="4E27F0E1" w14:textId="77777777" w:rsidR="00742250" w:rsidRPr="00742250" w:rsidRDefault="00742250" w:rsidP="00742250">
            <w:r w:rsidRPr="00742250">
              <w:t>Pilotage direction technique et qualité</w:t>
            </w:r>
          </w:p>
        </w:tc>
        <w:tc>
          <w:tcPr>
            <w:tcW w:w="0" w:type="auto"/>
            <w:vAlign w:val="center"/>
            <w:hideMark/>
          </w:tcPr>
          <w:p w14:paraId="6D50BCB4" w14:textId="77777777" w:rsidR="00742250" w:rsidRPr="00742250" w:rsidRDefault="00742250" w:rsidP="00742250">
            <w:r w:rsidRPr="00742250">
              <w:t>Renforcé par des indicateurs opérationnels en temps réel</w:t>
            </w:r>
          </w:p>
        </w:tc>
      </w:tr>
    </w:tbl>
    <w:p w14:paraId="1AB1EB43" w14:textId="77777777" w:rsidR="00742250" w:rsidRPr="00742250" w:rsidRDefault="00742250" w:rsidP="00742250">
      <w:r w:rsidRPr="00742250">
        <w:rPr>
          <w:i/>
          <w:iCs/>
        </w:rPr>
        <w:t>[PLACEHOLDER — À compléter avec vos chiffres clients chimie/pharma]</w:t>
      </w:r>
    </w:p>
    <w:p w14:paraId="369B262F" w14:textId="77777777" w:rsidR="00742250" w:rsidRPr="00742250" w:rsidRDefault="00742250" w:rsidP="00742250">
      <w:r w:rsidRPr="00742250">
        <w:pict w14:anchorId="7C362C15">
          <v:rect id="_x0000_i1090" style="width:0;height:1.5pt" o:hralign="center" o:hrstd="t" o:hr="t" fillcolor="#a0a0a0" stroked="f"/>
        </w:pict>
      </w:r>
    </w:p>
    <w:p w14:paraId="79149F6E" w14:textId="77777777" w:rsidR="00742250" w:rsidRPr="00742250" w:rsidRDefault="00742250" w:rsidP="00742250">
      <w:r w:rsidRPr="00742250">
        <w:rPr>
          <w:b/>
          <w:bCs/>
        </w:rPr>
        <w:t>H2 — Pourquoi Maintex est la GMAO de référence pour la chimie et la pharmacie</w:t>
      </w:r>
    </w:p>
    <w:p w14:paraId="27352E4E" w14:textId="77777777" w:rsidR="00742250" w:rsidRPr="00742250" w:rsidRDefault="00742250" w:rsidP="00742250">
      <w:r w:rsidRPr="00742250">
        <w:t>La plupart des GMAO du marché ont été conçues pour gérer des plannings et produire des rapports. Maintex est pensé pour améliorer la qualité des interventions et garantir la conformité documentaire dans le flux de travail — et c'est de là que découlent la disponibilité des équipements, la maîtrise réglementaire et la performance globale de la maintenance.</w:t>
      </w:r>
    </w:p>
    <w:p w14:paraId="3E3E3D2E" w14:textId="77777777" w:rsidR="00742250" w:rsidRPr="00742250" w:rsidRDefault="00742250" w:rsidP="00742250">
      <w:r w:rsidRPr="00742250">
        <w:t>Conçu pour les techniciens qui interviennent dans des environnements contraints sous exigences GMP, Maintex est aussi un outil de pilotage puissant pour les responsables maintenance, les directeurs techniques et les équipes qualité — parce que les données terrain sont fiables, structurées et exploitables en temps réel.</w:t>
      </w:r>
    </w:p>
    <w:p w14:paraId="74BDD531" w14:textId="77777777" w:rsidR="00742250" w:rsidRPr="00742250" w:rsidRDefault="00742250" w:rsidP="00742250">
      <w:r w:rsidRPr="00742250">
        <w:pict w14:anchorId="45462CEC">
          <v:rect id="_x0000_i1091" style="width:0;height:1.5pt" o:hralign="center" o:hrstd="t" o:hr="t" fillcolor="#a0a0a0" stroked="f"/>
        </w:pict>
      </w:r>
    </w:p>
    <w:p w14:paraId="31A89D95" w14:textId="77777777" w:rsidR="00742250" w:rsidRPr="00742250" w:rsidRDefault="00742250" w:rsidP="00742250">
      <w:r w:rsidRPr="00742250">
        <w:rPr>
          <w:b/>
          <w:bCs/>
        </w:rPr>
        <w:t>H2 — Conclusion : dans la chimie et la pharmacie, la maintenance est une condition de la conformité — et de la compétitivité</w:t>
      </w:r>
    </w:p>
    <w:p w14:paraId="2CB21C72" w14:textId="77777777" w:rsidR="00742250" w:rsidRPr="00742250" w:rsidRDefault="00742250" w:rsidP="00742250">
      <w:r w:rsidRPr="00742250">
        <w:t xml:space="preserve">Un site de production chimique ou pharmaceutique dont la maintenance est approximative accumule les risques : non-conformités documentaires, déviations à </w:t>
      </w:r>
      <w:r w:rsidRPr="00742250">
        <w:lastRenderedPageBreak/>
        <w:t>investiguer, pertes de lot, audits difficiles, certifications fragilisées. Un site dont la maintenance est structurée, outillée et orientée données transforme chaque intervention en preuve de maîtrise.</w:t>
      </w:r>
    </w:p>
    <w:p w14:paraId="47FA078C" w14:textId="77777777" w:rsidR="00742250" w:rsidRPr="00742250" w:rsidRDefault="00742250" w:rsidP="00742250">
      <w:r w:rsidRPr="00742250">
        <w:t>Avec Maintex, vos techniciens interviennent avec précision et documentent sans friction, vos équipements critiques sont surveillés en continu et votre direction dispose des données pour démontrer la maîtrise des processus lors de chaque inspection.</w:t>
      </w:r>
    </w:p>
    <w:p w14:paraId="5E00604C" w14:textId="77777777" w:rsidR="00742250" w:rsidRPr="00742250" w:rsidRDefault="00742250" w:rsidP="00742250">
      <w:r w:rsidRPr="00742250">
        <w:pict w14:anchorId="303626FD">
          <v:rect id="_x0000_i1092" style="width:0;height:1.5pt" o:hralign="center" o:hrstd="t" o:hr="t" fillcolor="#a0a0a0" stroked="f"/>
        </w:pict>
      </w:r>
    </w:p>
    <w:p w14:paraId="4F7B26AA" w14:textId="77777777" w:rsidR="00742250" w:rsidRPr="00742250" w:rsidRDefault="00742250" w:rsidP="00742250">
      <w:r w:rsidRPr="00742250">
        <w:rPr>
          <w:b/>
          <w:bCs/>
        </w:rPr>
        <w:t>CTA — Découvrez Maintex pour votre maintenance chimie et pharmacie</w:t>
      </w:r>
    </w:p>
    <w:p w14:paraId="4287268B" w14:textId="77777777" w:rsidR="00742250" w:rsidRPr="00742250" w:rsidRDefault="00742250" w:rsidP="00742250">
      <w:r w:rsidRPr="00742250">
        <w:t>GMP, FDA, ISO : voyez comment Maintex s'adapte à vos équipements de process, vos exigences réglementaires et vos contraintes de production — sans engagement, en moins d'une heure.</w:t>
      </w:r>
    </w:p>
    <w:p w14:paraId="55DE73B8" w14:textId="77777777" w:rsidR="00742250" w:rsidRPr="00742250" w:rsidRDefault="00742250" w:rsidP="00742250">
      <w:r w:rsidRPr="00742250">
        <w:t xml:space="preserve">→ </w:t>
      </w:r>
      <w:r w:rsidRPr="00742250">
        <w:rPr>
          <w:b/>
          <w:bCs/>
        </w:rPr>
        <w:t>Demandez votre démonstration personnalisée</w:t>
      </w:r>
    </w:p>
    <w:p w14:paraId="520A2FC9" w14:textId="77777777" w:rsidR="00742250" w:rsidRPr="00742250" w:rsidRDefault="00742250" w:rsidP="00742250">
      <w:r w:rsidRPr="00742250">
        <w:pict w14:anchorId="288275CD">
          <v:rect id="_x0000_i1093" style="width:0;height:1.5pt" o:hralign="center" o:hrstd="t" o:hr="t" fillcolor="#a0a0a0" stroked="f"/>
        </w:pict>
      </w:r>
    </w:p>
    <w:p w14:paraId="6BD818F8" w14:textId="77777777" w:rsidR="00742250" w:rsidRPr="00742250" w:rsidRDefault="00742250" w:rsidP="00742250">
      <w:r w:rsidRPr="00742250">
        <w:t>L'article Chimie &amp; Pharma est prêt. Les choix SEO clés : "GMAO chimie", "GMAO pharmacie", "GMP", "FDA", "BPF", "qualification équipements", "maintenance prédictive process" sont tous intégrés naturellement. La maintenance prédictive est positionnée comme un différenciateur stratégique avec l'angle spécifique au secteur : éviter l'incident de conformité et la perte de lot.</w:t>
      </w:r>
    </w:p>
    <w:p w14:paraId="10C891D4" w14:textId="77777777" w:rsidR="007D08ED" w:rsidRPr="000B6A18" w:rsidRDefault="007D08ED" w:rsidP="000B6A18"/>
    <w:sectPr w:rsidR="007D08ED" w:rsidRPr="000B6A18" w:rsidSect="007D08ED">
      <w:pgSz w:w="11906" w:h="16838"/>
      <w:pgMar w:top="1417" w:right="1133"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5F9"/>
    <w:multiLevelType w:val="multilevel"/>
    <w:tmpl w:val="165A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9045C"/>
    <w:multiLevelType w:val="multilevel"/>
    <w:tmpl w:val="B75A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A51BD"/>
    <w:multiLevelType w:val="multilevel"/>
    <w:tmpl w:val="305A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247799">
    <w:abstractNumId w:val="1"/>
  </w:num>
  <w:num w:numId="2" w16cid:durableId="1112746883">
    <w:abstractNumId w:val="2"/>
  </w:num>
  <w:num w:numId="3" w16cid:durableId="690305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ED"/>
    <w:rsid w:val="000B6A18"/>
    <w:rsid w:val="006E4620"/>
    <w:rsid w:val="00742250"/>
    <w:rsid w:val="007D08E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CAF7C"/>
  <w15:chartTrackingRefBased/>
  <w15:docId w15:val="{CCAB5E75-A372-4242-B704-E28D29D1A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D0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D0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D08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D08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D08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D08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08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08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08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08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D08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D08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D08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D08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D08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08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08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08ED"/>
    <w:rPr>
      <w:rFonts w:eastAsiaTheme="majorEastAsia" w:cstheme="majorBidi"/>
      <w:color w:val="272727" w:themeColor="text1" w:themeTint="D8"/>
    </w:rPr>
  </w:style>
  <w:style w:type="paragraph" w:styleId="Titre">
    <w:name w:val="Title"/>
    <w:basedOn w:val="Normal"/>
    <w:next w:val="Normal"/>
    <w:link w:val="TitreCar"/>
    <w:uiPriority w:val="10"/>
    <w:qFormat/>
    <w:rsid w:val="007D0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08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08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08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08ED"/>
    <w:pPr>
      <w:spacing w:before="160"/>
      <w:jc w:val="center"/>
    </w:pPr>
    <w:rPr>
      <w:i/>
      <w:iCs/>
      <w:color w:val="404040" w:themeColor="text1" w:themeTint="BF"/>
    </w:rPr>
  </w:style>
  <w:style w:type="character" w:customStyle="1" w:styleId="CitationCar">
    <w:name w:val="Citation Car"/>
    <w:basedOn w:val="Policepardfaut"/>
    <w:link w:val="Citation"/>
    <w:uiPriority w:val="29"/>
    <w:rsid w:val="007D08ED"/>
    <w:rPr>
      <w:i/>
      <w:iCs/>
      <w:color w:val="404040" w:themeColor="text1" w:themeTint="BF"/>
    </w:rPr>
  </w:style>
  <w:style w:type="paragraph" w:styleId="Paragraphedeliste">
    <w:name w:val="List Paragraph"/>
    <w:basedOn w:val="Normal"/>
    <w:uiPriority w:val="34"/>
    <w:qFormat/>
    <w:rsid w:val="007D08ED"/>
    <w:pPr>
      <w:ind w:left="720"/>
      <w:contextualSpacing/>
    </w:pPr>
  </w:style>
  <w:style w:type="character" w:styleId="Accentuationintense">
    <w:name w:val="Intense Emphasis"/>
    <w:basedOn w:val="Policepardfaut"/>
    <w:uiPriority w:val="21"/>
    <w:qFormat/>
    <w:rsid w:val="007D08ED"/>
    <w:rPr>
      <w:i/>
      <w:iCs/>
      <w:color w:val="0F4761" w:themeColor="accent1" w:themeShade="BF"/>
    </w:rPr>
  </w:style>
  <w:style w:type="paragraph" w:styleId="Citationintense">
    <w:name w:val="Intense Quote"/>
    <w:basedOn w:val="Normal"/>
    <w:next w:val="Normal"/>
    <w:link w:val="CitationintenseCar"/>
    <w:uiPriority w:val="30"/>
    <w:qFormat/>
    <w:rsid w:val="007D0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D08ED"/>
    <w:rPr>
      <w:i/>
      <w:iCs/>
      <w:color w:val="0F4761" w:themeColor="accent1" w:themeShade="BF"/>
    </w:rPr>
  </w:style>
  <w:style w:type="character" w:styleId="Rfrenceintense">
    <w:name w:val="Intense Reference"/>
    <w:basedOn w:val="Policepardfaut"/>
    <w:uiPriority w:val="32"/>
    <w:qFormat/>
    <w:rsid w:val="007D08ED"/>
    <w:rPr>
      <w:b/>
      <w:bCs/>
      <w:smallCaps/>
      <w:color w:val="0F4761" w:themeColor="accent1" w:themeShade="BF"/>
      <w:spacing w:val="5"/>
    </w:rPr>
  </w:style>
  <w:style w:type="character" w:styleId="Lienhypertexte">
    <w:name w:val="Hyperlink"/>
    <w:basedOn w:val="Policepardfaut"/>
    <w:uiPriority w:val="99"/>
    <w:unhideWhenUsed/>
    <w:rsid w:val="007D08ED"/>
    <w:rPr>
      <w:color w:val="467886" w:themeColor="hyperlink"/>
      <w:u w:val="single"/>
    </w:rPr>
  </w:style>
  <w:style w:type="character" w:styleId="Mentionnonrsolue">
    <w:name w:val="Unresolved Mention"/>
    <w:basedOn w:val="Policepardfaut"/>
    <w:uiPriority w:val="99"/>
    <w:semiHidden/>
    <w:unhideWhenUsed/>
    <w:rsid w:val="007D08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1980</Words>
  <Characters>10893</Characters>
  <Application>Microsoft Office Word</Application>
  <DocSecurity>0</DocSecurity>
  <Lines>90</Lines>
  <Paragraphs>25</Paragraphs>
  <ScaleCrop>false</ScaleCrop>
  <Company/>
  <LinksUpToDate>false</LinksUpToDate>
  <CharactersWithSpaces>12848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Abdoulaye BAMOGO</dc:creator>
  <cp:keywords/>
  <dc:description/>
  <cp:lastModifiedBy>Abdoulaye BAMOGO</cp:lastModifiedBy>
  <cp:revision>2</cp:revision>
  <cp:lastPrinted>2026-04-13T18:26:00Z</cp:lastPrinted>
  <dcterms:created xsi:type="dcterms:W3CDTF">2026-04-14T13:10:00Z</dcterms:created>
  <dcterms:modified xsi:type="dcterms:W3CDTF">2026-04-14T13:10:00Z</dcterms:modified>
</cp:coreProperties>
</file>