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0" w:before="1200"/>
        <w:jc w:val="center"/>
      </w:pPr>
      <w:r>
        <w:t xml:space="preserve">MANUEL DE FIN DE CHANTIER</w:t>
      </w:r>
    </w:p>
    <w:p>
      <w:pPr>
        <w:spacing w:after="200"/>
        <w:jc w:val="center"/>
      </w:pPr>
      <w:r>
        <w:rPr>
          <w:b/>
          <w:bCs/>
        </w:rPr>
        <w:t xml:space="preserve">NOM DU PROJET :</w:t>
      </w:r>
    </w:p>
    <w:p>
      <w:pPr>
        <w:spacing w:after="200"/>
        <w:jc w:val="center"/>
      </w:pPr>
      <w:r>
        <w:rPr>
          <w:b/>
          <w:bCs/>
        </w:rPr>
        <w:t xml:space="preserve">CLIENT :</w:t>
      </w:r>
    </w:p>
    <w:p>
      <w:pPr>
        <w:spacing w:after="200"/>
        <w:jc w:val="center"/>
      </w:pPr>
      <w:r>
        <w:rPr>
          <w:b/>
          <w:bCs/>
        </w:rPr>
        <w:t xml:space="preserve">ADRESSE DU PROJET :</w:t>
      </w:r>
    </w:p>
    <w:p>
      <w:pPr>
        <w:spacing w:after="200"/>
        <w:jc w:val="center"/>
      </w:pPr>
      <w:r>
        <w:rPr>
          <w:b/>
          <w:bCs/>
        </w:rPr>
        <w:t xml:space="preserve">NUMÉRO DE DOSSIER TTE :</w:t>
      </w:r>
    </w:p>
    <w:p>
      <w:pPr>
        <w:spacing w:after="200"/>
        <w:jc w:val="center"/>
      </w:pPr>
      <w:r>
        <w:rPr>
          <w:b/>
          <w:bCs/>
        </w:rPr>
        <w:t xml:space="preserve">DATE :</w:t>
      </w:r>
    </w:p>
    <w:p>
      <w:pPr>
        <w:spacing w:before="800"/>
        <w:jc w:val="center"/>
      </w:pPr>
      <w:r>
        <w:rPr>
          <w:i/>
          <w:iCs/>
        </w:rPr>
        <w:t xml:space="preserve">Toitures Trois Étoiles Inc.</w:t>
      </w:r>
    </w:p>
    <w:p>
      <w:r>
        <w:br w:type="page"/>
      </w:r>
    </w:p>
    <w:p>
      <w:pPr>
        <w:pStyle w:val="Heading1"/>
        <w:spacing w:after="200" w:before="300"/>
      </w:pPr>
      <w:r>
        <w:t xml:space="preserve">Liste des intervenants</w:t>
      </w:r>
    </w:p>
    <w:p>
      <w:pPr>
        <w:spacing w:after="100" w:before="200"/>
      </w:pPr>
      <w:r>
        <w:rPr>
          <w:b/>
          <w:bCs/>
        </w:rPr>
        <w:t xml:space="preserve">Propriétaire :</w:t>
      </w:r>
    </w:p>
    <w:p>
      <w:pPr>
        <w:spacing w:after="100" w:before="200"/>
      </w:pPr>
      <w:r>
        <w:rPr>
          <w:b/>
          <w:bCs/>
        </w:rPr>
        <w:t xml:space="preserve">Consultant :</w:t>
      </w:r>
    </w:p>
    <w:p>
      <w:pPr>
        <w:spacing w:after="100" w:before="200"/>
      </w:pPr>
      <w:r>
        <w:rPr>
          <w:b/>
          <w:bCs/>
        </w:rPr>
        <w:t xml:space="preserve">Entrepreneur général :</w:t>
      </w:r>
    </w:p>
    <w:p>
      <w:pPr>
        <w:spacing w:after="100" w:before="200"/>
      </w:pPr>
      <w:r>
        <w:rPr>
          <w:b/>
          <w:bCs/>
        </w:rPr>
        <w:t xml:space="preserve">Entrepreneur couvreur :</w:t>
      </w:r>
    </w:p>
    <w:p>
      <w:r>
        <w:br w:type="page"/>
      </w:r>
    </w:p>
    <w:p>
      <w:pPr>
        <w:pStyle w:val="Heading1"/>
        <w:spacing w:after="200" w:before="300"/>
      </w:pPr>
      <w:r>
        <w:t xml:space="preserve">Liste des fournisseurs et sous-traitants</w:t>
      </w:r>
    </w:p>
    <w:p>
      <w:pPr>
        <w:pStyle w:val="Heading2"/>
        <w:spacing w:after="100" w:before="200"/>
      </w:pPr>
      <w:r>
        <w:t xml:space="preserve">Fournisseurs</w:t>
      </w:r>
    </w:p>
    <w:p>
      <w:pPr>
        <w:spacing w:after="100" w:before="200"/>
      </w:pPr>
      <w:r>
        <w:rPr>
          <w:b/>
          <w:bCs/>
        </w:rPr>
        <w:t xml:space="preserve">Fournisseur 1 :</w:t>
      </w:r>
    </w:p>
    <w:p>
      <w:pPr>
        <w:spacing w:after="100" w:before="200"/>
      </w:pPr>
      <w:r>
        <w:rPr>
          <w:b/>
          <w:bCs/>
        </w:rPr>
        <w:t xml:space="preserve">Fournisseur 2 :</w:t>
      </w:r>
    </w:p>
    <w:p>
      <w:pPr>
        <w:spacing w:after="100" w:before="200"/>
      </w:pPr>
      <w:r>
        <w:rPr>
          <w:b/>
          <w:bCs/>
        </w:rPr>
        <w:t xml:space="preserve">Fournisseur 3 :</w:t>
      </w:r>
    </w:p>
    <w:p>
      <w:pPr>
        <w:spacing w:after="100" w:before="200"/>
      </w:pPr>
      <w:r>
        <w:rPr>
          <w:b/>
          <w:bCs/>
        </w:rPr>
        <w:t xml:space="preserve">Fournisseur 4 :</w:t>
      </w:r>
    </w:p>
    <w:p>
      <w:pPr>
        <w:pStyle w:val="Heading2"/>
        <w:spacing w:after="100" w:before="300"/>
      </w:pPr>
      <w:r>
        <w:t xml:space="preserve">Sous-traitants</w:t>
      </w:r>
    </w:p>
    <w:p>
      <w:pPr>
        <w:spacing w:after="100" w:before="200"/>
      </w:pPr>
      <w:r>
        <w:rPr>
          <w:b/>
          <w:bCs/>
        </w:rPr>
        <w:t xml:space="preserve">Sous-traitant 1 :</w:t>
      </w:r>
    </w:p>
    <w:p>
      <w:pPr>
        <w:spacing w:after="100" w:before="200"/>
      </w:pPr>
      <w:r>
        <w:rPr>
          <w:b/>
          <w:bCs/>
        </w:rPr>
        <w:t xml:space="preserve">Sous-traitant 2 :</w:t>
      </w:r>
    </w:p>
    <w:p>
      <w:r>
        <w:br w:type="page"/>
      </w:r>
    </w:p>
    <w:p>
      <w:pPr>
        <w:pStyle w:val="Heading1"/>
        <w:spacing w:after="200" w:before="300"/>
      </w:pPr>
      <w:r>
        <w:t xml:space="preserve">Description des travaux exécutés</w:t>
      </w:r>
    </w:p>
    <w:p>
      <w:pPr>
        <w:spacing w:after="200"/>
      </w:pPr>
      <w:r>
        <w:t xml:space="preserve">Composition complète de la toiture installée (coupe-vapeur, isolant, pente, panneaux de support, membrane, relevés, etc.) :</w:t>
      </w:r>
    </w:p>
    <w:p>
      <w:pPr>
        <w:spacing w:after="100" w:before="200"/>
      </w:pPr>
      <w:r>
        <w:rPr>
          <w:b/>
          <w:bCs/>
        </w:rPr>
        <w:t xml:space="preserve">Description :</w:t>
      </w:r>
    </w:p>
    <w:p>
      <w:r>
        <w:br w:type="page"/>
      </w:r>
    </w:p>
    <w:p>
      <w:pPr>
        <w:pStyle w:val="Heading1"/>
        <w:spacing w:after="200" w:before="300"/>
      </w:pPr>
      <w:r>
        <w:t xml:space="preserve">Détails et imprévus</w:t>
      </w:r>
    </w:p>
    <w:p>
      <w:pPr>
        <w:spacing w:after="150"/>
      </w:pPr>
      <w:r>
        <w:t xml:space="preserve">Précisions, particularités ou événements imprévus survenus en cours de chantier, le cas échéant :</w:t>
      </w:r>
    </w:p>
    <w:p>
      <w:pPr>
        <w:spacing w:after="100" w:before="200"/>
      </w:pPr>
      <w:r>
        <w:rPr>
          <w:b/>
          <w:bCs/>
        </w:rPr>
        <w:t xml:space="preserve">Détails :</w:t>
      </w:r>
    </w:p>
    <w:p>
      <w:r>
        <w:br w:type="page"/>
      </w:r>
    </w:p>
    <w:p>
      <w:pPr>
        <w:pStyle w:val="Heading1"/>
        <w:spacing w:after="200" w:before="300"/>
      </w:pPr>
      <w:r>
        <w:t xml:space="preserve">Directives d’exploitation et d’entretien</w:t>
      </w:r>
    </w:p>
    <w:p>
      <w:pPr>
        <w:spacing w:after="150"/>
      </w:pPr>
      <w:r>
        <w:t xml:space="preserve">Les inspections préventives devraient être réalisées au moins deux fois par année, à l’automne et à la fin de l’hiver. Il est également recommandé de le faire à la suite d’événements climatiques majeurs (pluies abondantes, verglas, grands vents) ainsi qu’après toute installation ou tout travaux d’entretien d’appareils (climatisation, ventilation) sur la toiture.</w:t>
      </w:r>
    </w:p>
    <w:p>
      <w:pPr>
        <w:spacing w:after="150"/>
      </w:pPr>
      <w:r>
        <w:t xml:space="preserve">Limitez l’accès au personnel autorisé uniquement. N’utilisez pas la toiture comme terrasse ou patio sans protection adéquate.</w:t>
      </w:r>
    </w:p>
    <w:p>
      <w:pPr>
        <w:pStyle w:val="Heading2"/>
        <w:spacing w:after="150" w:before="300"/>
      </w:pPr>
      <w:r>
        <w:t xml:space="preserve">Liste de contrôle d’entretien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900"/>
        <w:gridCol w:w="1400"/>
        <w:gridCol w:w="2200"/>
      </w:tblGrid>
      <w:tr>
        <w:trPr>
          <w:tblHeader/>
        </w:trPr>
        <w:tc>
          <w:tcPr>
            <w:tcMar>
              <w:top w:type="dxa" w:w="80"/>
              <w:left w:type="dxa" w:w="100"/>
              <w:bottom w:type="dxa" w:w="80"/>
              <w:right w:type="dxa" w:w="100"/>
            </w:tcMar>
            <w:vAlign w:val="center"/>
          </w:tcPr>
          <w:p>
            <w:r>
              <w:rPr>
                <w:b/>
                <w:bCs/>
                <w:sz w:val="18"/>
                <w:szCs w:val="18"/>
              </w:rPr>
              <w:t xml:space="preserve">Point de vérification</w:t>
            </w:r>
          </w:p>
        </w:tc>
        <w:tc>
          <w:tcPr>
            <w:tcMar>
              <w:top w:type="dxa" w:w="80"/>
              <w:left w:type="dxa" w:w="100"/>
              <w:bottom w:type="dxa" w:w="80"/>
              <w:right w:type="dxa" w:w="100"/>
            </w:tcMar>
            <w:vAlign w:val="center"/>
          </w:tcPr>
          <w:p>
            <w:r>
              <w:rPr>
                <w:b/>
                <w:bCs/>
                <w:sz w:val="18"/>
                <w:szCs w:val="18"/>
              </w:rPr>
              <w:t xml:space="preserve">OK</w:t>
            </w:r>
          </w:p>
        </w:tc>
        <w:tc>
          <w:tcPr>
            <w:tcMar>
              <w:top w:type="dxa" w:w="80"/>
              <w:left w:type="dxa" w:w="100"/>
              <w:bottom w:type="dxa" w:w="80"/>
              <w:right w:type="dxa" w:w="100"/>
            </w:tcMar>
            <w:vAlign w:val="center"/>
          </w:tcPr>
          <w:p>
            <w:r>
              <w:rPr>
                <w:b/>
                <w:bCs/>
                <w:sz w:val="18"/>
                <w:szCs w:val="18"/>
              </w:rPr>
              <w:t xml:space="preserve">Suivi requis</w:t>
            </w:r>
          </w:p>
        </w:tc>
        <w:tc>
          <w:tcPr>
            <w:tcMar>
              <w:top w:type="dxa" w:w="80"/>
              <w:left w:type="dxa" w:w="100"/>
              <w:bottom w:type="dxa" w:w="80"/>
              <w:right w:type="dxa" w:w="100"/>
            </w:tcMar>
            <w:vAlign w:val="center"/>
          </w:tcPr>
          <w:p>
            <w:r>
              <w:rPr>
                <w:b/>
                <w:bCs/>
                <w:sz w:val="18"/>
                <w:szCs w:val="18"/>
              </w:rPr>
              <w:t xml:space="preserve">Commentaire</w:t>
            </w:r>
          </w:p>
        </w:tc>
      </w:tr>
      <w:tr>
        <w:tc>
          <w:tcPr>
            <w:tcMar>
              <w:top w:type="dxa" w:w="80"/>
              <w:left w:type="dxa" w:w="100"/>
              <w:bottom w:type="dxa" w:w="80"/>
              <w:right w:type="dxa" w:w="100"/>
            </w:tcMar>
            <w:vAlign w:val="center"/>
          </w:tcPr>
          <w:p>
            <w:r>
              <w:rPr>
                <w:sz w:val="16"/>
                <w:szCs w:val="16"/>
              </w:rPr>
              <w:t xml:space="preserve">Inspection de tous les éléments émergeant de la membrane de toiture (évents, ventilateurs, cheminées, etc.).</w:t>
            </w:r>
          </w:p>
        </w:tc>
        <w:tc>
          <w:tcPr>
            <w:tcMar>
              <w:top w:type="dxa" w:w="80"/>
              <w:left w:type="dxa" w:w="100"/>
              <w:bottom w:type="dxa" w:w="80"/>
              <w:right w:type="dxa" w:w="100"/>
            </w:tcMar>
            <w:vAlign w:val="center"/>
          </w:tcPr>
          <w:p>
            <w:r>
              <w:rPr>
                <w:sz w:val="20"/>
                <w:szCs w:val="20"/>
              </w:rPr>
              <w:t xml:space="preserve">☐</w:t>
            </w:r>
          </w:p>
        </w:tc>
        <w:tc>
          <w:tcPr>
            <w:tcMar>
              <w:top w:type="dxa" w:w="80"/>
              <w:left w:type="dxa" w:w="100"/>
              <w:bottom w:type="dxa" w:w="80"/>
              <w:right w:type="dxa" w:w="100"/>
            </w:tcMar>
            <w:vAlign w:val="center"/>
          </w:tcPr>
          <w:p>
            <w:r>
              <w:rPr>
                <w:sz w:val="20"/>
                <w:szCs w:val="20"/>
              </w:rPr>
              <w:t xml:space="preserve">☐</w:t>
            </w:r>
          </w:p>
        </w:tc>
        <w:tc>
          <w:tcPr>
            <w:tcMar>
              <w:top w:type="dxa" w:w="80"/>
              <w:left w:type="dxa" w:w="100"/>
              <w:bottom w:type="dxa" w:w="80"/>
              <w:right w:type="dxa" w:w="100"/>
            </w:tcMar>
            <w:vAlign w:val="center"/>
          </w:tcPr>
          <w:p>
            <w:r>
              <w:rPr>
                <w:sz w:val="16"/>
                <w:szCs w:val="16"/>
              </w:rPr>
              <w:t xml:space="preserve">Commentaire 1 :</w:t>
            </w:r>
          </w:p>
        </w:tc>
      </w:tr>
      <w:tr>
        <w:tc>
          <w:tcPr>
            <w:tcMar>
              <w:top w:type="dxa" w:w="80"/>
              <w:left w:type="dxa" w:w="100"/>
              <w:bottom w:type="dxa" w:w="80"/>
              <w:right w:type="dxa" w:w="100"/>
            </w:tcMar>
            <w:vAlign w:val="center"/>
          </w:tcPr>
          <w:p>
            <w:r>
              <w:rPr>
                <w:sz w:val="16"/>
                <w:szCs w:val="16"/>
              </w:rPr>
              <w:t xml:space="preserve">Vérification de tous les drains.</w:t>
            </w:r>
          </w:p>
        </w:tc>
        <w:tc>
          <w:tcPr>
            <w:tcMar>
              <w:top w:type="dxa" w:w="80"/>
              <w:left w:type="dxa" w:w="100"/>
              <w:bottom w:type="dxa" w:w="80"/>
              <w:right w:type="dxa" w:w="100"/>
            </w:tcMar>
            <w:vAlign w:val="center"/>
          </w:tcPr>
          <w:p>
            <w:r>
              <w:rPr>
                <w:sz w:val="20"/>
                <w:szCs w:val="20"/>
              </w:rPr>
              <w:t xml:space="preserve">☐</w:t>
            </w:r>
          </w:p>
        </w:tc>
        <w:tc>
          <w:tcPr>
            <w:tcMar>
              <w:top w:type="dxa" w:w="80"/>
              <w:left w:type="dxa" w:w="100"/>
              <w:bottom w:type="dxa" w:w="80"/>
              <w:right w:type="dxa" w:w="100"/>
            </w:tcMar>
            <w:vAlign w:val="center"/>
          </w:tcPr>
          <w:p>
            <w:r>
              <w:rPr>
                <w:sz w:val="20"/>
                <w:szCs w:val="20"/>
              </w:rPr>
              <w:t xml:space="preserve">☐</w:t>
            </w:r>
          </w:p>
        </w:tc>
        <w:tc>
          <w:tcPr>
            <w:tcMar>
              <w:top w:type="dxa" w:w="80"/>
              <w:left w:type="dxa" w:w="100"/>
              <w:bottom w:type="dxa" w:w="80"/>
              <w:right w:type="dxa" w:w="100"/>
            </w:tcMar>
            <w:vAlign w:val="center"/>
          </w:tcPr>
          <w:p>
            <w:r>
              <w:rPr>
                <w:sz w:val="16"/>
                <w:szCs w:val="16"/>
              </w:rPr>
              <w:t xml:space="preserve">Commentaire 2 :</w:t>
            </w:r>
          </w:p>
        </w:tc>
      </w:tr>
      <w:tr>
        <w:tc>
          <w:tcPr>
            <w:tcMar>
              <w:top w:type="dxa" w:w="80"/>
              <w:left w:type="dxa" w:w="100"/>
              <w:bottom w:type="dxa" w:w="80"/>
              <w:right w:type="dxa" w:w="100"/>
            </w:tcMar>
            <w:vAlign w:val="center"/>
          </w:tcPr>
          <w:p>
            <w:r>
              <w:rPr>
                <w:sz w:val="16"/>
                <w:szCs w:val="16"/>
              </w:rPr>
              <w:t xml:space="preserve">Vérification de la condition générale de la couverture (débris, clous, feuilles, saletés, sédiments et autres matériaux).</w:t>
            </w:r>
          </w:p>
        </w:tc>
        <w:tc>
          <w:tcPr>
            <w:tcMar>
              <w:top w:type="dxa" w:w="80"/>
              <w:left w:type="dxa" w:w="100"/>
              <w:bottom w:type="dxa" w:w="80"/>
              <w:right w:type="dxa" w:w="100"/>
            </w:tcMar>
            <w:vAlign w:val="center"/>
          </w:tcPr>
          <w:p>
            <w:r>
              <w:rPr>
                <w:sz w:val="20"/>
                <w:szCs w:val="20"/>
              </w:rPr>
              <w:t xml:space="preserve">☐</w:t>
            </w:r>
          </w:p>
        </w:tc>
        <w:tc>
          <w:tcPr>
            <w:tcMar>
              <w:top w:type="dxa" w:w="80"/>
              <w:left w:type="dxa" w:w="100"/>
              <w:bottom w:type="dxa" w:w="80"/>
              <w:right w:type="dxa" w:w="100"/>
            </w:tcMar>
            <w:vAlign w:val="center"/>
          </w:tcPr>
          <w:p>
            <w:r>
              <w:rPr>
                <w:sz w:val="20"/>
                <w:szCs w:val="20"/>
              </w:rPr>
              <w:t xml:space="preserve">☐</w:t>
            </w:r>
          </w:p>
        </w:tc>
        <w:tc>
          <w:tcPr>
            <w:tcMar>
              <w:top w:type="dxa" w:w="80"/>
              <w:left w:type="dxa" w:w="100"/>
              <w:bottom w:type="dxa" w:w="80"/>
              <w:right w:type="dxa" w:w="100"/>
            </w:tcMar>
            <w:vAlign w:val="center"/>
          </w:tcPr>
          <w:p>
            <w:r>
              <w:rPr>
                <w:sz w:val="16"/>
                <w:szCs w:val="16"/>
              </w:rPr>
              <w:t xml:space="preserve">Commentaire 3 :</w:t>
            </w:r>
          </w:p>
        </w:tc>
      </w:tr>
      <w:tr>
        <w:tc>
          <w:tcPr>
            <w:tcMar>
              <w:top w:type="dxa" w:w="80"/>
              <w:left w:type="dxa" w:w="100"/>
              <w:bottom w:type="dxa" w:w="80"/>
              <w:right w:type="dxa" w:w="100"/>
            </w:tcMar>
            <w:vAlign w:val="center"/>
          </w:tcPr>
          <w:p>
            <w:r>
              <w:rPr>
                <w:sz w:val="16"/>
                <w:szCs w:val="16"/>
              </w:rPr>
              <w:t xml:space="preserve">Inspection de la membrane et de tous ses joints. S’assurer que la membrane est toujours utilisée pour l’usage pour lequel elle a été conçue (éviter : entreposage, tables de pique-nique, chaises, décorations).</w:t>
            </w:r>
          </w:p>
        </w:tc>
        <w:tc>
          <w:tcPr>
            <w:tcMar>
              <w:top w:type="dxa" w:w="80"/>
              <w:left w:type="dxa" w:w="100"/>
              <w:bottom w:type="dxa" w:w="80"/>
              <w:right w:type="dxa" w:w="100"/>
            </w:tcMar>
            <w:vAlign w:val="center"/>
          </w:tcPr>
          <w:p>
            <w:r>
              <w:rPr>
                <w:sz w:val="20"/>
                <w:szCs w:val="20"/>
              </w:rPr>
              <w:t xml:space="preserve">☐</w:t>
            </w:r>
          </w:p>
        </w:tc>
        <w:tc>
          <w:tcPr>
            <w:tcMar>
              <w:top w:type="dxa" w:w="80"/>
              <w:left w:type="dxa" w:w="100"/>
              <w:bottom w:type="dxa" w:w="80"/>
              <w:right w:type="dxa" w:w="100"/>
            </w:tcMar>
            <w:vAlign w:val="center"/>
          </w:tcPr>
          <w:p>
            <w:r>
              <w:rPr>
                <w:sz w:val="20"/>
                <w:szCs w:val="20"/>
              </w:rPr>
              <w:t xml:space="preserve">☐</w:t>
            </w:r>
          </w:p>
        </w:tc>
        <w:tc>
          <w:tcPr>
            <w:tcMar>
              <w:top w:type="dxa" w:w="80"/>
              <w:left w:type="dxa" w:w="100"/>
              <w:bottom w:type="dxa" w:w="80"/>
              <w:right w:type="dxa" w:w="100"/>
            </w:tcMar>
            <w:vAlign w:val="center"/>
          </w:tcPr>
          <w:p>
            <w:r>
              <w:rPr>
                <w:sz w:val="16"/>
                <w:szCs w:val="16"/>
              </w:rPr>
              <w:t xml:space="preserve">Commentaire 4 :</w:t>
            </w:r>
          </w:p>
        </w:tc>
      </w:tr>
      <w:tr>
        <w:tc>
          <w:tcPr>
            <w:tcMar>
              <w:top w:type="dxa" w:w="80"/>
              <w:left w:type="dxa" w:w="100"/>
              <w:bottom w:type="dxa" w:w="80"/>
              <w:right w:type="dxa" w:w="100"/>
            </w:tcMar>
            <w:vAlign w:val="center"/>
          </w:tcPr>
          <w:p>
            <w:r>
              <w:rPr>
                <w:sz w:val="16"/>
                <w:szCs w:val="16"/>
              </w:rPr>
              <w:t xml:space="preserve">Vérification de l’étanchéité de tous les solins métalliques, si applicable.</w:t>
            </w:r>
          </w:p>
        </w:tc>
        <w:tc>
          <w:tcPr>
            <w:tcMar>
              <w:top w:type="dxa" w:w="80"/>
              <w:left w:type="dxa" w:w="100"/>
              <w:bottom w:type="dxa" w:w="80"/>
              <w:right w:type="dxa" w:w="100"/>
            </w:tcMar>
            <w:vAlign w:val="center"/>
          </w:tcPr>
          <w:p>
            <w:r>
              <w:rPr>
                <w:sz w:val="20"/>
                <w:szCs w:val="20"/>
              </w:rPr>
              <w:t xml:space="preserve">☐</w:t>
            </w:r>
          </w:p>
        </w:tc>
        <w:tc>
          <w:tcPr>
            <w:tcMar>
              <w:top w:type="dxa" w:w="80"/>
              <w:left w:type="dxa" w:w="100"/>
              <w:bottom w:type="dxa" w:w="80"/>
              <w:right w:type="dxa" w:w="100"/>
            </w:tcMar>
            <w:vAlign w:val="center"/>
          </w:tcPr>
          <w:p>
            <w:r>
              <w:rPr>
                <w:sz w:val="20"/>
                <w:szCs w:val="20"/>
              </w:rPr>
              <w:t xml:space="preserve">☐</w:t>
            </w:r>
          </w:p>
        </w:tc>
        <w:tc>
          <w:tcPr>
            <w:tcMar>
              <w:top w:type="dxa" w:w="80"/>
              <w:left w:type="dxa" w:w="100"/>
              <w:bottom w:type="dxa" w:w="80"/>
              <w:right w:type="dxa" w:w="100"/>
            </w:tcMar>
            <w:vAlign w:val="center"/>
          </w:tcPr>
          <w:p>
            <w:r>
              <w:rPr>
                <w:sz w:val="16"/>
                <w:szCs w:val="16"/>
              </w:rPr>
              <w:t xml:space="preserve">Commentaire 5 :</w:t>
            </w:r>
          </w:p>
        </w:tc>
      </w:tr>
      <w:tr>
        <w:tc>
          <w:tcPr>
            <w:tcMar>
              <w:top w:type="dxa" w:w="80"/>
              <w:left w:type="dxa" w:w="100"/>
              <w:bottom w:type="dxa" w:w="80"/>
              <w:right w:type="dxa" w:w="100"/>
            </w:tcMar>
            <w:vAlign w:val="center"/>
          </w:tcPr>
          <w:p>
            <w:r>
              <w:rPr>
                <w:sz w:val="16"/>
                <w:szCs w:val="16"/>
              </w:rPr>
              <w:t xml:space="preserve">Vérification de la présence de granules en quantité suffisante sur toute la surface de la membrane.</w:t>
            </w:r>
          </w:p>
        </w:tc>
        <w:tc>
          <w:tcPr>
            <w:tcMar>
              <w:top w:type="dxa" w:w="80"/>
              <w:left w:type="dxa" w:w="100"/>
              <w:bottom w:type="dxa" w:w="80"/>
              <w:right w:type="dxa" w:w="100"/>
            </w:tcMar>
            <w:vAlign w:val="center"/>
          </w:tcPr>
          <w:p>
            <w:r>
              <w:rPr>
                <w:sz w:val="20"/>
                <w:szCs w:val="20"/>
              </w:rPr>
              <w:t xml:space="preserve">☐</w:t>
            </w:r>
          </w:p>
        </w:tc>
        <w:tc>
          <w:tcPr>
            <w:tcMar>
              <w:top w:type="dxa" w:w="80"/>
              <w:left w:type="dxa" w:w="100"/>
              <w:bottom w:type="dxa" w:w="80"/>
              <w:right w:type="dxa" w:w="100"/>
            </w:tcMar>
            <w:vAlign w:val="center"/>
          </w:tcPr>
          <w:p>
            <w:r>
              <w:rPr>
                <w:sz w:val="20"/>
                <w:szCs w:val="20"/>
              </w:rPr>
              <w:t xml:space="preserve">☐</w:t>
            </w:r>
          </w:p>
        </w:tc>
        <w:tc>
          <w:tcPr>
            <w:tcMar>
              <w:top w:type="dxa" w:w="80"/>
              <w:left w:type="dxa" w:w="100"/>
              <w:bottom w:type="dxa" w:w="80"/>
              <w:right w:type="dxa" w:w="100"/>
            </w:tcMar>
            <w:vAlign w:val="center"/>
          </w:tcPr>
          <w:p>
            <w:r>
              <w:rPr>
                <w:sz w:val="16"/>
                <w:szCs w:val="16"/>
              </w:rPr>
              <w:t xml:space="preserve">Commentaire 6 :</w:t>
            </w:r>
          </w:p>
        </w:tc>
      </w:tr>
      <w:tr>
        <w:tc>
          <w:tcPr>
            <w:tcMar>
              <w:top w:type="dxa" w:w="80"/>
              <w:left w:type="dxa" w:w="100"/>
              <w:bottom w:type="dxa" w:w="80"/>
              <w:right w:type="dxa" w:w="100"/>
            </w:tcMar>
            <w:vAlign w:val="center"/>
          </w:tcPr>
          <w:p>
            <w:r>
              <w:rPr>
                <w:sz w:val="16"/>
                <w:szCs w:val="16"/>
              </w:rPr>
              <w:t xml:space="preserve">Communication aux personnes concernées de toute anomalie des éléments environnants et des éléments reliés à la couverture (murs de maçonnerie, sorties mécaniques, lanterneaux, etc.).</w:t>
            </w:r>
          </w:p>
        </w:tc>
        <w:tc>
          <w:tcPr>
            <w:tcMar>
              <w:top w:type="dxa" w:w="80"/>
              <w:left w:type="dxa" w:w="100"/>
              <w:bottom w:type="dxa" w:w="80"/>
              <w:right w:type="dxa" w:w="100"/>
            </w:tcMar>
            <w:vAlign w:val="center"/>
          </w:tcPr>
          <w:p>
            <w:r>
              <w:rPr>
                <w:sz w:val="20"/>
                <w:szCs w:val="20"/>
              </w:rPr>
              <w:t xml:space="preserve">☐</w:t>
            </w:r>
          </w:p>
        </w:tc>
        <w:tc>
          <w:tcPr>
            <w:tcMar>
              <w:top w:type="dxa" w:w="80"/>
              <w:left w:type="dxa" w:w="100"/>
              <w:bottom w:type="dxa" w:w="80"/>
              <w:right w:type="dxa" w:w="100"/>
            </w:tcMar>
            <w:vAlign w:val="center"/>
          </w:tcPr>
          <w:p>
            <w:r>
              <w:rPr>
                <w:sz w:val="20"/>
                <w:szCs w:val="20"/>
              </w:rPr>
              <w:t xml:space="preserve">☐</w:t>
            </w:r>
          </w:p>
        </w:tc>
        <w:tc>
          <w:tcPr>
            <w:tcMar>
              <w:top w:type="dxa" w:w="80"/>
              <w:left w:type="dxa" w:w="100"/>
              <w:bottom w:type="dxa" w:w="80"/>
              <w:right w:type="dxa" w:w="100"/>
            </w:tcMar>
            <w:vAlign w:val="center"/>
          </w:tcPr>
          <w:p>
            <w:r>
              <w:rPr>
                <w:sz w:val="16"/>
                <w:szCs w:val="16"/>
              </w:rPr>
              <w:t xml:space="preserve">Commentaire 7 :</w:t>
            </w:r>
          </w:p>
        </w:tc>
      </w:tr>
      <w:tr>
        <w:tc>
          <w:tcPr>
            <w:tcMar>
              <w:top w:type="dxa" w:w="80"/>
              <w:left w:type="dxa" w:w="100"/>
              <w:bottom w:type="dxa" w:w="80"/>
              <w:right w:type="dxa" w:w="100"/>
            </w:tcMar>
            <w:vAlign w:val="center"/>
          </w:tcPr>
          <w:p>
            <w:r>
              <w:rPr>
                <w:sz w:val="16"/>
                <w:szCs w:val="16"/>
              </w:rPr>
              <w:t xml:space="preserve">Vérification des équipements mécaniques installés sur la toiture (supports, fixations, étanchéité des pénétrations).</w:t>
            </w:r>
          </w:p>
        </w:tc>
        <w:tc>
          <w:tcPr>
            <w:tcMar>
              <w:top w:type="dxa" w:w="80"/>
              <w:left w:type="dxa" w:w="100"/>
              <w:bottom w:type="dxa" w:w="80"/>
              <w:right w:type="dxa" w:w="100"/>
            </w:tcMar>
            <w:vAlign w:val="center"/>
          </w:tcPr>
          <w:p>
            <w:r>
              <w:rPr>
                <w:sz w:val="20"/>
                <w:szCs w:val="20"/>
              </w:rPr>
              <w:t xml:space="preserve">☐</w:t>
            </w:r>
          </w:p>
        </w:tc>
        <w:tc>
          <w:tcPr>
            <w:tcMar>
              <w:top w:type="dxa" w:w="80"/>
              <w:left w:type="dxa" w:w="100"/>
              <w:bottom w:type="dxa" w:w="80"/>
              <w:right w:type="dxa" w:w="100"/>
            </w:tcMar>
            <w:vAlign w:val="center"/>
          </w:tcPr>
          <w:p>
            <w:r>
              <w:rPr>
                <w:sz w:val="20"/>
                <w:szCs w:val="20"/>
              </w:rPr>
              <w:t xml:space="preserve">☐</w:t>
            </w:r>
          </w:p>
        </w:tc>
        <w:tc>
          <w:tcPr>
            <w:tcMar>
              <w:top w:type="dxa" w:w="80"/>
              <w:left w:type="dxa" w:w="100"/>
              <w:bottom w:type="dxa" w:w="80"/>
              <w:right w:type="dxa" w:w="100"/>
            </w:tcMar>
            <w:vAlign w:val="center"/>
          </w:tcPr>
          <w:p>
            <w:r>
              <w:rPr>
                <w:sz w:val="16"/>
                <w:szCs w:val="16"/>
              </w:rPr>
              <w:t xml:space="preserve">Commentaire 8 :</w:t>
            </w:r>
          </w:p>
        </w:tc>
      </w:tr>
      <w:tr>
        <w:tc>
          <w:tcPr>
            <w:tcMar>
              <w:top w:type="dxa" w:w="80"/>
              <w:left w:type="dxa" w:w="100"/>
              <w:bottom w:type="dxa" w:w="80"/>
              <w:right w:type="dxa" w:w="100"/>
            </w:tcMar>
            <w:vAlign w:val="center"/>
          </w:tcPr>
          <w:p>
            <w:r>
              <w:rPr>
                <w:sz w:val="16"/>
                <w:szCs w:val="16"/>
              </w:rPr>
              <w:t xml:space="preserve">Anomalie(s) ou autre(s) problème(s) observé(s).</w:t>
            </w:r>
          </w:p>
        </w:tc>
        <w:tc>
          <w:tcPr>
            <w:tcMar>
              <w:top w:type="dxa" w:w="80"/>
              <w:left w:type="dxa" w:w="100"/>
              <w:bottom w:type="dxa" w:w="80"/>
              <w:right w:type="dxa" w:w="100"/>
            </w:tcMar>
            <w:vAlign w:val="center"/>
          </w:tcPr>
          <w:p>
            <w:r>
              <w:rPr>
                <w:sz w:val="20"/>
                <w:szCs w:val="20"/>
              </w:rPr>
              <w:t xml:space="preserve">☐</w:t>
            </w:r>
          </w:p>
        </w:tc>
        <w:tc>
          <w:tcPr>
            <w:tcMar>
              <w:top w:type="dxa" w:w="80"/>
              <w:left w:type="dxa" w:w="100"/>
              <w:bottom w:type="dxa" w:w="80"/>
              <w:right w:type="dxa" w:w="100"/>
            </w:tcMar>
            <w:vAlign w:val="center"/>
          </w:tcPr>
          <w:p>
            <w:r>
              <w:rPr>
                <w:sz w:val="20"/>
                <w:szCs w:val="20"/>
              </w:rPr>
              <w:t xml:space="preserve">☐</w:t>
            </w:r>
          </w:p>
        </w:tc>
        <w:tc>
          <w:tcPr>
            <w:tcMar>
              <w:top w:type="dxa" w:w="80"/>
              <w:left w:type="dxa" w:w="100"/>
              <w:bottom w:type="dxa" w:w="80"/>
              <w:right w:type="dxa" w:w="100"/>
            </w:tcMar>
            <w:vAlign w:val="center"/>
          </w:tcPr>
          <w:p>
            <w:r>
              <w:rPr>
                <w:sz w:val="16"/>
                <w:szCs w:val="16"/>
              </w:rPr>
              <w:t xml:space="preserve">Commentaire 9 :</w:t>
            </w:r>
          </w:p>
        </w:tc>
      </w:tr>
    </w:tbl>
    <w:p>
      <w:r>
        <w:br w:type="page"/>
      </w:r>
    </w:p>
    <w:p>
      <w:pPr>
        <w:pStyle w:val="Heading1"/>
        <w:spacing w:after="200" w:before="300"/>
      </w:pPr>
      <w:r>
        <w:t xml:space="preserve">Garanties</w:t>
      </w:r>
    </w:p>
    <w:p>
      <w:pPr>
        <w:pStyle w:val="Heading2"/>
        <w:spacing w:after="150" w:before="200"/>
      </w:pPr>
      <w:r>
        <w:t xml:space="preserve">Certificat de garantie — Toitures Trois Étoiles Inc.</w:t>
      </w:r>
    </w:p>
    <w:p>
      <w:pPr>
        <w:spacing w:after="150"/>
      </w:pPr>
      <w:r>
        <w:rPr>
          <w:b/>
          <w:bCs/>
        </w:rPr>
        <w:t xml:space="preserve">Numéro de garantie :</w:t>
      </w:r>
    </w:p>
    <w:p>
      <w:pPr>
        <w:spacing w:after="150"/>
      </w:pPr>
      <w:r>
        <w:rPr>
          <w:b/>
          <w:bCs/>
        </w:rPr>
        <w:t xml:space="preserve">Surface garantie :</w:t>
      </w:r>
    </w:p>
    <w:p>
      <w:pPr>
        <w:spacing w:after="150"/>
      </w:pPr>
      <w:r>
        <w:rPr>
          <w:b/>
          <w:bCs/>
        </w:rPr>
        <w:t xml:space="preserve">Durée de la garantie :</w:t>
      </w:r>
    </w:p>
    <w:p>
      <w:pPr>
        <w:spacing w:after="300"/>
      </w:pPr>
      <w:r>
        <w:rPr>
          <w:b/>
          <w:bCs/>
        </w:rPr>
        <w:t xml:space="preserve">Date de fin de garantie :</w:t>
      </w:r>
    </w:p>
    <w:p>
      <w:pPr>
        <w:spacing w:after="150"/>
      </w:pPr>
      <w:r>
        <w:t xml:space="preserve">Cette garantie couvre les défauts de matériaux et de main-d’œuvre relatifs aux travaux de couverture décrits au présent document, pour la durée indiquée ci-dessus à compter de la date de fin des travaux. Elle s’annule automatiquement en cas de modifications, réparations ou ouvertures non autorisées apportées à la toiture, au pontage ou à l’entretoit sans approbation écrite préalable de Toitures Trois Étoiles Inc.</w:t>
      </w:r>
    </w:p>
    <w:p>
      <w:pPr>
        <w:spacing w:after="150"/>
      </w:pPr>
      <w:r>
        <w:t xml:space="preserve">La responsabilité financière en vertu de la présente garantie est limitée au coût des travaux de couverture prévu au contrat original. Cette garantie n’est ni négociable ni transférable sans le consentement écrit de Toitures Trois Étoiles Inc.</w:t>
      </w:r>
    </w:p>
    <w:p>
      <w:pPr>
        <w:spacing w:before="200"/>
      </w:pPr>
      <w:r>
        <w:t xml:space="preserve">[NOTE INTERNE T3E : ce texte est un gabarit générique — à faire valider par la direction avant usage officiel, notamment au regard du libellé légal habituel de T3E.]</w:t>
      </w:r>
    </w:p>
    <w:p>
      <w:pPr>
        <w:spacing w:after="150"/>
      </w:pPr>
      <w:r>
        <w:t xml:space="preserve">La garantie du fabricant des matériaux, lorsqu’applicable, est jointe en annexe du présent manuel (voir section Garantie fabricant).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2026-07-06T14:07:03.623Z</dcterms:created>
  <dcterms:modified xsi:type="dcterms:W3CDTF">2026-07-06T14:07:03.623Z</dcterms:modified>
</cp:coreProperties>
</file>

<file path=docProps/custom.xml><?xml version="1.0" encoding="utf-8"?>
<Properties xmlns="http://schemas.openxmlformats.org/officeDocument/2006/custom-properties" xmlns:vt="http://schemas.openxmlformats.org/officeDocument/2006/docPropsVTypes"/>
</file>