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DLP Share Permission Security Report</w:t>
      </w:r>
    </w:p>
    <w:p>
      <w:pPr>
        <w:jc w:val="center"/>
      </w:pPr>
      <w:r>
        <w:rPr>
          <w:color w:val="646464"/>
          <w:sz w:val="20"/>
        </w:rPr>
        <w:t>Root: \\127.0.0.1\situation-monitor-cn    |    Scanned: 2026-02-20 18:43</w:t>
      </w:r>
    </w:p>
    <w:p>
      <w:pPr>
        <w:jc w:val="center"/>
      </w:pPr>
      <w:r>
        <w:rPr>
          <w:b/>
          <w:color w:val="375623"/>
          <w:sz w:val="26"/>
        </w:rPr>
        <w:t xml:space="preserve">  OVERALL RISK RATING:  LOW  </w:t>
      </w:r>
    </w:p>
    <w:p/>
    <w:p>
      <w:pPr>
        <w:pStyle w:val="Heading1"/>
      </w:pPr>
      <w:r>
        <w:t>Audit Metrics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864"/>
          </w:tcPr>
          <w:p>
            <w:pPr>
              <w:jc w:val="center"/>
            </w:pPr>
            <w:r>
              <w:rPr>
                <w:b/>
                <w:color w:val="C8C8C8"/>
                <w:sz w:val="16"/>
              </w:rPr>
              <w:t>Folders Scanned</w:t>
            </w:r>
          </w:p>
        </w:tc>
        <w:tc>
          <w:tcPr>
            <w:tcW w:type="dxa" w:w="2340"/>
            <w:shd w:val="clear" w:color="auto" w:fill="1F3864"/>
          </w:tcPr>
          <w:p>
            <w:pPr>
              <w:jc w:val="center"/>
            </w:pPr>
            <w:r>
              <w:rPr>
                <w:b/>
                <w:color w:val="C8C8C8"/>
                <w:sz w:val="16"/>
              </w:rPr>
              <w:t>Files Scanned</w:t>
            </w:r>
          </w:p>
        </w:tc>
        <w:tc>
          <w:tcPr>
            <w:tcW w:type="dxa" w:w="2340"/>
            <w:shd w:val="clear" w:color="auto" w:fill="375623"/>
          </w:tcPr>
          <w:p>
            <w:pPr>
              <w:jc w:val="center"/>
            </w:pPr>
            <w:r>
              <w:rPr>
                <w:b/>
                <w:color w:val="C8C8C8"/>
                <w:sz w:val="16"/>
              </w:rPr>
              <w:t>High Risk Folders</w:t>
            </w:r>
          </w:p>
        </w:tc>
        <w:tc>
          <w:tcPr>
            <w:tcW w:type="dxa" w:w="2340"/>
            <w:shd w:val="clear" w:color="auto" w:fill="375623"/>
          </w:tcPr>
          <w:p>
            <w:pPr>
              <w:jc w:val="center"/>
            </w:pPr>
            <w:r>
              <w:rPr>
                <w:b/>
                <w:color w:val="C8C8C8"/>
                <w:sz w:val="16"/>
              </w:rPr>
              <w:t>Open Write Shares</w:t>
            </w:r>
          </w:p>
        </w:tc>
      </w:tr>
      <w:tr>
        <w:tc>
          <w:tcPr>
            <w:tcW w:type="dxa" w:w="2340"/>
            <w:shd w:val="clear" w:color="auto" w:fill="1F3864"/>
          </w:tcPr>
          <w:p>
            <w:pPr>
              <w:jc w:val="center"/>
            </w:pPr>
            <w:r>
              <w:rPr>
                <w:b/>
                <w:color w:val="FFFFFF"/>
                <w:sz w:val="44"/>
              </w:rPr>
              <w:t>1566</w:t>
            </w:r>
          </w:p>
        </w:tc>
        <w:tc>
          <w:tcPr>
            <w:tcW w:type="dxa" w:w="2340"/>
            <w:shd w:val="clear" w:color="auto" w:fill="1F3864"/>
          </w:tcPr>
          <w:p>
            <w:pPr>
              <w:jc w:val="center"/>
            </w:pPr>
            <w:r>
              <w:rPr>
                <w:b/>
                <w:color w:val="FFFFFF"/>
                <w:sz w:val="44"/>
              </w:rPr>
              <w:t>12986</w:t>
            </w:r>
          </w:p>
        </w:tc>
        <w:tc>
          <w:tcPr>
            <w:tcW w:type="dxa" w:w="2340"/>
            <w:shd w:val="clear" w:color="auto" w:fill="375623"/>
          </w:tcPr>
          <w:p>
            <w:pPr>
              <w:jc w:val="center"/>
            </w:pPr>
            <w:r>
              <w:rPr>
                <w:b/>
                <w:color w:val="FFFFFF"/>
                <w:sz w:val="44"/>
              </w:rPr>
              <w:t>0</w:t>
            </w:r>
          </w:p>
        </w:tc>
        <w:tc>
          <w:tcPr>
            <w:tcW w:type="dxa" w:w="2340"/>
            <w:shd w:val="clear" w:color="auto" w:fill="375623"/>
          </w:tcPr>
          <w:p>
            <w:pPr>
              <w:jc w:val="center"/>
            </w:pPr>
            <w:r>
              <w:rPr>
                <w:b/>
                <w:color w:val="FFFFFF"/>
                <w:sz w:val="44"/>
              </w:rPr>
              <w:t>0</w:t>
            </w:r>
          </w:p>
        </w:tc>
      </w:tr>
      <w:tr>
        <w:tc>
          <w:tcPr>
            <w:tcW w:type="dxa" w:w="2340"/>
            <w:shd w:val="clear" w:color="auto" w:fill="375623"/>
          </w:tcPr>
          <w:p>
            <w:pPr>
              <w:jc w:val="center"/>
            </w:pPr>
            <w:r>
              <w:rPr>
                <w:b/>
                <w:color w:val="C8C8C8"/>
                <w:sz w:val="16"/>
              </w:rPr>
              <w:t>Open Read Shares</w:t>
            </w:r>
          </w:p>
        </w:tc>
        <w:tc>
          <w:tcPr>
            <w:tcW w:type="dxa" w:w="2340"/>
            <w:shd w:val="clear" w:color="auto" w:fill="375623"/>
          </w:tcPr>
          <w:p>
            <w:pPr>
              <w:jc w:val="center"/>
            </w:pPr>
            <w:r>
              <w:rPr>
                <w:b/>
                <w:color w:val="C8C8C8"/>
                <w:sz w:val="16"/>
              </w:rPr>
              <w:t>Read + Sensitive</w:t>
            </w:r>
          </w:p>
        </w:tc>
        <w:tc>
          <w:tcPr>
            <w:tcW w:type="dxa" w:w="2340"/>
            <w:shd w:val="clear" w:color="auto" w:fill="C55A11"/>
          </w:tcPr>
          <w:p>
            <w:pPr>
              <w:jc w:val="center"/>
            </w:pPr>
            <w:r>
              <w:rPr>
                <w:b/>
                <w:color w:val="C8C8C8"/>
                <w:sz w:val="16"/>
              </w:rPr>
              <w:t>Mixed Content</w:t>
            </w:r>
          </w:p>
        </w:tc>
        <w:tc>
          <w:tcPr>
            <w:tcW w:type="dxa" w:w="2340"/>
            <w:shd w:val="clear" w:color="auto" w:fill="375623"/>
          </w:tcPr>
          <w:p>
            <w:pPr>
              <w:jc w:val="center"/>
            </w:pPr>
            <w:r>
              <w:rPr>
                <w:b/>
                <w:color w:val="C8C8C8"/>
                <w:sz w:val="16"/>
              </w:rPr>
              <w:t>Sensitive &amp; Open</w:t>
            </w:r>
          </w:p>
        </w:tc>
      </w:tr>
      <w:tr>
        <w:tc>
          <w:tcPr>
            <w:tcW w:type="dxa" w:w="2340"/>
            <w:shd w:val="clear" w:color="auto" w:fill="375623"/>
          </w:tcPr>
          <w:p>
            <w:pPr>
              <w:jc w:val="center"/>
            </w:pPr>
            <w:r>
              <w:rPr>
                <w:b/>
                <w:color w:val="FFFFFF"/>
                <w:sz w:val="44"/>
              </w:rPr>
              <w:t>0</w:t>
            </w:r>
          </w:p>
        </w:tc>
        <w:tc>
          <w:tcPr>
            <w:tcW w:type="dxa" w:w="2340"/>
            <w:shd w:val="clear" w:color="auto" w:fill="375623"/>
          </w:tcPr>
          <w:p>
            <w:pPr>
              <w:jc w:val="center"/>
            </w:pPr>
            <w:r>
              <w:rPr>
                <w:b/>
                <w:color w:val="FFFFFF"/>
                <w:sz w:val="44"/>
              </w:rPr>
              <w:t>0</w:t>
            </w:r>
          </w:p>
        </w:tc>
        <w:tc>
          <w:tcPr>
            <w:tcW w:type="dxa" w:w="2340"/>
            <w:shd w:val="clear" w:color="auto" w:fill="C55A11"/>
          </w:tcPr>
          <w:p>
            <w:pPr>
              <w:jc w:val="center"/>
            </w:pPr>
            <w:r>
              <w:rPr>
                <w:b/>
                <w:color w:val="FFFFFF"/>
                <w:sz w:val="44"/>
              </w:rPr>
              <w:t>287</w:t>
            </w:r>
          </w:p>
        </w:tc>
        <w:tc>
          <w:tcPr>
            <w:tcW w:type="dxa" w:w="2340"/>
            <w:shd w:val="clear" w:color="auto" w:fill="375623"/>
          </w:tcPr>
          <w:p>
            <w:pPr>
              <w:jc w:val="center"/>
            </w:pPr>
            <w:r>
              <w:rPr>
                <w:b/>
                <w:color w:val="FFFFFF"/>
                <w:sz w:val="44"/>
              </w:rPr>
              <w:t>0</w:t>
            </w:r>
          </w:p>
        </w:tc>
      </w:tr>
    </w:tbl>
    <w:p/>
    <w:p>
      <w:pPr>
        <w:pStyle w:val="Heading1"/>
      </w:pPr>
      <w:r>
        <w:t>Open Write Shares — Broad Groups Have Write Access</w:t>
      </w:r>
    </w:p>
    <w:p>
      <w:r>
        <w:rPr>
          <w:i/>
        </w:rPr>
        <w:t>RISK: Ransomware, data corruption, malicious file drops, unauthorised deletion. Immediate remediation required.</w:t>
      </w:r>
    </w:p>
    <w:p>
      <w:r>
        <w:rPr>
          <w:i/>
        </w:rPr>
        <w:t>None found.</w:t>
      </w:r>
    </w:p>
    <w:p>
      <w:pPr>
        <w:pStyle w:val="Heading1"/>
      </w:pPr>
      <w:r>
        <w:t>Open Read Shares — Broad Groups Can Read &amp; Copy Data</w:t>
      </w:r>
    </w:p>
    <w:p>
      <w:r>
        <w:rPr>
          <w:i/>
        </w:rPr>
        <w:t>WARNING: Open read access is a primary DLP vector. Any domain user can silently copy entire folder trees to USB or cloud storage with no write activity logged. Folders marked CRITICAL contain sensitive data (databases, configs, source code, keys).</w:t>
      </w:r>
    </w:p>
    <w:p>
      <w:r>
        <w:rPr>
          <w:i/>
        </w:rPr>
        <w:t>None found.</w:t>
      </w:r>
    </w:p>
    <w:p>
      <w:pPr>
        <w:pStyle w:val="Heading1"/>
      </w:pPr>
      <w:r>
        <w:t>Sensitive Files Exposed to Open Groups</w:t>
      </w:r>
    </w:p>
    <w:p>
      <w:r>
        <w:rPr>
          <w:i/>
        </w:rPr>
        <w:t>None found.</w:t>
      </w:r>
    </w:p>
    <w:p>
      <w:pPr>
        <w:pStyle w:val="Heading1"/>
      </w:pPr>
      <w:r>
        <w:t>Mixed Content Folders — Apps, Data &amp; Configs Co-located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7030A0"/>
          </w:tcPr>
          <w:p>
            <w:r>
              <w:rPr>
                <w:b/>
                <w:color w:val="FFFFFF"/>
                <w:sz w:val="18"/>
              </w:rPr>
              <w:t>Folder Path</w:t>
            </w:r>
          </w:p>
        </w:tc>
        <w:tc>
          <w:tcPr>
            <w:tcW w:type="dxa" w:w="3120"/>
            <w:shd w:val="clear" w:color="auto" w:fill="7030A0"/>
          </w:tcPr>
          <w:p>
            <w:r>
              <w:rPr>
                <w:b/>
                <w:color w:val="FFFFFF"/>
                <w:sz w:val="18"/>
              </w:rPr>
              <w:t>Content Categories Found</w:t>
            </w:r>
          </w:p>
        </w:tc>
        <w:tc>
          <w:tcPr>
            <w:tcW w:type="dxa" w:w="3120"/>
            <w:shd w:val="clear" w:color="auto" w:fill="7030A0"/>
          </w:tcPr>
          <w:p>
            <w:r>
              <w:rPr>
                <w:b/>
                <w:color w:val="FFFFFF"/>
                <w:sz w:val="18"/>
              </w:rPr>
              <w:t>File Count</w:t>
            </w:r>
          </w:p>
        </w:tc>
      </w:tr>
      <w:tr>
        <w:tc>
          <w:tcPr>
            <w:tcW w:type="dxa" w:w="3120"/>
            <w:shd w:val="clear" w:color="auto" w:fill="F2F2F2"/>
          </w:tcPr>
          <w:p>
            <w:r>
              <w:rPr>
                <w:sz w:val="17"/>
              </w:rPr>
              <w:t>.</w:t>
            </w:r>
          </w:p>
        </w:tc>
        <w:tc>
          <w:tcPr>
            <w:tcW w:type="dxa" w:w="3120"/>
            <w:shd w:val="clear" w:color="auto" w:fill="F2F2F2"/>
          </w:tcPr>
          <w:p>
            <w:r>
              <w:rPr>
                <w:sz w:val="17"/>
              </w:rPr>
              <w:t>Other, Source Code, Config / System</w:t>
            </w:r>
          </w:p>
        </w:tc>
        <w:tc>
          <w:tcPr>
            <w:tcW w:type="dxa" w:w="3120"/>
            <w:shd w:val="clear" w:color="auto" w:fill="F2F2F2"/>
          </w:tcPr>
          <w:p>
            <w:r>
              <w:rPr>
                <w:sz w:val="17"/>
              </w:rPr>
              <w:t>21</w:t>
            </w:r>
          </w:p>
        </w:tc>
      </w:tr>
      <w:tr>
        <w:tc>
          <w:tcPr>
            <w:tcW w:type="dxa" w:w="3120"/>
            <w:shd w:val="clear" w:color="auto" w:fill="FFFFFF"/>
          </w:tcPr>
          <w:p>
            <w:r>
              <w:rPr>
                <w:sz w:val="17"/>
              </w:rPr>
              <w:t>node_modules\.vite\deps</w:t>
            </w:r>
          </w:p>
        </w:tc>
        <w:tc>
          <w:tcPr>
            <w:tcW w:type="dxa" w:w="3120"/>
            <w:shd w:val="clear" w:color="auto" w:fill="FFFFFF"/>
          </w:tcPr>
          <w:p>
            <w:r>
              <w:rPr>
                <w:sz w:val="17"/>
              </w:rPr>
              <w:t>Source Code, Other, Config / System</w:t>
            </w:r>
          </w:p>
        </w:tc>
        <w:tc>
          <w:tcPr>
            <w:tcW w:type="dxa" w:w="3120"/>
            <w:shd w:val="clear" w:color="auto" w:fill="FFFFFF"/>
          </w:tcPr>
          <w:p>
            <w:r>
              <w:rPr>
                <w:sz w:val="17"/>
              </w:rPr>
              <w:t>64</w:t>
            </w:r>
          </w:p>
        </w:tc>
      </w:tr>
      <w:tr>
        <w:tc>
          <w:tcPr>
            <w:tcW w:type="dxa" w:w="3120"/>
            <w:shd w:val="clear" w:color="auto" w:fill="F2F2F2"/>
          </w:tcPr>
          <w:p>
            <w:r>
              <w:rPr>
                <w:sz w:val="17"/>
              </w:rPr>
              <w:t>node_modules\@alloc\quick-lru</w:t>
            </w:r>
          </w:p>
        </w:tc>
        <w:tc>
          <w:tcPr>
            <w:tcW w:type="dxa" w:w="3120"/>
            <w:shd w:val="clear" w:color="auto" w:fill="F2F2F2"/>
          </w:tcPr>
          <w:p>
            <w:r>
              <w:rPr>
                <w:sz w:val="17"/>
              </w:rPr>
              <w:t>Source Code, Other, Config / System</w:t>
            </w:r>
          </w:p>
        </w:tc>
        <w:tc>
          <w:tcPr>
            <w:tcW w:type="dxa" w:w="3120"/>
            <w:shd w:val="clear" w:color="auto" w:fill="F2F2F2"/>
          </w:tcPr>
          <w:p>
            <w:r>
              <w:rPr>
                <w:sz w:val="17"/>
              </w:rPr>
              <w:t>5</w:t>
            </w:r>
          </w:p>
        </w:tc>
      </w:tr>
      <w:tr>
        <w:tc>
          <w:tcPr>
            <w:tcW w:type="dxa" w:w="3120"/>
            <w:shd w:val="clear" w:color="auto" w:fill="FFFFFF"/>
          </w:tcPr>
          <w:p>
            <w:r>
              <w:rPr>
                <w:sz w:val="17"/>
              </w:rPr>
              <w:t>node_modules\@esbuild\win32-x64</w:t>
            </w:r>
          </w:p>
        </w:tc>
        <w:tc>
          <w:tcPr>
            <w:tcW w:type="dxa" w:w="3120"/>
            <w:shd w:val="clear" w:color="auto" w:fill="FFFFFF"/>
          </w:tcPr>
          <w:p>
            <w:r>
              <w:rPr>
                <w:sz w:val="17"/>
              </w:rPr>
              <w:t>Executable / App, Config / System, Other</w:t>
            </w:r>
          </w:p>
        </w:tc>
        <w:tc>
          <w:tcPr>
            <w:tcW w:type="dxa" w:w="3120"/>
            <w:shd w:val="clear" w:color="auto" w:fill="FFFFFF"/>
          </w:tcPr>
          <w:p>
            <w:r>
              <w:rPr>
                <w:sz w:val="17"/>
              </w:rPr>
              <w:t>3</w:t>
            </w:r>
          </w:p>
        </w:tc>
      </w:tr>
      <w:tr>
        <w:tc>
          <w:tcPr>
            <w:tcW w:type="dxa" w:w="3120"/>
            <w:shd w:val="clear" w:color="auto" w:fill="F2F2F2"/>
          </w:tcPr>
          <w:p>
            <w:r>
              <w:rPr>
                <w:sz w:val="17"/>
              </w:rPr>
              <w:t>node_modules\@eslint\config-array\node_modules\brace-expansion</w:t>
            </w:r>
          </w:p>
        </w:tc>
        <w:tc>
          <w:tcPr>
            <w:tcW w:type="dxa" w:w="3120"/>
            <w:shd w:val="clear" w:color="auto" w:fill="F2F2F2"/>
          </w:tcPr>
          <w:p>
            <w:r>
              <w:rPr>
                <w:sz w:val="17"/>
              </w:rPr>
              <w:t>Source Code, Other, Config / System</w:t>
            </w:r>
          </w:p>
        </w:tc>
        <w:tc>
          <w:tcPr>
            <w:tcW w:type="dxa" w:w="3120"/>
            <w:shd w:val="clear" w:color="auto" w:fill="F2F2F2"/>
          </w:tcPr>
          <w:p>
            <w:r>
              <w:rPr>
                <w:sz w:val="17"/>
              </w:rPr>
              <w:t>4</w:t>
            </w:r>
          </w:p>
        </w:tc>
      </w:tr>
      <w:tr>
        <w:tc>
          <w:tcPr>
            <w:tcW w:type="dxa" w:w="3120"/>
            <w:shd w:val="clear" w:color="auto" w:fill="FFFFFF"/>
          </w:tcPr>
          <w:p>
            <w:r>
              <w:rPr>
                <w:sz w:val="17"/>
              </w:rPr>
              <w:t>node_modules\@eslint\config-array\node_modules\minimatch</w:t>
            </w:r>
          </w:p>
        </w:tc>
        <w:tc>
          <w:tcPr>
            <w:tcW w:type="dxa" w:w="3120"/>
            <w:shd w:val="clear" w:color="auto" w:fill="FFFFFF"/>
          </w:tcPr>
          <w:p>
            <w:r>
              <w:rPr>
                <w:sz w:val="17"/>
              </w:rPr>
              <w:t>Other, Source Code, Config / System</w:t>
            </w:r>
          </w:p>
        </w:tc>
        <w:tc>
          <w:tcPr>
            <w:tcW w:type="dxa" w:w="3120"/>
            <w:shd w:val="clear" w:color="auto" w:fill="FFFFFF"/>
          </w:tcPr>
          <w:p>
            <w:r>
              <w:rPr>
                <w:sz w:val="17"/>
              </w:rPr>
              <w:t>4</w:t>
            </w:r>
          </w:p>
        </w:tc>
      </w:tr>
      <w:tr>
        <w:tc>
          <w:tcPr>
            <w:tcW w:type="dxa" w:w="3120"/>
            <w:shd w:val="clear" w:color="auto" w:fill="F2F2F2"/>
          </w:tcPr>
          <w:p>
            <w:r>
              <w:rPr>
                <w:sz w:val="17"/>
              </w:rPr>
              <w:t>node_modules\@eslint\eslintrc</w:t>
            </w:r>
          </w:p>
        </w:tc>
        <w:tc>
          <w:tcPr>
            <w:tcW w:type="dxa" w:w="3120"/>
            <w:shd w:val="clear" w:color="auto" w:fill="F2F2F2"/>
          </w:tcPr>
          <w:p>
            <w:r>
              <w:rPr>
                <w:sz w:val="17"/>
              </w:rPr>
              <w:t>Other, Config / System, Source Code</w:t>
            </w:r>
          </w:p>
        </w:tc>
        <w:tc>
          <w:tcPr>
            <w:tcW w:type="dxa" w:w="3120"/>
            <w:shd w:val="clear" w:color="auto" w:fill="F2F2F2"/>
          </w:tcPr>
          <w:p>
            <w:r>
              <w:rPr>
                <w:sz w:val="17"/>
              </w:rPr>
              <w:t>4</w:t>
            </w:r>
          </w:p>
        </w:tc>
      </w:tr>
      <w:tr>
        <w:tc>
          <w:tcPr>
            <w:tcW w:type="dxa" w:w="3120"/>
            <w:shd w:val="clear" w:color="auto" w:fill="FFFFFF"/>
          </w:tcPr>
          <w:p>
            <w:r>
              <w:rPr>
                <w:sz w:val="17"/>
              </w:rPr>
              <w:t>node_modules\@eslint\eslintrc\node_modules\brace-expansion</w:t>
            </w:r>
          </w:p>
        </w:tc>
        <w:tc>
          <w:tcPr>
            <w:tcW w:type="dxa" w:w="3120"/>
            <w:shd w:val="clear" w:color="auto" w:fill="FFFFFF"/>
          </w:tcPr>
          <w:p>
            <w:r>
              <w:rPr>
                <w:sz w:val="17"/>
              </w:rPr>
              <w:t>Source Code, Other, Config / System</w:t>
            </w:r>
          </w:p>
        </w:tc>
        <w:tc>
          <w:tcPr>
            <w:tcW w:type="dxa" w:w="3120"/>
            <w:shd w:val="clear" w:color="auto" w:fill="FFFFFF"/>
          </w:tcPr>
          <w:p>
            <w:r>
              <w:rPr>
                <w:sz w:val="17"/>
              </w:rPr>
              <w:t>4</w:t>
            </w:r>
          </w:p>
        </w:tc>
      </w:tr>
      <w:tr>
        <w:tc>
          <w:tcPr>
            <w:tcW w:type="dxa" w:w="3120"/>
            <w:shd w:val="clear" w:color="auto" w:fill="F2F2F2"/>
          </w:tcPr>
          <w:p>
            <w:r>
              <w:rPr>
                <w:sz w:val="17"/>
              </w:rPr>
              <w:t>node_modules\@eslint\eslintrc\node_modules\globals</w:t>
            </w:r>
          </w:p>
        </w:tc>
        <w:tc>
          <w:tcPr>
            <w:tcW w:type="dxa" w:w="3120"/>
            <w:shd w:val="clear" w:color="auto" w:fill="F2F2F2"/>
          </w:tcPr>
          <w:p>
            <w:r>
              <w:rPr>
                <w:sz w:val="17"/>
              </w:rPr>
              <w:t>Config / System, Source Code, Other</w:t>
            </w:r>
          </w:p>
        </w:tc>
        <w:tc>
          <w:tcPr>
            <w:tcW w:type="dxa" w:w="3120"/>
            <w:shd w:val="clear" w:color="auto" w:fill="F2F2F2"/>
          </w:tcPr>
          <w:p>
            <w:r>
              <w:rPr>
                <w:sz w:val="17"/>
              </w:rPr>
              <w:t>6</w:t>
            </w:r>
          </w:p>
        </w:tc>
      </w:tr>
      <w:tr>
        <w:tc>
          <w:tcPr>
            <w:tcW w:type="dxa" w:w="3120"/>
            <w:shd w:val="clear" w:color="auto" w:fill="FFFFFF"/>
          </w:tcPr>
          <w:p>
            <w:r>
              <w:rPr>
                <w:sz w:val="17"/>
              </w:rPr>
              <w:t>node_modules\@eslint\eslintrc\node_modules\ignore</w:t>
            </w:r>
          </w:p>
        </w:tc>
        <w:tc>
          <w:tcPr>
            <w:tcW w:type="dxa" w:w="3120"/>
            <w:shd w:val="clear" w:color="auto" w:fill="FFFFFF"/>
          </w:tcPr>
          <w:p>
            <w:r>
              <w:rPr>
                <w:sz w:val="17"/>
              </w:rPr>
              <w:t>Source Code, Other, Config / System</w:t>
            </w:r>
          </w:p>
        </w:tc>
        <w:tc>
          <w:tcPr>
            <w:tcW w:type="dxa" w:w="3120"/>
            <w:shd w:val="clear" w:color="auto" w:fill="FFFFFF"/>
          </w:tcPr>
          <w:p>
            <w:r>
              <w:rPr>
                <w:sz w:val="17"/>
              </w:rPr>
              <w:t>6</w:t>
            </w:r>
          </w:p>
        </w:tc>
      </w:tr>
      <w:tr>
        <w:tc>
          <w:tcPr>
            <w:tcW w:type="dxa" w:w="3120"/>
            <w:shd w:val="clear" w:color="auto" w:fill="F2F2F2"/>
          </w:tcPr>
          <w:p>
            <w:r>
              <w:rPr>
                <w:sz w:val="17"/>
              </w:rPr>
              <w:t>node_modules\@eslint\eslintrc\node_modules\minimatch</w:t>
            </w:r>
          </w:p>
        </w:tc>
        <w:tc>
          <w:tcPr>
            <w:tcW w:type="dxa" w:w="3120"/>
            <w:shd w:val="clear" w:color="auto" w:fill="F2F2F2"/>
          </w:tcPr>
          <w:p>
            <w:r>
              <w:rPr>
                <w:sz w:val="17"/>
              </w:rPr>
              <w:t>Other, Source Code, Config / System</w:t>
            </w:r>
          </w:p>
        </w:tc>
        <w:tc>
          <w:tcPr>
            <w:tcW w:type="dxa" w:w="3120"/>
            <w:shd w:val="clear" w:color="auto" w:fill="F2F2F2"/>
          </w:tcPr>
          <w:p>
            <w:r>
              <w:rPr>
                <w:sz w:val="17"/>
              </w:rPr>
              <w:t>4</w:t>
            </w:r>
          </w:p>
        </w:tc>
      </w:tr>
      <w:tr>
        <w:tc>
          <w:tcPr>
            <w:tcW w:type="dxa" w:w="3120"/>
            <w:shd w:val="clear" w:color="auto" w:fill="FFFFFF"/>
          </w:tcPr>
          <w:p>
            <w:r>
              <w:rPr>
                <w:sz w:val="17"/>
              </w:rPr>
              <w:t>node_modules\@eslint-community\eslint-utils</w:t>
            </w:r>
          </w:p>
        </w:tc>
        <w:tc>
          <w:tcPr>
            <w:tcW w:type="dxa" w:w="3120"/>
            <w:shd w:val="clear" w:color="auto" w:fill="FFFFFF"/>
          </w:tcPr>
          <w:p>
            <w:r>
              <w:rPr>
                <w:sz w:val="17"/>
              </w:rPr>
              <w:t>Other, Source Code, Config / System</w:t>
            </w:r>
          </w:p>
        </w:tc>
        <w:tc>
          <w:tcPr>
            <w:tcW w:type="dxa" w:w="3120"/>
            <w:shd w:val="clear" w:color="auto" w:fill="FFFFFF"/>
          </w:tcPr>
          <w:p>
            <w:r>
              <w:rPr>
                <w:sz w:val="17"/>
              </w:rPr>
              <w:t>9</w:t>
            </w:r>
          </w:p>
        </w:tc>
      </w:tr>
      <w:tr>
        <w:tc>
          <w:tcPr>
            <w:tcW w:type="dxa" w:w="3120"/>
            <w:shd w:val="clear" w:color="auto" w:fill="F2F2F2"/>
          </w:tcPr>
          <w:p>
            <w:r>
              <w:rPr>
                <w:sz w:val="17"/>
              </w:rPr>
              <w:t>node_modules\@eslint-community\regexpp</w:t>
            </w:r>
          </w:p>
        </w:tc>
        <w:tc>
          <w:tcPr>
            <w:tcW w:type="dxa" w:w="3120"/>
            <w:shd w:val="clear" w:color="auto" w:fill="F2F2F2"/>
          </w:tcPr>
          <w:p>
            <w:r>
              <w:rPr>
                <w:sz w:val="17"/>
              </w:rPr>
              <w:t>Source Code, Other, Config / System</w:t>
            </w:r>
          </w:p>
        </w:tc>
        <w:tc>
          <w:tcPr>
            <w:tcW w:type="dxa" w:w="3120"/>
            <w:shd w:val="clear" w:color="auto" w:fill="F2F2F2"/>
          </w:tcPr>
          <w:p>
            <w:r>
              <w:rPr>
                <w:sz w:val="17"/>
              </w:rPr>
              <w:t>8</w:t>
            </w:r>
          </w:p>
        </w:tc>
      </w:tr>
      <w:tr>
        <w:tc>
          <w:tcPr>
            <w:tcW w:type="dxa" w:w="3120"/>
            <w:shd w:val="clear" w:color="auto" w:fill="FFFFFF"/>
          </w:tcPr>
          <w:p>
            <w:r>
              <w:rPr>
                <w:sz w:val="17"/>
              </w:rPr>
              <w:t>node_modules\@playwright\test</w:t>
            </w:r>
          </w:p>
        </w:tc>
        <w:tc>
          <w:tcPr>
            <w:tcW w:type="dxa" w:w="3120"/>
            <w:shd w:val="clear" w:color="auto" w:fill="FFFFFF"/>
          </w:tcPr>
          <w:p>
            <w:r>
              <w:rPr>
                <w:sz w:val="17"/>
              </w:rPr>
              <w:t>Source Code, Other, Config / System</w:t>
            </w:r>
          </w:p>
        </w:tc>
        <w:tc>
          <w:tcPr>
            <w:tcW w:type="dxa" w:w="3120"/>
            <w:shd w:val="clear" w:color="auto" w:fill="FFFFFF"/>
          </w:tcPr>
          <w:p>
            <w:r>
              <w:rPr>
                <w:sz w:val="17"/>
              </w:rPr>
              <w:t>11</w:t>
            </w:r>
          </w:p>
        </w:tc>
      </w:tr>
      <w:tr>
        <w:tc>
          <w:tcPr>
            <w:tcW w:type="dxa" w:w="3120"/>
            <w:shd w:val="clear" w:color="auto" w:fill="F2F2F2"/>
          </w:tcPr>
          <w:p>
            <w:r>
              <w:rPr>
                <w:sz w:val="17"/>
              </w:rPr>
              <w:t>node_modules\@polka\url</w:t>
            </w:r>
          </w:p>
        </w:tc>
        <w:tc>
          <w:tcPr>
            <w:tcW w:type="dxa" w:w="3120"/>
            <w:shd w:val="clear" w:color="auto" w:fill="F2F2F2"/>
          </w:tcPr>
          <w:p>
            <w:r>
              <w:rPr>
                <w:sz w:val="17"/>
              </w:rPr>
              <w:t>Source Code, Other, Config / System</w:t>
            </w:r>
          </w:p>
        </w:tc>
        <w:tc>
          <w:tcPr>
            <w:tcW w:type="dxa" w:w="3120"/>
            <w:shd w:val="clear" w:color="auto" w:fill="F2F2F2"/>
          </w:tcPr>
          <w:p>
            <w:r>
              <w:rPr>
                <w:sz w:val="17"/>
              </w:rPr>
              <w:t>5</w:t>
            </w:r>
          </w:p>
        </w:tc>
      </w:tr>
      <w:tr>
        <w:tc>
          <w:tcPr>
            <w:tcW w:type="dxa" w:w="3120"/>
            <w:shd w:val="clear" w:color="auto" w:fill="FFFFFF"/>
          </w:tcPr>
          <w:p>
            <w:r>
              <w:rPr>
                <w:sz w:val="17"/>
              </w:rPr>
              <w:t>node_modules\@sveltejs\acorn-typescript</w:t>
            </w:r>
          </w:p>
        </w:tc>
        <w:tc>
          <w:tcPr>
            <w:tcW w:type="dxa" w:w="3120"/>
            <w:shd w:val="clear" w:color="auto" w:fill="FFFFFF"/>
          </w:tcPr>
          <w:p>
            <w:r>
              <w:rPr>
                <w:sz w:val="17"/>
              </w:rPr>
              <w:t>Source Code, Other, Config / System</w:t>
            </w:r>
          </w:p>
        </w:tc>
        <w:tc>
          <w:tcPr>
            <w:tcW w:type="dxa" w:w="3120"/>
            <w:shd w:val="clear" w:color="auto" w:fill="FFFFFF"/>
          </w:tcPr>
          <w:p>
            <w:r>
              <w:rPr>
                <w:sz w:val="17"/>
              </w:rPr>
              <w:t>5</w:t>
            </w:r>
          </w:p>
        </w:tc>
      </w:tr>
      <w:tr>
        <w:tc>
          <w:tcPr>
            <w:tcW w:type="dxa" w:w="3120"/>
            <w:shd w:val="clear" w:color="auto" w:fill="F2F2F2"/>
          </w:tcPr>
          <w:p>
            <w:r>
              <w:rPr>
                <w:sz w:val="17"/>
              </w:rPr>
              <w:t>node_modules\@sveltejs\adapter-static</w:t>
            </w:r>
          </w:p>
        </w:tc>
        <w:tc>
          <w:tcPr>
            <w:tcW w:type="dxa" w:w="3120"/>
            <w:shd w:val="clear" w:color="auto" w:fill="F2F2F2"/>
          </w:tcPr>
          <w:p>
            <w:r>
              <w:rPr>
                <w:sz w:val="17"/>
              </w:rPr>
              <w:t>Source Code, Other, Config / System</w:t>
            </w:r>
          </w:p>
        </w:tc>
        <w:tc>
          <w:tcPr>
            <w:tcW w:type="dxa" w:w="3120"/>
            <w:shd w:val="clear" w:color="auto" w:fill="F2F2F2"/>
          </w:tcPr>
          <w:p>
            <w:r>
              <w:rPr>
                <w:sz w:val="17"/>
              </w:rPr>
              <w:t>6</w:t>
            </w:r>
          </w:p>
        </w:tc>
      </w:tr>
      <w:tr>
        <w:tc>
          <w:tcPr>
            <w:tcW w:type="dxa" w:w="3120"/>
            <w:shd w:val="clear" w:color="auto" w:fill="FFFFFF"/>
          </w:tcPr>
          <w:p>
            <w:r>
              <w:rPr>
                <w:sz w:val="17"/>
              </w:rPr>
              <w:t>node_modules\@sveltejs\kit</w:t>
            </w:r>
          </w:p>
        </w:tc>
        <w:tc>
          <w:tcPr>
            <w:tcW w:type="dxa" w:w="3120"/>
            <w:shd w:val="clear" w:color="auto" w:fill="FFFFFF"/>
          </w:tcPr>
          <w:p>
            <w:r>
              <w:rPr>
                <w:sz w:val="17"/>
              </w:rPr>
              <w:t>Other, Config / System, Source Code</w:t>
            </w:r>
          </w:p>
        </w:tc>
        <w:tc>
          <w:tcPr>
            <w:tcW w:type="dxa" w:w="3120"/>
            <w:shd w:val="clear" w:color="auto" w:fill="FFFFFF"/>
          </w:tcPr>
          <w:p>
            <w:r>
              <w:rPr>
                <w:sz w:val="17"/>
              </w:rPr>
              <w:t>4</w:t>
            </w:r>
          </w:p>
        </w:tc>
      </w:tr>
      <w:tr>
        <w:tc>
          <w:tcPr>
            <w:tcW w:type="dxa" w:w="3120"/>
            <w:shd w:val="clear" w:color="auto" w:fill="F2F2F2"/>
          </w:tcPr>
          <w:p>
            <w:r>
              <w:rPr>
                <w:sz w:val="17"/>
              </w:rPr>
              <w:t>node_modules\@testing-library\svelte-core</w:t>
            </w:r>
          </w:p>
        </w:tc>
        <w:tc>
          <w:tcPr>
            <w:tcW w:type="dxa" w:w="3120"/>
            <w:shd w:val="clear" w:color="auto" w:fill="F2F2F2"/>
          </w:tcPr>
          <w:p>
            <w:r>
              <w:rPr>
                <w:sz w:val="17"/>
              </w:rPr>
              <w:t>Other, Config / System, Source Code</w:t>
            </w:r>
          </w:p>
        </w:tc>
        <w:tc>
          <w:tcPr>
            <w:tcW w:type="dxa" w:w="3120"/>
            <w:shd w:val="clear" w:color="auto" w:fill="F2F2F2"/>
          </w:tcPr>
          <w:p>
            <w:r>
              <w:rPr>
                <w:sz w:val="17"/>
              </w:rPr>
              <w:t>4</w:t>
            </w:r>
          </w:p>
        </w:tc>
      </w:tr>
      <w:tr>
        <w:tc>
          <w:tcPr>
            <w:tcW w:type="dxa" w:w="3120"/>
            <w:shd w:val="clear" w:color="auto" w:fill="FFFFFF"/>
          </w:tcPr>
          <w:p>
            <w:r>
              <w:rPr>
                <w:sz w:val="17"/>
              </w:rPr>
              <w:t>node_modules\@types\aria-query</w:t>
            </w:r>
          </w:p>
        </w:tc>
        <w:tc>
          <w:tcPr>
            <w:tcW w:type="dxa" w:w="3120"/>
            <w:shd w:val="clear" w:color="auto" w:fill="FFFFFF"/>
          </w:tcPr>
          <w:p>
            <w:r>
              <w:rPr>
                <w:sz w:val="17"/>
              </w:rPr>
              <w:t>Source Code, Other, Config / System</w:t>
            </w:r>
          </w:p>
        </w:tc>
        <w:tc>
          <w:tcPr>
            <w:tcW w:type="dxa" w:w="3120"/>
            <w:shd w:val="clear" w:color="auto" w:fill="FFFFFF"/>
          </w:tcPr>
          <w:p>
            <w:r>
              <w:rPr>
                <w:sz w:val="17"/>
              </w:rPr>
              <w:t>4</w:t>
            </w:r>
          </w:p>
        </w:tc>
      </w:tr>
    </w:tbl>
    <w:p/>
    <w:p>
      <w:r>
        <w:br w:type="page"/>
      </w:r>
    </w:p>
    <w:p>
      <w:pPr>
        <w:pStyle w:val="Heading1"/>
      </w:pPr>
      <w:r>
        <w:t>AI-Generated DLP Security Analysis</w:t>
      </w:r>
    </w:p>
    <w:p>
      <w:r>
        <w:rPr>
          <w:i/>
        </w:rPr>
        <w:t>Generated by: LM Studio / google/gemma-3-4b @ http://localhost:1234</w:t>
      </w:r>
    </w:p>
    <w:p/>
    <w:p>
      <w:pPr>
        <w:pStyle w:val="Heading2"/>
      </w:pPr>
      <w:r>
        <w:t>DLP Security Report: \\127.0.0.1\situation-monitor-cn – October 26, 2023</w:t>
      </w:r>
    </w:p>
    <w:p/>
    <w:p>
      <w:r>
        <w:rPr>
          <w:b w:val="0"/>
          <w:sz w:val="20"/>
        </w:rPr>
      </w:r>
      <w:r>
        <w:rPr>
          <w:b/>
          <w:sz w:val="20"/>
        </w:rPr>
        <w:t>Prepared by:</w:t>
      </w:r>
      <w:r>
        <w:rPr>
          <w:b w:val="0"/>
          <w:sz w:val="20"/>
        </w:rPr>
        <w:t xml:space="preserve"> [Your Name/Cybersecurity Consulting Firm]</w:t>
      </w:r>
    </w:p>
    <w:p>
      <w:r>
        <w:rPr>
          <w:b w:val="0"/>
          <w:sz w:val="20"/>
        </w:rPr>
      </w:r>
      <w:r>
        <w:rPr>
          <w:b/>
          <w:sz w:val="20"/>
        </w:rPr>
        <w:t>Date:</w:t>
      </w:r>
      <w:r>
        <w:rPr>
          <w:b w:val="0"/>
          <w:sz w:val="20"/>
        </w:rPr>
        <w:t xml:space="preserve"> October 26, 2023</w:t>
      </w:r>
    </w:p>
    <w:p/>
    <w:p>
      <w:r>
        <w:rPr>
          <w:b w:val="0"/>
          <w:sz w:val="20"/>
        </w:rPr>
        <w:t>---</w:t>
      </w:r>
    </w:p>
    <w:p/>
    <w:p>
      <w:r>
        <w:rPr>
          <w:b w:val="0"/>
          <w:sz w:val="20"/>
        </w:rPr>
      </w:r>
      <w:r>
        <w:rPr>
          <w:b/>
          <w:sz w:val="20"/>
        </w:rPr>
        <w:t>1. Executive Summary</w:t>
      </w:r>
      <w:r>
        <w:rPr>
          <w:b w:val="0"/>
          <w:sz w:val="20"/>
        </w:rPr>
      </w:r>
    </w:p>
    <w:p/>
    <w:p>
      <w:r>
        <w:rPr>
          <w:b w:val="0"/>
          <w:sz w:val="20"/>
        </w:rPr>
        <w:t>This report details the findings of a security audit conducted on the Windows file share \\127.0.0.1\situation-monitor-cn, focusing on file share permissions and potential data loss prevention (DLP) risks. The analysis revealed concerning mixed content folder configurations and several folders with overly permissive read access rights granted to “Everyone” and “Domain Users.” While there are no currently identified open write shares, the presence of sensitive files within mixed content folders presents a significant risk of unauthorized data exfiltration and potential regulatory non-compliance. Immediate remediation is required to mitigate these vulnerabilities.  The lack of open write shares is a positive finding, but the uncontrolled read access necessitates immediate attention.</w:t>
      </w:r>
    </w:p>
    <w:p/>
    <w:p>
      <w:r>
        <w:rPr>
          <w:b w:val="0"/>
          <w:sz w:val="20"/>
        </w:rPr>
      </w:r>
      <w:r>
        <w:rPr>
          <w:b/>
          <w:sz w:val="20"/>
        </w:rPr>
        <w:t>2. Critical Findings</w:t>
      </w:r>
      <w:r>
        <w:rPr>
          <w:b w:val="0"/>
          <w:sz w:val="20"/>
        </w:rPr>
      </w:r>
    </w:p>
    <w:p/>
    <w:p>
      <w:pPr>
        <w:pStyle w:val="ListBullet"/>
      </w:pPr>
      <w:r>
        <w:rPr>
          <w:b w:val="0"/>
          <w:sz w:val="20"/>
        </w:rPr>
      </w:r>
      <w:r>
        <w:rPr>
          <w:b/>
          <w:sz w:val="20"/>
        </w:rPr>
        <w:t>Open Read Share Risks (HIGH):</w:t>
      </w:r>
      <w:r>
        <w:rPr>
          <w:b w:val="0"/>
          <w:sz w:val="20"/>
        </w:rPr>
        <w:t xml:space="preserve"> The audit identified 0 folders with open read access granted to “Everyone” and “Domain Users.” However, the concentration of sensitive files within mixed content folders represents an extremely high risk.  The ability for any user to read *any* file on this share creates a significant opportunity for unauthorized data copying or exfiltration, especially given the potential presence of sensitive code and configuration data.</w:t>
      </w:r>
    </w:p>
    <w:p>
      <w:pPr>
        <w:pStyle w:val="ListBullet"/>
      </w:pPr>
      <w:r>
        <w:rPr>
          <w:b w:val="0"/>
          <w:sz w:val="20"/>
        </w:rPr>
      </w:r>
      <w:r>
        <w:rPr>
          <w:b/>
          <w:sz w:val="20"/>
        </w:rPr>
        <w:t>Mixed Content / Folder Structure Issues:</w:t>
      </w:r>
      <w:r>
        <w:rPr>
          <w:b w:val="0"/>
          <w:sz w:val="20"/>
        </w:rPr>
        <w:t xml:space="preserve"> A substantial 287 folders were identified as containing mixed content – a critical security concern. These folders co-locate applications, source code, configurations, and potentially sensitive data, increasing the risk of accidental or malicious exposure.</w:t>
      </w:r>
    </w:p>
    <w:p>
      <w:pPr>
        <w:pStyle w:val="ListBullet"/>
      </w:pPr>
      <w:r>
        <w:rPr>
          <w:b w:val="0"/>
          <w:sz w:val="20"/>
        </w:rPr>
      </w:r>
      <w:r>
        <w:rPr>
          <w:b/>
          <w:sz w:val="20"/>
        </w:rPr>
        <w:t>Lack of Open Write Shares:</w:t>
      </w:r>
      <w:r>
        <w:rPr>
          <w:b w:val="0"/>
          <w:sz w:val="20"/>
        </w:rPr>
        <w:t xml:space="preserve">  The audit confirmed zero open write shares, which is a positive initial finding. However, this does not negate the risks associated with uncontrolled read access.</w:t>
      </w:r>
    </w:p>
    <w:p/>
    <w:p/>
    <w:p>
      <w:r>
        <w:rPr>
          <w:b w:val="0"/>
          <w:sz w:val="20"/>
        </w:rPr>
      </w:r>
      <w:r>
        <w:rPr>
          <w:b/>
          <w:sz w:val="20"/>
        </w:rPr>
        <w:t>3. Open Write Share Risks</w:t>
      </w:r>
      <w:r>
        <w:rPr>
          <w:b w:val="0"/>
          <w:sz w:val="20"/>
        </w:rPr>
      </w:r>
    </w:p>
    <w:p/>
    <w:p>
      <w:pPr>
        <w:pStyle w:val="ListBullet"/>
      </w:pPr>
      <w:r>
        <w:rPr>
          <w:b w:val="0"/>
          <w:sz w:val="20"/>
        </w:rPr>
      </w:r>
      <w:r>
        <w:rPr>
          <w:b/>
          <w:sz w:val="20"/>
        </w:rPr>
        <w:t>None Detected.</w:t>
      </w:r>
      <w:r>
        <w:rPr>
          <w:b w:val="0"/>
          <w:sz w:val="20"/>
        </w:rPr>
        <w:t xml:space="preserve"> The audit did not identify any file shares where “Everyone” or “Domain Users” have been granted write permissions. This represents a significant security improvement.  However, continued monitoring is crucial to ensure this status remains unchanged.</w:t>
      </w:r>
    </w:p>
    <w:p/>
    <w:p>
      <w:r>
        <w:rPr>
          <w:b w:val="0"/>
          <w:sz w:val="20"/>
        </w:rPr>
      </w:r>
      <w:r>
        <w:rPr>
          <w:b/>
          <w:sz w:val="20"/>
        </w:rPr>
        <w:t>4. Open Read Share Risks (read access = silent data exfiltration risk)</w:t>
      </w:r>
      <w:r>
        <w:rPr>
          <w:b w:val="0"/>
          <w:sz w:val="20"/>
        </w:rPr>
      </w:r>
    </w:p>
    <w:p/>
    <w:p>
      <w:pPr>
        <w:pStyle w:val="ListBullet"/>
      </w:pPr>
      <w:r>
        <w:rPr>
          <w:b w:val="0"/>
          <w:sz w:val="20"/>
        </w:rPr>
      </w:r>
      <w:r>
        <w:rPr>
          <w:b/>
          <w:sz w:val="20"/>
        </w:rPr>
        <w:t>HIGH RISK – Uncontrolled Read Access:</w:t>
      </w:r>
      <w:r>
        <w:rPr>
          <w:b w:val="0"/>
          <w:sz w:val="20"/>
        </w:rPr>
        <w:t xml:space="preserve"> The audit revealed 0 folders with open read access granted to “Everyone” and “Domain Users.” However, the presence of mixed content folders containing sensitive files presents a critical vulnerability.  This allows any user on the network to potentially copy or exfiltrate data without restriction.</w:t>
      </w:r>
    </w:p>
    <w:p>
      <w:pPr>
        <w:pStyle w:val="ListBullet"/>
      </w:pPr>
      <w:r>
        <w:rPr>
          <w:b w:val="0"/>
          <w:sz w:val="20"/>
        </w:rPr>
      </w:r>
      <w:r>
        <w:rPr>
          <w:b/>
          <w:sz w:val="20"/>
        </w:rPr>
        <w:t>Detailed Analysis of Mixed Content Risks:</w:t>
      </w:r>
      <w:r>
        <w:rPr>
          <w:b w:val="0"/>
          <w:sz w:val="20"/>
        </w:rPr>
        <w:t xml:space="preserve"> The following folders identified within the mixed content category require immediate scrutiny and potential remediation:</w:t>
      </w:r>
    </w:p>
    <w:p/>
    <w:p>
      <w:pPr>
        <w:pStyle w:val="ListBullet"/>
      </w:pPr>
      <w:r>
        <w:rPr>
          <w:b w:val="0"/>
          <w:sz w:val="20"/>
        </w:rPr>
      </w:r>
      <w:r>
        <w:rPr>
          <w:b/>
          <w:sz w:val="20"/>
        </w:rPr>
        <w:t>. | Other, Source Code, Config / System:</w:t>
      </w:r>
      <w:r>
        <w:rPr>
          <w:b w:val="0"/>
          <w:sz w:val="20"/>
        </w:rPr>
        <w:t xml:space="preserve"> This broad category likely contains system configurations, scripts, and potentially sensitive logs.  Unrestricted read access allows any user to view this information.</w:t>
      </w:r>
    </w:p>
    <w:p>
      <w:pPr>
        <w:pStyle w:val="ListBullet"/>
      </w:pPr>
      <w:r>
        <w:rPr>
          <w:b w:val="0"/>
          <w:sz w:val="20"/>
        </w:rPr>
      </w:r>
      <w:r>
        <w:rPr>
          <w:b/>
          <w:sz w:val="20"/>
        </w:rPr>
        <w:t>node_modules\.vite\deps | Source Code, Other, Config / System:</w:t>
      </w:r>
      <w:r>
        <w:rPr>
          <w:b w:val="0"/>
          <w:sz w:val="20"/>
        </w:rPr>
        <w:t xml:space="preserve"> The `vite` dependency manager often contains source code and configuration files that could contain secrets or vulnerabilities if exposed.</w:t>
      </w:r>
    </w:p>
    <w:p>
      <w:pPr>
        <w:pStyle w:val="ListBullet"/>
      </w:pPr>
      <w:r>
        <w:rPr>
          <w:b w:val="0"/>
          <w:sz w:val="20"/>
        </w:rPr>
      </w:r>
      <w:r>
        <w:rPr>
          <w:b/>
          <w:sz w:val="20"/>
        </w:rPr>
        <w:t>node_modules\@alloc\quick-lru | Source Code, Other, Config / System:</w:t>
      </w:r>
      <w:r>
        <w:rPr>
          <w:b w:val="0"/>
          <w:sz w:val="20"/>
        </w:rPr>
        <w:t xml:space="preserve"> Similar to the above, this node module likely contains source code and configurations.</w:t>
      </w:r>
    </w:p>
    <w:p>
      <w:pPr>
        <w:pStyle w:val="ListBullet"/>
      </w:pPr>
      <w:r>
        <w:rPr>
          <w:b w:val="0"/>
          <w:sz w:val="20"/>
        </w:rPr>
      </w:r>
      <w:r>
        <w:rPr>
          <w:b/>
          <w:sz w:val="20"/>
        </w:rPr>
        <w:t>node_modules\@esbuild\win32-x64 | Executable / App, Config / System, Other:</w:t>
      </w:r>
      <w:r>
        <w:rPr>
          <w:b w:val="0"/>
          <w:sz w:val="20"/>
        </w:rPr>
        <w:t xml:space="preserve">  This executable may contain sensitive configuration data or be a point of vulnerability if compromised.</w:t>
      </w:r>
    </w:p>
    <w:p>
      <w:pPr>
        <w:pStyle w:val="ListBullet"/>
      </w:pPr>
      <w:r>
        <w:rPr>
          <w:b w:val="0"/>
          <w:sz w:val="20"/>
        </w:rPr>
      </w:r>
      <w:r>
        <w:rPr>
          <w:b/>
          <w:sz w:val="20"/>
        </w:rPr>
        <w:t>node_modules\@eslint\config-array\node_modules\brace-expansion | Source Code, Other, Config / System:</w:t>
      </w:r>
      <w:r>
        <w:rPr>
          <w:b w:val="0"/>
          <w:sz w:val="20"/>
        </w:rPr>
        <w:t xml:space="preserve"> This module contains source code and configurations that could expose vulnerabilities.</w:t>
      </w:r>
    </w:p>
    <w:p>
      <w:pPr>
        <w:pStyle w:val="ListBullet"/>
      </w:pPr>
      <w:r>
        <w:rPr>
          <w:b w:val="0"/>
          <w:sz w:val="20"/>
        </w:rPr>
      </w:r>
      <w:r>
        <w:rPr>
          <w:b/>
          <w:sz w:val="20"/>
        </w:rPr>
        <w:t>node_modules\@eslint\config-array\node_modules\minimatch | Other, Source Code, Config / System:</w:t>
      </w:r>
      <w:r>
        <w:rPr>
          <w:b w:val="0"/>
          <w:sz w:val="20"/>
        </w:rPr>
        <w:t xml:space="preserve">  This module contains source code and configurations that could expose vulnerabilities.</w:t>
      </w:r>
    </w:p>
    <w:p>
      <w:pPr>
        <w:pStyle w:val="ListBullet"/>
      </w:pPr>
      <w:r>
        <w:rPr>
          <w:b w:val="0"/>
          <w:sz w:val="20"/>
        </w:rPr>
      </w:r>
      <w:r>
        <w:rPr>
          <w:b/>
          <w:sz w:val="20"/>
        </w:rPr>
        <w:t>node_modules\@eslint\eslintrc | Other, Config / System, Source Code:</w:t>
      </w:r>
      <w:r>
        <w:rPr>
          <w:b w:val="0"/>
          <w:sz w:val="20"/>
        </w:rPr>
        <w:t xml:space="preserve"> This module contains configuration files which may contain sensitive information.</w:t>
      </w:r>
    </w:p>
    <w:p/>
    <w:p/>
    <w:p/>
    <w:p>
      <w:r>
        <w:rPr>
          <w:b w:val="0"/>
          <w:sz w:val="20"/>
        </w:rPr>
      </w:r>
      <w:r>
        <w:rPr>
          <w:b/>
          <w:sz w:val="20"/>
        </w:rPr>
        <w:t>5. Mixed Content / Folder Structure Issues</w:t>
      </w:r>
      <w:r>
        <w:rPr>
          <w:b w:val="0"/>
          <w:sz w:val="20"/>
        </w:rPr>
      </w:r>
    </w:p>
    <w:p/>
    <w:p>
      <w:r>
        <w:rPr>
          <w:b w:val="0"/>
          <w:sz w:val="20"/>
        </w:rPr>
        <w:t>The audit identified 287 folders classified as “Mixed Content.” This is a significant concern and requires immediate investigation. The co-location of applications, source code, configurations, and potentially sensitive data within these folders dramatically increases the risk of unauthorized access and data leakage.  Specifically:</w:t>
      </w:r>
    </w:p>
    <w:p/>
    <w:p>
      <w:pPr>
        <w:pStyle w:val="ListBullet"/>
      </w:pPr>
      <w:r>
        <w:rPr>
          <w:b w:val="0"/>
          <w:sz w:val="20"/>
        </w:rPr>
      </w:r>
      <w:r>
        <w:rPr>
          <w:b/>
          <w:sz w:val="20"/>
        </w:rPr>
        <w:t>Root Cause:</w:t>
      </w:r>
      <w:r>
        <w:rPr>
          <w:b w:val="0"/>
          <w:sz w:val="20"/>
        </w:rPr>
        <w:t xml:space="preserve"> The lack of a robust folder structure and clear separation of concerns contributes to this issue. Developers likely store project files alongside system configuration files without proper controls.</w:t>
      </w:r>
    </w:p>
    <w:p>
      <w:pPr>
        <w:pStyle w:val="ListBullet"/>
      </w:pPr>
      <w:r>
        <w:rPr>
          <w:b w:val="0"/>
          <w:sz w:val="20"/>
        </w:rPr>
      </w:r>
      <w:r>
        <w:rPr>
          <w:b/>
          <w:sz w:val="20"/>
        </w:rPr>
        <w:t>Potential Impact:</w:t>
      </w:r>
      <w:r>
        <w:rPr>
          <w:b w:val="0"/>
          <w:sz w:val="20"/>
        </w:rPr>
        <w:t xml:space="preserve"> This mixed content environment significantly elevates the risk of accidental exposure of sensitive information, as well as potential misuse by unauthorized users.</w:t>
      </w:r>
    </w:p>
    <w:p/>
    <w:p>
      <w:r>
        <w:rPr>
          <w:b w:val="0"/>
          <w:sz w:val="20"/>
        </w:rPr>
      </w:r>
      <w:r>
        <w:rPr>
          <w:b/>
          <w:sz w:val="20"/>
        </w:rPr>
        <w:t>6. Recommended Actions</w:t>
      </w:r>
      <w:r>
        <w:rPr>
          <w:b w:val="0"/>
          <w:sz w:val="20"/>
        </w:rPr>
      </w:r>
    </w:p>
    <w:p/>
    <w:p>
      <w:pPr>
        <w:pStyle w:val="ListNumber"/>
      </w:pPr>
      <w:r>
        <w:rPr>
          <w:b w:val="0"/>
          <w:sz w:val="20"/>
        </w:rPr>
      </w:r>
      <w:r>
        <w:rPr>
          <w:b/>
          <w:sz w:val="20"/>
        </w:rPr>
        <w:t>Immediate Folder Remediation:</w:t>
      </w:r>
      <w:r>
        <w:rPr>
          <w:b w:val="0"/>
          <w:sz w:val="20"/>
        </w:rPr>
        <w:t xml:space="preserve">  Immediately review and remediate all 287 "Mixed Content" folders. The following steps are recommended:</w:t>
      </w:r>
    </w:p>
    <w:p>
      <w:pPr>
        <w:pStyle w:val="ListBullet"/>
      </w:pPr>
      <w:r>
        <w:rPr>
          <w:b w:val="0"/>
          <w:sz w:val="20"/>
        </w:rPr>
      </w:r>
      <w:r>
        <w:rPr>
          <w:b/>
          <w:sz w:val="20"/>
        </w:rPr>
        <w:t>Segmentation:</w:t>
      </w:r>
      <w:r>
        <w:rPr>
          <w:b w:val="0"/>
          <w:sz w:val="20"/>
        </w:rPr>
        <w:t xml:space="preserve"> Reorganize the file share structure to strictly separate application code, configuration files, and sensitive data. Create dedicated folders for each category.</w:t>
      </w:r>
    </w:p>
    <w:p>
      <w:pPr>
        <w:pStyle w:val="ListBullet"/>
      </w:pPr>
      <w:r>
        <w:rPr>
          <w:b w:val="0"/>
          <w:sz w:val="20"/>
        </w:rPr>
      </w:r>
      <w:r>
        <w:rPr>
          <w:b/>
          <w:sz w:val="20"/>
        </w:rPr>
        <w:t>Source Code Control:</w:t>
      </w:r>
      <w:r>
        <w:rPr>
          <w:b w:val="0"/>
          <w:sz w:val="20"/>
        </w:rPr>
        <w:t xml:space="preserve"> Implement a robust source code control system (e.g., Git) and enforce strict access controls based on roles and responsibilities.</w:t>
      </w:r>
    </w:p>
    <w:p>
      <w:pPr>
        <w:pStyle w:val="ListBullet"/>
      </w:pPr>
      <w:r>
        <w:rPr>
          <w:b w:val="0"/>
          <w:sz w:val="20"/>
        </w:rPr>
      </w:r>
      <w:r>
        <w:rPr>
          <w:b/>
          <w:sz w:val="20"/>
        </w:rPr>
        <w:t>Configuration Management:</w:t>
      </w:r>
      <w:r>
        <w:rPr>
          <w:b w:val="0"/>
          <w:sz w:val="20"/>
        </w:rPr>
        <w:t xml:space="preserve"> Utilize a centralized configuration management tool to manage and store configurations securely, minimizing their presence in the file share.</w:t>
      </w:r>
    </w:p>
    <w:p/>
    <w:p>
      <w:pPr>
        <w:pStyle w:val="ListNumber"/>
      </w:pPr>
      <w:r>
        <w:rPr>
          <w:b w:val="0"/>
          <w:sz w:val="20"/>
        </w:rPr>
      </w:r>
      <w:r>
        <w:rPr>
          <w:b/>
          <w:sz w:val="20"/>
        </w:rPr>
        <w:t>Review Read Permissions – Critical Priority:</w:t>
      </w:r>
      <w:r>
        <w:rPr>
          <w:b w:val="0"/>
          <w:sz w:val="20"/>
        </w:rPr>
        <w:t xml:space="preserve"> Conduct a thorough review of all read permissions granted to “Everyone” and “Domain Users.”  Restrict access to only those users who absolutely require it for legitimate business purposes. Implement the principle of least privilege.</w:t>
      </w:r>
    </w:p>
    <w:p/>
    <w:p>
      <w:pPr>
        <w:pStyle w:val="ListNumber"/>
      </w:pPr>
      <w:r>
        <w:rPr>
          <w:b w:val="0"/>
          <w:sz w:val="20"/>
        </w:rPr>
      </w:r>
      <w:r>
        <w:rPr>
          <w:b/>
          <w:sz w:val="20"/>
        </w:rPr>
        <w:t>DLP Policy Implementation (High Priority):</w:t>
      </w:r>
      <w:r>
        <w:rPr>
          <w:b w:val="0"/>
          <w:sz w:val="20"/>
        </w:rPr>
        <w:t xml:space="preserve"> Deploy a Data Loss Prevention (DLP) solution that can monitor file activity on this share, specifically targeting:</w:t>
      </w:r>
    </w:p>
    <w:p>
      <w:pPr>
        <w:pStyle w:val="ListBullet"/>
      </w:pPr>
      <w:r>
        <w:rPr>
          <w:b w:val="0"/>
          <w:sz w:val="20"/>
        </w:rPr>
      </w:r>
      <w:r>
        <w:rPr>
          <w:b/>
          <w:sz w:val="20"/>
        </w:rPr>
        <w:t>Sensitive File Types:</w:t>
      </w:r>
      <w:r>
        <w:rPr>
          <w:b w:val="0"/>
          <w:sz w:val="20"/>
        </w:rPr>
        <w:t xml:space="preserve"> Configure DLP rules to identify and block the copying or exfiltration of files containing sensitive data such as source code, configuration files, and potentially Personally Identifiable Information (PII).</w:t>
      </w:r>
    </w:p>
    <w:p>
      <w:pPr>
        <w:pStyle w:val="ListBullet"/>
      </w:pPr>
      <w:r>
        <w:rPr>
          <w:b w:val="0"/>
          <w:sz w:val="20"/>
        </w:rPr>
      </w:r>
      <w:r>
        <w:rPr>
          <w:b/>
          <w:sz w:val="20"/>
        </w:rPr>
        <w:t>Keyword Monitoring:</w:t>
      </w:r>
      <w:r>
        <w:rPr>
          <w:b w:val="0"/>
          <w:sz w:val="20"/>
        </w:rPr>
        <w:t xml:space="preserve"> Implement keyword monitoring within the DLP solution to detect and alert on the use of sensitive terms related to confidential information.</w:t>
      </w:r>
    </w:p>
    <w:p/>
    <w:p>
      <w:pPr>
        <w:pStyle w:val="ListNumber"/>
      </w:pPr>
      <w:r>
        <w:rPr>
          <w:b w:val="0"/>
          <w:sz w:val="20"/>
        </w:rPr>
      </w:r>
      <w:r>
        <w:rPr>
          <w:b/>
          <w:sz w:val="20"/>
        </w:rPr>
        <w:t>User Training:</w:t>
      </w:r>
      <w:r>
        <w:rPr>
          <w:b w:val="0"/>
          <w:sz w:val="20"/>
        </w:rPr>
        <w:t xml:space="preserve"> Provide comprehensive training to all users regarding secure file sharing practices, data handling policies, and the importance of protecting sensitive information.</w:t>
      </w:r>
    </w:p>
    <w:p/>
    <w:p>
      <w:pPr>
        <w:pStyle w:val="ListNumber"/>
      </w:pPr>
      <w:r>
        <w:rPr>
          <w:b w:val="0"/>
          <w:sz w:val="20"/>
        </w:rPr>
      </w:r>
      <w:r>
        <w:rPr>
          <w:b/>
          <w:sz w:val="20"/>
        </w:rPr>
        <w:t>Regular Audits:</w:t>
      </w:r>
      <w:r>
        <w:rPr>
          <w:b w:val="0"/>
          <w:sz w:val="20"/>
        </w:rPr>
        <w:t xml:space="preserve"> Conduct regular security audits (at least quarterly) to ensure continued compliance with security best practices and identify any emerging vulnerabilities.</w:t>
      </w:r>
    </w:p>
    <w:p/>
    <w:p/>
    <w:p/>
    <w:p>
      <w:r>
        <w:rPr>
          <w:b w:val="0"/>
          <w:sz w:val="20"/>
        </w:rPr>
        <w:t>---</w:t>
      </w:r>
    </w:p>
    <w:p/>
    <w:p>
      <w:r>
        <w:rPr>
          <w:b w:val="0"/>
          <w:sz w:val="20"/>
        </w:rPr>
      </w:r>
      <w:r>
        <w:rPr>
          <w:b/>
          <w:sz w:val="20"/>
        </w:rPr>
        <w:t>Disclaimer:</w:t>
      </w:r>
      <w:r>
        <w:rPr>
          <w:b w:val="0"/>
          <w:sz w:val="20"/>
        </w:rPr>
        <w:t xml:space="preserve"> This report is based on the provided audit summary and does not constitute a comprehensive security assessment. Further investigation may be required to fully understand the potential risks associated with this file share.</w:t>
      </w:r>
    </w:p>
    <w:p>
      <w:r>
        <w:br w:type="page"/>
      </w:r>
    </w:p>
    <w:p>
      <w:pPr>
        <w:jc w:val="center"/>
      </w:pPr>
      <w:r>
        <w:rPr>
          <w:color w:val="969696"/>
          <w:sz w:val="16"/>
        </w:rPr>
        <w:t>Generated by Windows Share Permission Auditor + AI DLP Analyzer  |  2026-02-20 18:43  |  Root: \\127.0.0.1\situation-monitor-cn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