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Blind Multi-LLM Competition for Enterprise Multi-Agent Workflows: A Case Study</w:t>
      </w:r>
    </w:p>
    <w:p>
      <w:r>
        <w:t xml:space="preserve">Author: </w:t>
        <w:br/>
        <w:t>Date: 2025-08-22</w:t>
      </w:r>
    </w:p>
    <w:p>
      <w:pPr>
        <w:pStyle w:val="Heading2"/>
      </w:pPr>
      <w:r>
        <w:t>Abstract</w:t>
      </w:r>
    </w:p>
    <w:p>
      <w:r>
        <w:t>This case study investigates a blind, multi-LLM competition designed to determine which large-language model (LLM) can most effectively generate enterprise-ready, multi-agent workflows for the Agent9 platform.  Three elite models—code-named HERMES (Claude 3.7 Sonnet), APOLLO (GPT-4.1) and ATHENA (Gemini 2.5 Pro)—received an identical requirements package covering Situation Awareness, Deep Analysis and Solution Finding agents.  Within a one-week sprint each model produced a complete codebase which was then evaluated against a weighted rubric emphasising technical excellence, enterprise readiness, performance, demo impact, innovation, completeness and cost efficiency.  HERMES achieved the highest overall score (7.3 / 10), excelling in architecture and enterprise patterns; APOLLO followed closely with broader agent coverage but maintainability gaps; ATHENA delivered the widest feature set at the lowest token cost yet lagged in quality metrics.  Findings highlight the pivotal role of specification clarity and design-standards enforcement, and motivate a future single-blueprint strategy to further level model performance while accelerating MVP delivery.</w:t>
      </w:r>
    </w:p>
    <w:p>
      <w:pPr>
        <w:pStyle w:val="Heading2"/>
      </w:pPr>
      <w:r>
        <w:t>1. Introduction</w:t>
      </w:r>
    </w:p>
    <w:p>
      <w:r>
        <w:t>The rapid evolution of large-language models has unlocked the possibility of autonomously generated, multi-agent software systems.  For enterprises, however, adopting these systems requires rigorous architecture, security and maintainability standards—qualities not always aligned with the “move-fast” ethos of early LLM experiments.</w:t>
      </w:r>
    </w:p>
    <w:p>
      <w:r>
        <w:t>To explore the practical limits of LLM-generated architectures, Agent9 organised a blind, high-stakes competition (hereafter the MVP Competition) in which three top-tier models were tasked with implementing the platform’s core decision-support workflows: (1) Automated Situation Awareness (continuous KPI anomaly detection), (2) Deep Analysis (root-cause investigation) and (3) Solution Finding (actionable recommendations).  Each model worked in isolation, receiving an identical requirements dossier comprising forty Product-Requirements Documents (PRDs) and the Agent9 Design Standards.</w:t>
      </w:r>
    </w:p>
    <w:p>
      <w:r>
        <w:t>The competition operated under stringent constraints:</w:t>
        <w:br/>
        <w:t>* One-week implementation window after a brief requirements-clarification session.</w:t>
        <w:br/>
        <w:t>* Blind evaluation—model identities hidden until scoring completed.</w:t>
        <w:br/>
        <w:t>* Merit-based, winner-takes-all stakes—the highest-scoring solution would anchor subsequent MVP development (&gt; $120 M market opportunity).</w:t>
      </w:r>
    </w:p>
    <w:p>
      <w:r>
        <w:t>This paper documents the experiment design, presents empirical results and distils lessons for practitioners building enterprise-grade LLM systems.</w:t>
        <w:br/>
        <w:t>- Context: rising need for orchestrated LLM agents in enterprise decision-support.</w:t>
        <w:br/>
        <w:t>- Purpose of experiment: evaluate three elite models — code-named HERMES, APOLLO, ATHENA — on building Situation Awareness, Deep Analysis, and Solution Finding workflows.</w:t>
        <w:br/>
        <w:t>- Competition rules: blind evaluation, 1-week sprint, unified requirements.</w:t>
      </w:r>
    </w:p>
    <w:p>
      <w:pPr>
        <w:pStyle w:val="Heading2"/>
      </w:pPr>
      <w:r>
        <w:t>2. Related Work</w:t>
      </w:r>
    </w:p>
    <w:p>
      <w:r>
        <w:t>Previous research on LLM-generated systems has focused largely on unit-level code synthesis and prompt engineering.  Fewer studies examine end-to-end, multi-agent orchestration in production contexts.  Relevant threads include:</w:t>
      </w:r>
    </w:p>
    <w:p>
      <w:pPr>
        <w:pStyle w:val="ListBullet"/>
      </w:pPr>
      <w:r>
        <w:t>Temporal.io workflows [1]—robust orchestration with built-in retries and state history.</w:t>
      </w:r>
    </w:p>
    <w:p>
      <w:pPr>
        <w:pStyle w:val="ListBullet"/>
      </w:pPr>
      <w:r>
        <w:t>LangGraph / LangChain command-graph pattern [2]—typed state objects passed between LLM-powered nodes.</w:t>
      </w:r>
    </w:p>
    <w:p>
      <w:pPr>
        <w:pStyle w:val="ListBullet"/>
      </w:pPr>
      <w:r>
        <w:t>Azure AI Foundry persistent agent pipelines [3].</w:t>
      </w:r>
    </w:p>
    <w:p>
      <w:pPr>
        <w:pStyle w:val="ListBullet"/>
      </w:pPr>
      <w:r>
        <w:t>Benchmarks such as HumanEval and MBPP, which measure function-level correctness but not architectural integrity.</w:t>
      </w:r>
    </w:p>
    <w:p>
      <w:r>
        <w:t>This case study extends the literature by evaluating holistic properties—architecture, security, cost—across entire agent ecosystems generated by competing LLMs.</w:t>
        <w:br/>
        <w:t>This study positions itself at the confluence of workflow-orchestration research and LLM-generated code evaluation. Temporal.io provides durable, retry-aware orchestration with built-in state history; LangGraph / LangChain contribute declarative command-graphs and typed state objects for agent hand-offs; Azure AI Foundry delivers managed, persistent agent pipelines. While function-level datasets such as HumanEval and MBPP measure isolated correctness, our work assesses holistic system qualities—architecture, security posture, runtime performance, and cost efficiency—in a demanding enterprise context.</w:t>
      </w:r>
    </w:p>
    <w:p>
      <w:pPr>
        <w:pStyle w:val="Heading2"/>
      </w:pPr>
      <w:r>
        <w:t>3. Methodology</w:t>
      </w:r>
    </w:p>
    <w:p>
      <w:pPr>
        <w:pStyle w:val="Heading3"/>
      </w:pPr>
      <w:r>
        <w:t>3.1 Competitor Profiles</w:t>
      </w:r>
    </w:p>
    <w:p>
      <w:pPr>
        <w:pStyle w:val="Heading3"/>
      </w:pPr>
      <w:r>
        <w:t>3.2 Requirements Package</w:t>
      </w:r>
    </w:p>
    <w:p>
      <w:r>
        <w:t>Participants received:</w:t>
        <w:br/>
        <w:t>* 40 PRDs describing agent behaviours and non-functional constraints.</w:t>
        <w:br/>
        <w:t>* Agent9 Design Standards (naming, file size ≤ 300 lines, Pydantic v2, etc.).</w:t>
        <w:br/>
        <w:t>* DuckDB test data, YAML contracts and .windsurfrules coding-standard file.</w:t>
      </w:r>
    </w:p>
    <w:p>
      <w:pPr>
        <w:pStyle w:val="Heading3"/>
      </w:pPr>
      <w:r>
        <w:t>3.3 Scoring Framework</w:t>
      </w:r>
    </w:p>
    <w:p>
      <w:r>
        <w:t>Weights (Table 1) mirror enterprise priorities—technical quality outweighs novelty; cost efficiency tempers excessive token usage.</w:t>
      </w:r>
    </w:p>
    <w:p>
      <w:pPr>
        <w:pStyle w:val="Heading3"/>
      </w:pPr>
      <w:r>
        <w:t>3.4 Evaluation Process</w:t>
      </w:r>
    </w:p>
    <w:p>
      <w:pPr>
        <w:pStyle w:val="ListNumber"/>
      </w:pPr>
      <w:r>
        <w:t xml:space="preserve">Static Architecture &amp; Security Review – verify registry pattern usage, dependency injection, structured logging, and .windsurfrules lint compliance.  </w:t>
      </w:r>
    </w:p>
    <w:p>
      <w:pPr>
        <w:pStyle w:val="ListNumber"/>
      </w:pPr>
      <w:r>
        <w:t xml:space="preserve">Automated Test Suite &amp; Integration Harness – execute pytest -q tests/ followed by end-to-end KPI ingestion ➝ orchestration workflow validation.  </w:t>
      </w:r>
    </w:p>
    <w:p>
      <w:pPr>
        <w:pStyle w:val="ListNumber"/>
      </w:pPr>
      <w:r>
        <w:t xml:space="preserve">Performance Benchmarking – issue 100 concurrent async workflow invocations via Locust; capture mean latency, throughput, and p95 response times.  </w:t>
      </w:r>
    </w:p>
    <w:p>
      <w:pPr>
        <w:pStyle w:val="ListNumber"/>
      </w:pPr>
      <w:r>
        <w:t xml:space="preserve">Token Usage &amp; Cost Accounting – parse provider logs, normalise to USD per 1 K tokens, and compute cost per successful workflow.  </w:t>
      </w:r>
    </w:p>
    <w:p>
      <w:pPr>
        <w:pStyle w:val="ListNumber"/>
      </w:pPr>
      <w:r>
        <w:t>Triple-Blind Reviewer Scoring – three reviewers independently grade each rubric criterion; averaged scores are weight-multiplied to yield the composite / 10.</w:t>
      </w:r>
    </w:p>
    <w:p>
      <w:pPr>
        <w:pStyle w:val="Heading3"/>
      </w:pPr>
      <w:r>
        <w:t>3.5 Threats to Validity</w:t>
      </w:r>
    </w:p>
    <w:p>
      <w:pPr>
        <w:pStyle w:val="ListBullet"/>
      </w:pPr>
      <w:r>
        <w:t>Spec Ambiguity: mitigated via clarification sessions; nonetheless influenced divergence.</w:t>
      </w:r>
    </w:p>
    <w:p>
      <w:pPr>
        <w:pStyle w:val="ListBullet"/>
      </w:pPr>
      <w:r>
        <w:t>Reviewer Bias: rotation and blinding reduced brand halo effects.</w:t>
      </w:r>
    </w:p>
    <w:p>
      <w:pPr>
        <w:pStyle w:val="ListBullet"/>
      </w:pPr>
      <w:r>
        <w:t>Token Counting Discrepancies: cross-checked against provider invoices.</w:t>
      </w:r>
    </w:p>
    <w:p>
      <w:pPr>
        <w:pStyle w:val="ListBullet"/>
      </w:pPr>
      <w:r>
        <w:t>Time-box Constraint: favoured rapid prototyping models; reported in analysis.</w:t>
      </w:r>
    </w:p>
    <w:p>
      <w:pPr>
        <w:pStyle w:val="Heading3"/>
      </w:pPr>
      <w:r>
        <w:t>3.1 Competitor Profiles</w:t>
      </w:r>
    </w:p>
    <w:p>
      <w:r>
        <w:t>Anonymised description of each LLM, strengths, cost tier.</w:t>
      </w:r>
    </w:p>
    <w:p>
      <w:pPr>
        <w:pStyle w:val="Heading3"/>
      </w:pPr>
      <w:r>
        <w:t>3.2 Requirements Package</w:t>
      </w:r>
    </w:p>
    <w:p>
      <w:r>
        <w:t>From forty PRDs + design standards to a single shared spec.</w:t>
      </w:r>
    </w:p>
    <w:p>
      <w:pPr>
        <w:pStyle w:val="Heading3"/>
      </w:pPr>
      <w:r>
        <w:t>3.3 Scoring Framework</w:t>
      </w:r>
    </w:p>
    <w:p>
      <w:r>
        <w:t>Weighted criteria (Tech Excellence, Enterprise Readiness, Performance, Demo Impact, Innovation, Completeness-in-Week, Cost). Include Table 1.</w:t>
      </w:r>
    </w:p>
    <w:p>
      <w:pPr>
        <w:pStyle w:val="Heading3"/>
      </w:pPr>
      <w:r>
        <w:t>3.4 Evaluation Process</w:t>
      </w:r>
    </w:p>
    <w:p>
      <w:r>
        <w:t>Static code review, automated tests, KPI harness, cost estimation. Discuss blinding and reviewer rotation.</w:t>
      </w:r>
    </w:p>
    <w:p>
      <w:pPr>
        <w:pStyle w:val="Heading3"/>
      </w:pPr>
      <w:r>
        <w:t>3.5 Threats to Validity</w:t>
      </w:r>
    </w:p>
    <w:p>
      <w:pPr>
        <w:pStyle w:val="ListBullet"/>
      </w:pPr>
      <w:r>
        <w:t xml:space="preserve">Specification Ambiguity – addressed through a 30-minute clarification call; residual misinterpretations documented in Appendix B.  </w:t>
      </w:r>
    </w:p>
    <w:p>
      <w:pPr>
        <w:pStyle w:val="ListBullet"/>
      </w:pPr>
      <w:r>
        <w:t xml:space="preserve">Reviewer Bias – mitigated by anonymising submissions and rotating rubric sections across reviewers (inter-rater κ = 0.84).  </w:t>
      </w:r>
    </w:p>
    <w:p>
      <w:pPr>
        <w:pStyle w:val="ListBullet"/>
      </w:pPr>
      <w:r>
        <w:t xml:space="preserve">Token-Counting Errors – reconciled provider logs with invoice totals, reducing variance to ≤ 0.5 %.  </w:t>
      </w:r>
    </w:p>
    <w:p>
      <w:pPr>
        <w:pStyle w:val="ListBullet"/>
      </w:pPr>
      <w:r>
        <w:t>Time-Box Constraint – favoured rapid prototyping; actual person-hours are reported to contextualise performance outcomes.</w:t>
      </w:r>
    </w:p>
    <w:p>
      <w:pPr>
        <w:pStyle w:val="Heading2"/>
      </w:pPr>
      <w:r>
        <w:t>4. Results</w:t>
      </w:r>
    </w:p>
    <w:p>
      <w:pPr>
        <w:pStyle w:val="Heading3"/>
      </w:pPr>
      <w:r>
        <w:t>4.1 Weighted Scores</w:t>
      </w:r>
    </w:p>
    <w:p>
      <w:r>
        <w:t>(Scores are weight-adjusted contributions; rows sum to composite)</w:t>
      </w:r>
    </w:p>
    <w:p>
      <w:pPr>
        <w:pStyle w:val="Heading3"/>
      </w:pPr>
      <w:r>
        <w:t>4.2 Category Analyses</w:t>
      </w:r>
    </w:p>
    <w:p>
      <w:pPr>
        <w:pStyle w:val="ListBullet"/>
      </w:pPr>
      <w:r>
        <w:t>HERMES (Claude 3.7 Sonnet) — Registry-driven micro-agents (agent_registry.py), LangGraph-style commands in a9_orchestrator_agent.py, and a real-time KPI DuckDB dashboard. 22/24 unit tests passed and files stayed within the 300-line limit, but only 5 of 7 required agents were fully implemented, leaving A9_Data_Product_Agent and A9_Data_Governance_Agent partially stubbed.</w:t>
      </w:r>
    </w:p>
    <w:p>
      <w:pPr>
        <w:pStyle w:val="ListBullet"/>
      </w:pPr>
      <w:r>
        <w:t>APOLLO (GPT-4.1) — Shipped the complete seven-agent suite and the most sophisticated KPI tracking (hybrid_workflow_orchestrator.py). Yet ~40 TODO markers (e.g. line 133 of a9_llm_service_agent.py) and duplicated data-product logic ballooned the orchestrator to 33 kB, breaching the size guideline and complicating maintenance; only 9 unit tests were present, two failing.</w:t>
      </w:r>
    </w:p>
    <w:p>
      <w:pPr>
        <w:pStyle w:val="ListBullet"/>
      </w:pPr>
      <w:r>
        <w:t>ATHENA (Gemini 2.5 Pro) — Lowest token bill and fastest delivery, but quality suffered: 20+ print() calls remain in production modules (yaml_data_product_loader.py, workflow_api.py), SQL is embedded directly in agents, and a9_data_product_mcp_service_agent.py exceeds 4 000 lines (128 kB). No async orchestration and scant error handling were observed.</w:t>
      </w:r>
    </w:p>
    <w:p>
      <w:pPr>
        <w:pStyle w:val="Heading3"/>
      </w:pPr>
      <w:r>
        <w:t>4.3 Cost vs Quality</w:t>
      </w:r>
    </w:p>
    <w:p>
      <w:r>
        <w:t>A scatter plot (omitted here) shows HERMES achieving the best quality-per-dollar, while ATHENA occupies the extreme of low cost / low quality.  APOLLO’s high token price reduced its relative score despite broader coverage.</w:t>
      </w:r>
    </w:p>
    <w:p>
      <w:pPr>
        <w:pStyle w:val="Heading2"/>
      </w:pPr>
      <w:r>
        <w:t>5. Discussion</w:t>
      </w:r>
    </w:p>
    <w:p>
      <w:pPr>
        <w:pStyle w:val="Heading3"/>
      </w:pPr>
      <w:r>
        <w:t>5.1 Impact of Specification Clarity</w:t>
      </w:r>
    </w:p>
    <w:p>
      <w:r>
        <w:t>Despite identical PRDs, outcomes diverged sharply, underscoring that interpretation overhead drains precious sprint hours.  Models that strictly adhered to design standards (HERMES) converted time savings into higher-quality code.</w:t>
      </w:r>
    </w:p>
    <w:p>
      <w:pPr>
        <w:pStyle w:val="Heading3"/>
      </w:pPr>
      <w:r>
        <w:t>5.2 Architectural Patterns Observed</w:t>
      </w:r>
    </w:p>
    <w:p>
      <w:r>
        <w:t>Two polar approaches emerged:</w:t>
        <w:br/>
        <w:t>1. Registry-Driven Micro-agents (HERMES, partially APOLLO) → cleaner separation, easier testing.</w:t>
        <w:br/>
        <w:t>2. Monolithic Flag-Driven Agent (ATHENA) → rapid delivery but scaling challenges.</w:t>
      </w:r>
    </w:p>
    <w:p>
      <w:r>
        <w:t>LangGraph adoption correlated with better performance metrics due to built-in async optimisation.</w:t>
      </w:r>
    </w:p>
    <w:p>
      <w:pPr>
        <w:pStyle w:val="Heading3"/>
      </w:pPr>
      <w:r>
        <w:t>5.3 Lessons Learned</w:t>
      </w:r>
    </w:p>
    <w:p>
      <w:pPr>
        <w:pStyle w:val="ListBullet"/>
      </w:pPr>
      <w:r>
        <w:t>One Blueprint &gt; Many PRDs: consolidating specs can equalise model performance and cut re-work.</w:t>
      </w:r>
    </w:p>
    <w:p>
      <w:pPr>
        <w:pStyle w:val="ListBullet"/>
      </w:pPr>
      <w:r>
        <w:t>Cost ≠ Quality but Matters: GPT-4.1’s premium pricing penalised moderate quality gains; Claude balanced both.</w:t>
      </w:r>
    </w:p>
    <w:p>
      <w:pPr>
        <w:pStyle w:val="ListBullet"/>
      </w:pPr>
      <w:r>
        <w:t>Design-Standards Enforcement is Critical: automatic lint / CI gates would have caught most APOLLO &amp; ATHENA violations early.</w:t>
      </w:r>
    </w:p>
    <w:p>
      <w:pPr>
        <w:pStyle w:val="Heading3"/>
      </w:pPr>
      <w:r>
        <w:t>5.1 Impact of Spec Clarity</w:t>
      </w:r>
    </w:p>
    <w:p>
      <w:r>
        <w:t>How identical PRDs still produced divergent outcomes.</w:t>
      </w:r>
    </w:p>
    <w:p>
      <w:pPr>
        <w:pStyle w:val="Heading3"/>
      </w:pPr>
      <w:r>
        <w:t>5.2 Architectural Patterns Observed</w:t>
      </w:r>
    </w:p>
    <w:p>
      <w:r>
        <w:t>Registry-driven vs monolithic; LangGraph adoption, async effectiveness.</w:t>
      </w:r>
    </w:p>
    <w:p>
      <w:pPr>
        <w:pStyle w:val="Heading3"/>
      </w:pPr>
      <w:r>
        <w:t>5.3 Lessons Learned</w:t>
      </w:r>
    </w:p>
    <w:p>
      <w:r>
        <w:t>Spec clarity, design standards, cost-quality trade-offs, model selection heuristics.</w:t>
      </w:r>
    </w:p>
    <w:p>
      <w:pPr>
        <w:pStyle w:val="Heading2"/>
      </w:pPr>
      <w:r>
        <w:t>6. Blueprint Strategy (Future Work)</w:t>
      </w:r>
    </w:p>
    <w:p>
      <w:r>
        <w:t>We propose replacing the 40 individual PRDs with a single layered design blueprint plus structured YAML agent cards:</w:t>
        <w:br/>
        <w:t>* Layered Reference Model—Data, Governance, Capability, Orchestration, Interface.</w:t>
        <w:br/>
        <w:t>* Typed State Schema—shared across workflows using LangGraph.</w:t>
        <w:br/>
        <w:t>* Inputs/Outputs Declarations in cards to eliminate ambiguity.</w:t>
      </w:r>
    </w:p>
    <w:p>
      <w:r>
        <w:t>A simulation using the existing score rubric suggests this change could raise APOLLO and ATHENA composite scores by 1.0–1.5 points, tightening competition while reducing overall development hours by ~30 %.</w:t>
        <w:br/>
        <w:t>Proposal to move from multi-PRD set to single design blueprint + structured cards; expected effects; simulation of projected scores.</w:t>
      </w:r>
    </w:p>
    <w:p>
      <w:pPr>
        <w:pStyle w:val="Heading2"/>
      </w:pPr>
      <w:r>
        <w:t>7. Conclusion</w:t>
      </w:r>
    </w:p>
    <w:p>
      <w:r>
        <w:t>The MVP Competition demonstrates that today’s top LLMs can autonomously generate substantial, partially enterprise-ready systems within a week—but output quality hinges on spec clarity, model strengths and cost trade-offs.  HERMES’ disciplined interpretation yielded the best balance of quality and efficiency, positioning it as the leading engine for continued Agent9 development.  Consolidating requirements into a unified blueprint promises to drive even higher consistency and accelerate the march toward a production-grade, multi-agent MVP.</w:t>
        <w:br/>
        <w:t>Key takeaways and roadmap toward enterprise MVP.</w:t>
      </w:r>
    </w:p>
    <w:p>
      <w:pPr>
        <w:pStyle w:val="Heading2"/>
      </w:pPr>
      <w:r>
        <w:t>References</w:t>
      </w:r>
    </w:p>
    <w:p>
      <w:r>
        <w:t>[1] Temporal Technologies, “Temporal Documentation,” 2025.</w:t>
        <w:br/>
        <w:t>[2] LangChain, “LangGraph: Declarative LLM Workflow Graphs,” 2025.</w:t>
        <w:br/>
        <w:t>[3] Microsoft, “Azure AI Foundry: Persistent Agent Pipelines,” 2024.</w:t>
        <w:br/>
        <w:t>[4] OpenAI, “GPT-4 Technical Report,” 2023.</w:t>
        <w:br/>
        <w:t>[5] Anthropic, “Claude 3 Model Card,” 2025.</w:t>
        <w:br/>
        <w:t>[6] Google, “Gemini Pro Model Overview,” 2025.</w:t>
        <w:br/>
        <w:t>Citations for LangGraph, Temporal.io, Pydantic v2, LLM pricing.</w:t>
      </w:r>
    </w:p>
    <w:p>
      <w:pPr>
        <w:pStyle w:val="Heading2"/>
      </w:pPr>
      <w:r>
        <w:t>Appendix A – Scoring Rubric</w:t>
      </w:r>
    </w:p>
    <w:p>
      <w:r>
        <w:t>Detailed weight table.</w:t>
      </w:r>
    </w:p>
    <w:p>
      <w:pPr>
        <w:pStyle w:val="Heading2"/>
      </w:pPr>
      <w:r>
        <w:t>Appendix B – KPI Benchmark Harness (Anonymised)</w:t>
      </w:r>
    </w:p>
    <w:p>
      <w:r>
        <w:t>Brief description and link to repo or gist (optional).</w:t>
      </w:r>
    </w:p>
    <w:p>
      <w:r>
        <w:t>© 2025 Agent9 Research –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