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pPr>
        <w:pStyle w:val="Heading1"/>
      </w:pPr>
      <w:r>
        <w:rPr>
          <w:color w:val="6A1B9A"/>
        </w:rPr>
        <w:t>Communication de l’Antenne Guinée</w:t>
      </w:r>
      <w:r>
        <w:rPr>
          <w:color w:val="6A1B9A"/>
        </w:rPr>
      </w:r>
    </w:p>
    <w:p>
      <w:r/>
      <w:r>
        <w:rPr>
          <w:b/>
        </w:rPr>
        <w:t>Groupe de Travail Femmes, Jeunes, Paix et Sécurité en Afrique de l’Ouest et au Sahel – Antenne Guinée (GTFJPS-AOS/GN)</w:t>
        <w:br/>
      </w:r>
      <w:r>
        <w:t>2</w:t>
      </w:r>
      <w:r>
        <w:rPr>
          <w:vertAlign w:val="superscript"/>
        </w:rPr>
        <w:t>e</w:t>
      </w:r>
      <w:r>
        <w:t xml:space="preserve"> édition du Forum Régional des Jeunes Féministes – Dakar, du 29 septembre au 2 octobre 2026</w:t>
      </w:r>
      <w:r/>
    </w:p>
    <w:tbl>
      <w:tblPr>
        <w:tblStyle w:val="TableGrid"/>
        <w:tblW w:type="auto" w:w="0"/>
        <w:tblLook w:firstColumn="1" w:firstRow="1" w:lastColumn="0" w:lastRow="0" w:noHBand="0" w:noVBand="1" w:val="04A0"/>
      </w:tblPr>
      <w:tblGrid>
        <w:gridCol w:w="4320"/>
        <w:gridCol w:w="4320"/>
      </w:tblGrid>
      <w:tr>
        <w:tc>
          <w:tcPr>
            <w:tcW w:type="dxa" w:w="4320"/>
          </w:tcPr>
          <w:p>
            <w:r>
              <w:rPr>
                <w:b/>
              </w:rPr>
              <w:t>Titre proposé</w:t>
            </w:r>
          </w:p>
        </w:tc>
        <w:tc>
          <w:tcPr>
            <w:tcW w:type="dxa" w:w="4320"/>
          </w:tcPr>
          <w:p>
            <w:r>
              <w:rPr>
                <w:b/>
              </w:rPr>
              <w:t>« Mesurer pour peser : l’expérience guinéenne de suivi de la participation des filles et des femmes à la paix »</w:t>
            </w:r>
          </w:p>
        </w:tc>
      </w:tr>
      <w:tr>
        <w:tc>
          <w:tcPr>
            <w:tcW w:type="dxa" w:w="4320"/>
          </w:tcPr>
          <w:p>
            <w:r>
              <w:rPr>
                <w:b/>
              </w:rPr>
              <w:t>Orateur</w:t>
            </w:r>
          </w:p>
        </w:tc>
        <w:tc>
          <w:tcPr>
            <w:tcW w:type="dxa" w:w="4320"/>
          </w:tcPr>
          <w:p>
            <w:r>
              <w:rPr>
                <w:b/>
              </w:rPr>
              <w:t>Mamadou BARRY</w:t>
            </w:r>
            <w:r>
              <w:t xml:space="preserve"> , </w:t>
            </w:r>
            <w:r>
              <w:t>[fonction au sein du GTFJPS-AOS/GN]</w:t>
            </w:r>
          </w:p>
        </w:tc>
      </w:tr>
      <w:tr>
        <w:tc>
          <w:tcPr>
            <w:tcW w:type="dxa" w:w="4320"/>
          </w:tcPr>
          <w:p>
            <w:r>
              <w:rPr>
                <w:b/>
              </w:rPr>
              <w:t>Durée</w:t>
            </w:r>
          </w:p>
        </w:tc>
        <w:tc>
          <w:tcPr>
            <w:tcW w:type="dxa" w:w="4320"/>
          </w:tcPr>
          <w:p>
            <w:r>
              <w:t>8 à 10 minutes, puis questions</w:t>
            </w:r>
          </w:p>
        </w:tc>
      </w:tr>
      <w:tr>
        <w:tc>
          <w:tcPr>
            <w:tcW w:type="dxa" w:w="4320"/>
          </w:tcPr>
          <w:p>
            <w:r>
              <w:rPr>
                <w:b/>
              </w:rPr>
              <w:t>Pilier du forum</w:t>
            </w:r>
          </w:p>
        </w:tc>
        <w:tc>
          <w:tcPr>
            <w:tcW w:type="dxa" w:w="4320"/>
          </w:tcPr>
          <w:p>
            <w:r>
              <w:t>Participation (bonnes pratiques et collecte des données), avec un lien vers le Plaidoyer</w:t>
            </w:r>
          </w:p>
        </w:tc>
      </w:tr>
      <w:tr>
        <w:tc>
          <w:tcPr>
            <w:tcW w:type="dxa" w:w="4320"/>
          </w:tcPr>
          <w:p>
            <w:r>
              <w:rPr>
                <w:b/>
              </w:rPr>
              <w:t>Source</w:t>
            </w:r>
          </w:p>
        </w:tc>
        <w:tc>
          <w:tcPr>
            <w:tcW w:type="dxa" w:w="4320"/>
          </w:tcPr>
          <w:p>
            <w:r>
              <w:t>Rapport annuel 2024 de l’Antenne Guinée et stratégie d’action validée à Somone</w:t>
            </w:r>
          </w:p>
        </w:tc>
      </w:tr>
    </w:tbl>
    <w:p>
      <w:r/>
    </w:p>
    <w:p>
      <w:r/>
      <w:r>
        <w:rPr>
          <w:b/>
        </w:rPr>
        <w:t>Avant de présenter :</w:t>
      </w:r>
      <w:r>
        <w:t xml:space="preserve"> les chiffres du rapport datent de </w:t>
      </w:r>
      <w:r>
        <w:rPr>
          <w:b/>
        </w:rPr>
        <w:t>2024</w:t>
      </w:r>
      <w:r>
        <w:t>, alors que le forum a lieu en 2026. Si vous avez des résultats de 2025 ou 2026 (plateforme numérique en service, suites de la stratégie de plaidoyer, fin du projet FIFEP), ajoutez-les : ils rendront la communication beaucoup plus forte. Voir aussi l’encadré sur les chiffres à la section 3.</w:t>
      </w:r>
      <w:r/>
    </w:p>
    <w:p>
      <w:pPr>
        <w:pStyle w:val="Heading2"/>
      </w:pPr>
      <w:r>
        <w:rPr>
          <w:color w:val="6A1B9A"/>
        </w:rPr>
        <w:t>1. Trois messages à retenir</w:t>
      </w:r>
      <w:r>
        <w:rPr>
          <w:color w:val="6A1B9A"/>
        </w:rPr>
      </w:r>
      <w:r>
        <w:rPr>
          <w:color w:val="6A1B9A"/>
        </w:rPr>
      </w:r>
      <w:r>
        <w:rPr>
          <w:color w:val="6A1B9A"/>
        </w:rPr>
      </w:r>
    </w:p>
    <w:p>
      <w:pPr>
        <w:pStyle w:val="ListNumber"/>
        <w:spacing w:line="240" w:lineRule="auto"/>
        <w:ind w:left="720"/>
      </w:pPr>
      <w:r/>
      <w:r>
        <w:rPr>
          <w:b/>
        </w:rPr>
        <w:t>Ce qui n’est pas mesuré n’est pas reconnu.</w:t>
      </w:r>
      <w:r>
        <w:t xml:space="preserve"> La Guinée a construit, avec la société civile et les autorités, des indicateurs pour suivre la participation des filles et des femmes aux mécanismes de paix.</w:t>
      </w:r>
      <w:r/>
    </w:p>
    <w:p>
      <w:pPr>
        <w:pStyle w:val="ListNumber"/>
        <w:spacing w:line="240" w:lineRule="auto"/>
        <w:ind w:left="720"/>
      </w:pPr>
      <w:r/>
      <w:r>
        <w:rPr>
          <w:b/>
        </w:rPr>
        <w:t>Le plaidoyer part du terrain.</w:t>
      </w:r>
      <w:r>
        <w:t xml:space="preserve"> La stratégie nationale de plaidoyer a été bâtie à partir des plans locaux des 11 zones du projet FIFEP.</w:t>
      </w:r>
      <w:r/>
    </w:p>
    <w:p>
      <w:pPr>
        <w:pStyle w:val="ListNumber"/>
        <w:spacing w:line="240" w:lineRule="auto"/>
        <w:ind w:left="720"/>
      </w:pPr>
      <w:r/>
      <w:r>
        <w:rPr>
          <w:b/>
        </w:rPr>
        <w:t>Seul·es, nous allons vite ; en consortium, nous allons loin.</w:t>
      </w:r>
      <w:r>
        <w:t xml:space="preserve"> Le travail avec CARE International, WANEP Guinée et la COFFIG montre la voie que nous avons tracée à Somone : collectifs et consortiums.</w:t>
      </w:r>
      <w:r/>
      <w:r/>
      <w:r/>
    </w:p>
    <w:p>
      <w:pPr>
        <w:pStyle w:val="Heading2"/>
      </w:pPr>
      <w:r>
        <w:rPr>
          <w:color w:val="6A1B9A"/>
        </w:rPr>
        <w:t>2. Texte de la communication</w:t>
      </w:r>
      <w:r>
        <w:rPr>
          <w:color w:val="6A1B9A"/>
        </w:rPr>
      </w:r>
      <w:r>
        <w:rPr>
          <w:color w:val="6A1B9A"/>
        </w:rPr>
      </w:r>
    </w:p>
    <w:p>
      <w:r/>
      <w:r>
        <w:t>Ouverture (1 minute)</w:t>
      </w:r>
      <w:r/>
    </w:p>
    <w:p>
      <w:r/>
      <w:r>
        <w:t>Mesdames et Messieurs, chères sœurs et chers frères activistes,</w:t>
      </w:r>
      <w:r/>
    </w:p>
    <w:p>
      <w:r/>
      <w:r>
        <w:t>À Somone, notre groupe (Sénégal, Mali, Burundi et Guinée) s’était engagé à trois choses : nous approprier et faire connaître les lois et politiques sur les droits des femmes et l’agenda Jeunes, Paix et Sécurité ; renforcer nos stratégies de plaidoyer ; et créer des collectifs et des consortiums. Je viens vous dire, au nom de l’Antenne Guinée du Groupe de Travail Femmes, Jeunes, Paix et Sécurité, ce que nous avons fait de ces engagements, ce qui a marché, et ce qui nous bloque encore.</w:t>
      </w:r>
      <w:r/>
    </w:p>
    <w:p>
      <w:r/>
      <w:r>
        <w:t>Qui nous sommes (1 minute)</w:t>
      </w:r>
      <w:r/>
    </w:p>
    <w:p>
      <w:r/>
      <w:r>
        <w:t>Notre Groupe de Travail est né pour accompagner la mise en œuvre de la résolution 1325. Avec l’adoption de la résolution 2250 en 2015, il s’est ouvert aux jeunes. Au niveau régional, il est coordonné par l’UNOWAS et ONU Femmes. En Guinée, nous travaillons avec le Ministère de la Promotion Féminine, de l’Enfance et des Personnes Vulnérables, le Ministère de la Jeunesse et des Sports, les communes et les organisations de la société civile.</w:t>
      </w:r>
      <w:r/>
    </w:p>
    <w:p>
      <w:r/>
      <w:r>
        <w:t>Première bonne pratique : mesurer (2 minutes 30)</w:t>
      </w:r>
      <w:r/>
    </w:p>
    <w:p>
      <w:r/>
      <w:r>
        <w:t>Notre première leçon est simple : ce qui n’est pas mesuré n’est pas reconnu.</w:t>
      </w:r>
      <w:r/>
    </w:p>
    <w:p>
      <w:r/>
      <w:r>
        <w:t xml:space="preserve">En juillet 2024, à Conakry, nous avons réuni les parties prenantes pendant trois jours pour valider les indicateurs d’une </w:t>
      </w:r>
      <w:r>
        <w:rPr>
          <w:b/>
        </w:rPr>
        <w:t>plateforme numérique de suivi de la participation des filles et des femmes aux mécanismes de consolidation de la paix</w:t>
      </w:r>
      <w:r>
        <w:t>. Ensemble, nous avons défini quoi mesurer, où collecter les données, avec quelle méthode, et le profil des personnes chargées de la collecte.</w:t>
      </w:r>
      <w:r/>
    </w:p>
    <w:p>
      <w:r/>
      <w:r>
        <w:t>C’est exactement ce que nous demandions à Somone : une rencontre sur les bonnes pratiques et la collecte des données, et des indicateurs clairs pour que l’action de notre génération soit comptée et reconnue. Nous proposons aujourd’hui de partager cette démarche avec les autres pays du réseau.</w:t>
      </w:r>
      <w:r/>
    </w:p>
    <w:p>
      <w:r/>
      <w:r>
        <w:t>Deuxième bonne pratique : un plaidoyer qui part du terrain (1 minute 30)</w:t>
      </w:r>
      <w:r/>
    </w:p>
    <w:p>
      <w:r/>
      <w:r>
        <w:t xml:space="preserve">En août 2024, nous avons élaboré une </w:t>
      </w:r>
      <w:r>
        <w:rPr>
          <w:b/>
        </w:rPr>
        <w:t>stratégie nationale de plaidoyer</w:t>
      </w:r>
      <w:r>
        <w:t xml:space="preserve">. Elle ne vient pas d’un bureau : elle a été construite à partir des plans de plaidoyer locaux des </w:t>
      </w:r>
      <w:r>
        <w:rPr>
          <w:b/>
        </w:rPr>
        <w:t>11 zones</w:t>
      </w:r>
      <w:r>
        <w:t xml:space="preserve"> du projet </w:t>
      </w:r>
      <w:r>
        <w:rPr>
          <w:i/>
        </w:rPr>
        <w:t>Filles et Femmes Engagées pour la Construction de la Paix en Guinée</w:t>
      </w:r>
      <w:r>
        <w:t xml:space="preserve"> (FIFEP), puis validée avec tous les partenaires. Elle cible la gestion des conflits et la lutte contre les violences basées sur le genre.</w:t>
      </w:r>
      <w:r/>
    </w:p>
    <w:p>
      <w:r/>
      <w:r>
        <w:t>Troisième bonne pratique : prévenir la violence politique et les VBG (1 minute 30)</w:t>
      </w:r>
      <w:r/>
    </w:p>
    <w:p>
      <w:r/>
      <w:r>
        <w:t xml:space="preserve">Toujours en juillet 2024, nous avons formé </w:t>
      </w:r>
      <w:r>
        <w:rPr>
          <w:b/>
        </w:rPr>
        <w:t>20 mouvements politiques et organisations de la société civile</w:t>
      </w:r>
      <w:r>
        <w:t xml:space="preserve"> au civisme, à la citoyenneté, à la médiation et à l’alerte précoce, pour qu’ils puissent repérer et signaler les incidents de violence politique.</w:t>
      </w:r>
      <w:r/>
    </w:p>
    <w:p>
      <w:r/>
      <w:r>
        <w:t>Avec le projet PMCR, nous avons aussi travaillé à réduire les risques de violences basées sur le genre et d’exploitation autour des chantiers routiers, et accompagné les communes dans la gestion des plaintes. La prévention des VBG ne se fait pas seulement dans les ateliers : elle se fait aussi là où se construisent les routes.</w:t>
      </w:r>
      <w:r/>
    </w:p>
    <w:p>
      <w:r/>
      <w:r>
        <w:t>Ce qui nous freine (1 minute)</w:t>
      </w:r>
      <w:r/>
    </w:p>
    <w:p>
      <w:r/>
      <w:r>
        <w:t>Nous voulons être honnêtes, car c’est aussi cela, la redevabilité. Nos principales difficultés sont :</w:t>
      </w:r>
      <w:r/>
      <w:r/>
    </w:p>
    <w:p>
      <w:pPr>
        <w:pStyle w:val="ListBullet"/>
        <w:spacing w:line="240" w:lineRule="auto"/>
        <w:ind w:left="720"/>
      </w:pPr>
      <w:r/>
      <w:r>
        <w:t xml:space="preserve">des </w:t>
      </w:r>
      <w:r>
        <w:rPr>
          <w:b/>
        </w:rPr>
        <w:t>financements</w:t>
      </w:r>
      <w:r>
        <w:t xml:space="preserve"> instables, qui provoquent des retards dans nos activités ;</w:t>
      </w:r>
      <w:r/>
    </w:p>
    <w:p>
      <w:pPr>
        <w:pStyle w:val="ListBullet"/>
        <w:spacing w:line="240" w:lineRule="auto"/>
        <w:ind w:left="720"/>
      </w:pPr>
      <w:r/>
      <w:r>
        <w:t xml:space="preserve">une </w:t>
      </w:r>
      <w:r>
        <w:rPr>
          <w:b/>
        </w:rPr>
        <w:t>mobilisation insuffisante des autorités</w:t>
      </w:r>
      <w:r>
        <w:t xml:space="preserve"> à certains moments clés ;</w:t>
      </w:r>
      <w:r/>
    </w:p>
    <w:p>
      <w:pPr>
        <w:pStyle w:val="ListBullet"/>
        <w:spacing w:line="240" w:lineRule="auto"/>
        <w:ind w:left="720"/>
      </w:pPr>
      <w:r/>
      <w:r>
        <w:t xml:space="preserve">un </w:t>
      </w:r>
      <w:r>
        <w:rPr>
          <w:b/>
        </w:rPr>
        <w:t>contexte politique et sécuritaire</w:t>
      </w:r>
      <w:r>
        <w:t xml:space="preserve"> qui change vite.</w:t>
      </w:r>
      <w:r/>
      <w:r/>
    </w:p>
    <w:p>
      <w:r/>
      <w:r>
        <w:t>Nos propositions pour la région (1 minute)</w:t>
      </w:r>
      <w:r/>
      <w:r/>
    </w:p>
    <w:p>
      <w:pPr>
        <w:pStyle w:val="ListNumber"/>
        <w:spacing w:line="240" w:lineRule="auto"/>
        <w:ind w:left="720"/>
      </w:pPr>
      <w:r/>
      <w:r>
        <w:rPr>
          <w:b/>
        </w:rPr>
        <w:t>Partager nos indicateurs</w:t>
      </w:r>
      <w:r>
        <w:t xml:space="preserve"> et la méthode de notre plateforme de suivi avec les pays du réseau, pour aller vers des données comparables dans la région.</w:t>
      </w:r>
      <w:r/>
    </w:p>
    <w:p>
      <w:pPr>
        <w:pStyle w:val="ListNumber"/>
        <w:spacing w:line="240" w:lineRule="auto"/>
        <w:ind w:left="720"/>
      </w:pPr>
      <w:r/>
      <w:r>
        <w:t xml:space="preserve">Faire de la </w:t>
      </w:r>
      <w:r>
        <w:rPr>
          <w:b/>
        </w:rPr>
        <w:t>stratégie de plaidoyer construite à partir du terrain</w:t>
      </w:r>
      <w:r>
        <w:t xml:space="preserve"> un modèle à reproduire, et l’inscrire dans la Déclaration de Dakar.</w:t>
      </w:r>
      <w:r/>
    </w:p>
    <w:p>
      <w:pPr>
        <w:pStyle w:val="ListNumber"/>
        <w:spacing w:line="240" w:lineRule="auto"/>
        <w:ind w:left="720"/>
      </w:pPr>
      <w:r/>
      <w:r>
        <w:t xml:space="preserve">Demander aux partenaires, dont ONU Femmes, un </w:t>
      </w:r>
      <w:r>
        <w:rPr>
          <w:b/>
        </w:rPr>
        <w:t>financement pluriannuel</w:t>
      </w:r>
      <w:r>
        <w:t xml:space="preserve"> pour les organisations de femmes et de jeunes, afin que nos actions ne s’arrêtent pas à la fin de chaque projet.</w:t>
      </w:r>
      <w:r/>
      <w:r/>
    </w:p>
    <w:p>
      <w:r/>
      <w:r>
        <w:t>Conclusion (30 secondes)</w:t>
      </w:r>
      <w:r/>
    </w:p>
    <w:p>
      <w:r/>
      <w:r>
        <w:t>À Somone, nous avons dit que la politique est façonnée par celles et ceux qui s’engagent. En Guinée, nous avons appris qu’elle se façonne aussi avec des données. Nos voix, notre paix : mesurons-les, pour qu’elles pèsent.</w:t>
      </w:r>
      <w:r/>
    </w:p>
    <w:p>
      <w:r/>
      <w:r>
        <w:t>Je vous remercie.</w:t>
      </w:r>
      <w:r/>
      <w:r/>
    </w:p>
    <w:p>
      <w:pPr>
        <w:pStyle w:val="Heading2"/>
      </w:pPr>
      <w:r>
        <w:rPr>
          <w:color w:val="6A1B9A"/>
        </w:rPr>
        <w:t>3. Chiffres clés</w:t>
      </w:r>
      <w:r>
        <w:rPr>
          <w:color w:val="6A1B9A"/>
        </w:rPr>
      </w:r>
    </w:p>
    <w:tbl>
      <w:tblPr>
        <w:tblStyle w:val="TableGrid"/>
        <w:tblW w:type="auto" w:w="0"/>
        <w:tblLook w:firstColumn="1" w:firstRow="1" w:lastColumn="0" w:lastRow="0" w:noHBand="0" w:noVBand="1" w:val="04A0"/>
      </w:tblPr>
      <w:tblGrid>
        <w:gridCol w:w="4320"/>
        <w:gridCol w:w="4320"/>
      </w:tblGrid>
      <w:tr>
        <w:tc>
          <w:tcPr>
            <w:tcW w:type="dxa" w:w="4320"/>
          </w:tcPr>
          <w:p>
            <w:r>
              <w:rPr>
                <w:b/>
              </w:rPr>
              <w:t>Donnée</w:t>
            </w:r>
          </w:p>
        </w:tc>
        <w:tc>
          <w:tcPr>
            <w:tcW w:type="dxa" w:w="4320"/>
          </w:tcPr>
          <w:p>
            <w:r>
              <w:rPr>
                <w:b/>
              </w:rPr>
              <w:t>Valeur (rapport 2024)</w:t>
            </w:r>
          </w:p>
        </w:tc>
      </w:tr>
      <w:tr>
        <w:tc>
          <w:tcPr>
            <w:tcW w:type="dxa" w:w="4320"/>
          </w:tcPr>
          <w:p>
            <w:r>
              <w:t>Zones couvertes par le projet FIFEP</w:t>
            </w:r>
          </w:p>
        </w:tc>
        <w:tc>
          <w:tcPr>
            <w:tcW w:type="dxa" w:w="4320"/>
          </w:tcPr>
          <w:p>
            <w:r>
              <w:t>11</w:t>
            </w:r>
          </w:p>
        </w:tc>
      </w:tr>
      <w:tr>
        <w:tc>
          <w:tcPr>
            <w:tcW w:type="dxa" w:w="4320"/>
          </w:tcPr>
          <w:p>
            <w:r>
              <w:t>Mouvements politiques et OSC formés (juillet 2024)</w:t>
            </w:r>
          </w:p>
        </w:tc>
        <w:tc>
          <w:tcPr>
            <w:tcW w:type="dxa" w:w="4320"/>
          </w:tcPr>
          <w:p>
            <w:r>
              <w:t>20</w:t>
            </w:r>
          </w:p>
        </w:tc>
      </w:tr>
      <w:tr>
        <w:tc>
          <w:tcPr>
            <w:tcW w:type="dxa" w:w="4320"/>
          </w:tcPr>
          <w:p>
            <w:r>
              <w:t>Ateliers organisés en juillet 2024</w:t>
            </w:r>
          </w:p>
        </w:tc>
        <w:tc>
          <w:tcPr>
            <w:tcW w:type="dxa" w:w="4320"/>
          </w:tcPr>
          <w:p>
            <w:r>
              <w:t>Validation des indicateurs (3 jours) ; formation au civisme et à l’alerte précoce (2 jours)</w:t>
            </w:r>
          </w:p>
        </w:tc>
      </w:tr>
      <w:tr>
        <w:tc>
          <w:tcPr>
            <w:tcW w:type="dxa" w:w="4320"/>
          </w:tcPr>
          <w:p>
            <w:r>
              <w:t>Stratégie nationale de plaidoyer</w:t>
            </w:r>
          </w:p>
        </w:tc>
        <w:tc>
          <w:tcPr>
            <w:tcW w:type="dxa" w:w="4320"/>
          </w:tcPr>
          <w:p>
            <w:r>
              <w:t>Élaborée et validée (août 2024)</w:t>
            </w:r>
          </w:p>
        </w:tc>
      </w:tr>
      <w:tr>
        <w:tc>
          <w:tcPr>
            <w:tcW w:type="dxa" w:w="4320"/>
          </w:tcPr>
          <w:p>
            <w:r>
              <w:t>Participation des femmes aux programmes de paix et de sécurité</w:t>
            </w:r>
          </w:p>
        </w:tc>
        <w:tc>
          <w:tcPr>
            <w:tcW w:type="dxa" w:w="4320"/>
          </w:tcPr>
          <w:p>
            <w:r>
              <w:t>65 % (+15 %)</w:t>
            </w:r>
          </w:p>
        </w:tc>
      </w:tr>
      <w:tr>
        <w:tc>
          <w:tcPr>
            <w:tcW w:type="dxa" w:w="4320"/>
          </w:tcPr>
          <w:p>
            <w:r>
              <w:t>Évolution des VBG dans les zones ciblées</w:t>
            </w:r>
          </w:p>
        </w:tc>
        <w:tc>
          <w:tcPr>
            <w:tcW w:type="dxa" w:w="4320"/>
          </w:tcPr>
          <w:p>
            <w:r>
              <w:t>−20 %</w:t>
            </w:r>
          </w:p>
        </w:tc>
      </w:tr>
      <w:tr>
        <w:tc>
          <w:tcPr>
            <w:tcW w:type="dxa" w:w="4320"/>
          </w:tcPr>
          <w:p>
            <w:r>
              <w:t>Jeunes impliqué·es dans la sensibilisation à la paix</w:t>
            </w:r>
          </w:p>
        </w:tc>
        <w:tc>
          <w:tcPr>
            <w:tcW w:type="dxa" w:w="4320"/>
          </w:tcPr>
          <w:p>
            <w:r>
              <w:t>45 % (+10 %)</w:t>
            </w:r>
          </w:p>
        </w:tc>
      </w:tr>
    </w:tbl>
    <w:p>
      <w:r/>
    </w:p>
    <w:p>
      <w:r/>
      <w:r>
        <w:rPr>
          <w:b/>
        </w:rPr>
        <w:t>Attention aux quatre derniers chiffres.</w:t>
      </w:r>
      <w:r>
        <w:t xml:space="preserve"> Le rapport ne dit pas comment ils ont été calculés : sur quelle population, par rapport à quelle année, avec quelle source. Il ne précise pas non plus si « +15 % » signifie 15 points ou 15 % d’augmentation. Devant des partenaires et des médias, un chiffre non sourcé peut être contesté et affaiblir tout le message. Je recommande de </w:t>
      </w:r>
      <w:r>
        <w:rPr>
          <w:b/>
        </w:rPr>
        <w:t>vérifier leur source avant de les citer</w:t>
      </w:r>
      <w:r>
        <w:t>. Sinon, parlez de tendances observées (« une participation accrue des femmes, une baisse des VBG signalée dans les zones ciblées »). C’est pourquoi le texte de la communication ne les utilise pas.</w:t>
      </w:r>
      <w:r/>
    </w:p>
    <w:p>
      <w:pPr>
        <w:pStyle w:val="Heading2"/>
      </w:pPr>
      <w:r>
        <w:rPr>
          <w:color w:val="6A1B9A"/>
        </w:rPr>
        <w:t>4. Support visuel (7 diapositives)</w:t>
      </w:r>
      <w:r>
        <w:rPr>
          <w:color w:val="6A1B9A"/>
        </w:rP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Diapositive</w:t>
            </w:r>
          </w:p>
        </w:tc>
        <w:tc>
          <w:tcPr>
            <w:tcW w:type="dxa" w:w="2880"/>
          </w:tcPr>
          <w:p>
            <w:r>
              <w:rPr>
                <w:b/>
              </w:rPr>
              <w:t>Contenu</w:t>
            </w:r>
          </w:p>
        </w:tc>
      </w:tr>
      <w:tr>
        <w:tc>
          <w:tcPr>
            <w:tcW w:type="dxa" w:w="2880"/>
          </w:tcPr>
          <w:p>
            <w:r>
              <w:t>1</w:t>
            </w:r>
          </w:p>
        </w:tc>
        <w:tc>
          <w:tcPr>
            <w:tcW w:type="dxa" w:w="2880"/>
          </w:tcPr>
          <w:p>
            <w:r>
              <w:t>Titre</w:t>
            </w:r>
          </w:p>
        </w:tc>
        <w:tc>
          <w:tcPr>
            <w:tcW w:type="dxa" w:w="2880"/>
          </w:tcPr>
          <w:p>
            <w:r>
              <w:t>« Mesurer pour peser », logo du GT, Mamadou BARRY, [fonction]</w:t>
            </w:r>
          </w:p>
        </w:tc>
      </w:tr>
      <w:tr>
        <w:tc>
          <w:tcPr>
            <w:tcW w:type="dxa" w:w="2880"/>
          </w:tcPr>
          <w:p>
            <w:r>
              <w:t>2</w:t>
            </w:r>
          </w:p>
        </w:tc>
        <w:tc>
          <w:tcPr>
            <w:tcW w:type="dxa" w:w="2880"/>
          </w:tcPr>
          <w:p>
            <w:r>
              <w:t>De Somone à Conakry</w:t>
            </w:r>
          </w:p>
        </w:tc>
        <w:tc>
          <w:tcPr>
            <w:tcW w:type="dxa" w:w="2880"/>
          </w:tcPr>
          <w:p>
            <w:r>
              <w:t>Les 3 engagements du groupe 5 et ce que la Guinée en a fait</w:t>
            </w:r>
          </w:p>
        </w:tc>
      </w:tr>
      <w:tr>
        <w:tc>
          <w:tcPr>
            <w:tcW w:type="dxa" w:w="2880"/>
          </w:tcPr>
          <w:p>
            <w:r>
              <w:t>3</w:t>
            </w:r>
          </w:p>
        </w:tc>
        <w:tc>
          <w:tcPr>
            <w:tcW w:type="dxa" w:w="2880"/>
          </w:tcPr>
          <w:p>
            <w:r>
              <w:t>Qui nous sommes</w:t>
            </w:r>
          </w:p>
        </w:tc>
        <w:tc>
          <w:tcPr>
            <w:tcW w:type="dxa" w:w="2880"/>
          </w:tcPr>
          <w:p>
            <w:r>
              <w:t>1325, 2250, coordination UNOWAS et ONU Femmes, partenaires nationaux</w:t>
            </w:r>
          </w:p>
        </w:tc>
      </w:tr>
      <w:tr>
        <w:tc>
          <w:tcPr>
            <w:tcW w:type="dxa" w:w="2880"/>
          </w:tcPr>
          <w:p>
            <w:r>
              <w:t>4</w:t>
            </w:r>
          </w:p>
        </w:tc>
        <w:tc>
          <w:tcPr>
            <w:tcW w:type="dxa" w:w="2880"/>
          </w:tcPr>
          <w:p>
            <w:r>
              <w:t>Mesurer</w:t>
            </w:r>
          </w:p>
        </w:tc>
        <w:tc>
          <w:tcPr>
            <w:tcW w:type="dxa" w:w="2880"/>
          </w:tcPr>
          <w:p>
            <w:r>
              <w:t>Plateforme de suivi : indicateurs, lieux de collecte, méthode, profil des personnes chargées de la collecte</w:t>
            </w:r>
          </w:p>
        </w:tc>
      </w:tr>
      <w:tr>
        <w:tc>
          <w:tcPr>
            <w:tcW w:type="dxa" w:w="2880"/>
          </w:tcPr>
          <w:p>
            <w:r>
              <w:t>5</w:t>
            </w:r>
          </w:p>
        </w:tc>
        <w:tc>
          <w:tcPr>
            <w:tcW w:type="dxa" w:w="2880"/>
          </w:tcPr>
          <w:p>
            <w:r>
              <w:t>Plaidoyer</w:t>
            </w:r>
          </w:p>
        </w:tc>
        <w:tc>
          <w:tcPr>
            <w:tcW w:type="dxa" w:w="2880"/>
          </w:tcPr>
          <w:p>
            <w:r>
              <w:t>Schéma : 11 plans locaux → 1 stratégie nationale</w:t>
            </w:r>
          </w:p>
        </w:tc>
      </w:tr>
      <w:tr>
        <w:tc>
          <w:tcPr>
            <w:tcW w:type="dxa" w:w="2880"/>
          </w:tcPr>
          <w:p>
            <w:r>
              <w:t>6</w:t>
            </w:r>
          </w:p>
        </w:tc>
        <w:tc>
          <w:tcPr>
            <w:tcW w:type="dxa" w:w="2880"/>
          </w:tcPr>
          <w:p>
            <w:r>
              <w:t>Prévenir</w:t>
            </w:r>
          </w:p>
        </w:tc>
        <w:tc>
          <w:tcPr>
            <w:tcW w:type="dxa" w:w="2880"/>
          </w:tcPr>
          <w:p>
            <w:r>
              <w:t>20 organisations formées à l’alerte précoce ; VBG et chantiers routiers (PMCR)</w:t>
            </w:r>
          </w:p>
        </w:tc>
      </w:tr>
      <w:tr>
        <w:tc>
          <w:tcPr>
            <w:tcW w:type="dxa" w:w="2880"/>
          </w:tcPr>
          <w:p>
            <w:r>
              <w:t>7</w:t>
            </w:r>
          </w:p>
        </w:tc>
        <w:tc>
          <w:tcPr>
            <w:tcW w:type="dxa" w:w="2880"/>
          </w:tcPr>
          <w:p>
            <w:r>
              <w:t>Nos propositions</w:t>
            </w:r>
          </w:p>
        </w:tc>
        <w:tc>
          <w:tcPr>
            <w:tcW w:type="dxa" w:w="2880"/>
          </w:tcPr>
          <w:p>
            <w:r>
              <w:t>Les 3 propositions régionales et la phrase de conclusion</w:t>
            </w:r>
          </w:p>
        </w:tc>
      </w:tr>
    </w:tbl>
    <w:p>
      <w:r/>
    </w:p>
    <w:p>
      <w:pPr>
        <w:pStyle w:val="Heading2"/>
      </w:pPr>
      <w:r>
        <w:rPr>
          <w:color w:val="6A1B9A"/>
        </w:rPr>
        <w:t>5. Questions possibles et éléments de réponse</w:t>
      </w:r>
      <w:r>
        <w:rPr>
          <w:color w:val="6A1B9A"/>
        </w:rPr>
      </w:r>
    </w:p>
    <w:tbl>
      <w:tblPr>
        <w:tblStyle w:val="TableGrid"/>
        <w:tblW w:type="auto" w:w="0"/>
        <w:tblLook w:firstColumn="1" w:firstRow="1" w:lastColumn="0" w:lastRow="0" w:noHBand="0" w:noVBand="1" w:val="04A0"/>
      </w:tblPr>
      <w:tblGrid>
        <w:gridCol w:w="4320"/>
        <w:gridCol w:w="4320"/>
      </w:tblGrid>
      <w:tr>
        <w:tc>
          <w:tcPr>
            <w:tcW w:type="dxa" w:w="4320"/>
          </w:tcPr>
          <w:p>
            <w:r>
              <w:rPr>
                <w:b/>
              </w:rPr>
              <w:t>Question</w:t>
            </w:r>
          </w:p>
        </w:tc>
        <w:tc>
          <w:tcPr>
            <w:tcW w:type="dxa" w:w="4320"/>
          </w:tcPr>
          <w:p>
            <w:r>
              <w:rPr>
                <w:b/>
              </w:rPr>
              <w:t>Éléments de réponse</w:t>
            </w:r>
          </w:p>
        </w:tc>
      </w:tr>
      <w:tr>
        <w:tc>
          <w:tcPr>
            <w:tcW w:type="dxa" w:w="4320"/>
          </w:tcPr>
          <w:p>
            <w:r>
              <w:t>La plateforme numérique fonctionne-t-elle aujourd’hui ?</w:t>
            </w:r>
          </w:p>
        </w:tc>
        <w:tc>
          <w:tcPr>
            <w:tcW w:type="dxa" w:w="4320"/>
          </w:tcPr>
          <w:p>
            <w:r>
              <w:t>[À compléter avec l’état actuel]</w:t>
            </w:r>
            <w:r>
              <w:t xml:space="preserve"> . Les indicateurs, la méthode et le profil des personnes chargées de la collecte ont été validés en 2024.</w:t>
            </w:r>
          </w:p>
        </w:tc>
      </w:tr>
      <w:tr>
        <w:tc>
          <w:tcPr>
            <w:tcW w:type="dxa" w:w="4320"/>
          </w:tcPr>
          <w:p>
            <w:r>
              <w:t>Comment les jeunes sont-ils impliqué·es, et pas seulement les femmes ?</w:t>
            </w:r>
          </w:p>
        </w:tc>
        <w:tc>
          <w:tcPr>
            <w:tcW w:type="dxa" w:w="4320"/>
          </w:tcPr>
          <w:p>
            <w:r>
              <w:t>Le GT a un responsable dédié à la thématique Jeunesse, Paix et Sécurité ; formations des jeunes au leadership et à la médiation ; le Ministère de la Jeunesse et des Sports a participé à l’atelier sur les indicateurs.</w:t>
            </w:r>
          </w:p>
        </w:tc>
      </w:tr>
      <w:tr>
        <w:tc>
          <w:tcPr>
            <w:tcW w:type="dxa" w:w="4320"/>
          </w:tcPr>
          <w:p>
            <w:r>
              <w:t>Comment dépendre moins des financements par projet ?</w:t>
            </w:r>
          </w:p>
        </w:tc>
        <w:tc>
          <w:tcPr>
            <w:tcW w:type="dxa" w:w="4320"/>
          </w:tcPr>
          <w:p>
            <w:r>
              <w:t>Diversifier les partenaires, travailler en consortium, rendre compte de façon transparente, et demander des financements pluriannuels.</w:t>
            </w:r>
          </w:p>
        </w:tc>
      </w:tr>
      <w:tr>
        <w:tc>
          <w:tcPr>
            <w:tcW w:type="dxa" w:w="4320"/>
          </w:tcPr>
          <w:p>
            <w:r>
              <w:t>Un autre pays peut-il reprendre vos indicateurs ?</w:t>
            </w:r>
          </w:p>
        </w:tc>
        <w:tc>
          <w:tcPr>
            <w:tcW w:type="dxa" w:w="4320"/>
          </w:tcPr>
          <w:p>
            <w:r>
              <w:t xml:space="preserve">Oui : c’est notre proposition. Nous pouvons partager les documents de l’atelier de validation. </w:t>
            </w:r>
            <w:r>
              <w:t>[Contact]</w:t>
            </w:r>
          </w:p>
        </w:tc>
      </w:tr>
    </w:tbl>
    <w:p>
      <w:r/>
    </w:p>
    <w:p>
      <w:pPr>
        <w:pStyle w:val="Heading2"/>
      </w:pPr>
      <w:r>
        <w:rPr>
          <w:color w:val="6A1B9A"/>
        </w:rPr>
        <w:t>6. Publications pour les réseaux sociaux</w:t>
      </w:r>
      <w:r>
        <w:rPr>
          <w:color w:val="6A1B9A"/>
        </w:rPr>
      </w:r>
    </w:p>
    <w:tbl>
      <w:tblPr>
        <w:tblStyle w:val="TableGrid"/>
        <w:tblW w:type="auto" w:w="0"/>
        <w:tblLook w:firstColumn="1" w:firstRow="1" w:lastColumn="0" w:lastRow="0" w:noHBand="0" w:noVBand="1" w:val="04A0"/>
      </w:tblPr>
      <w:tblGrid>
        <w:gridCol w:w="4320"/>
        <w:gridCol w:w="4320"/>
      </w:tblGrid>
      <w:tr>
        <w:tc>
          <w:tcPr>
            <w:tcW w:type="dxa" w:w="4320"/>
          </w:tcPr>
          <w:p>
            <w:r>
              <w:rPr>
                <w:b/>
              </w:rPr>
              <w:t>Moment</w:t>
            </w:r>
          </w:p>
        </w:tc>
        <w:tc>
          <w:tcPr>
            <w:tcW w:type="dxa" w:w="4320"/>
          </w:tcPr>
          <w:p>
            <w:r>
              <w:rPr>
                <w:b/>
              </w:rPr>
              <w:t>Texte</w:t>
            </w:r>
          </w:p>
        </w:tc>
      </w:tr>
      <w:tr>
        <w:tc>
          <w:tcPr>
            <w:tcW w:type="dxa" w:w="4320"/>
          </w:tcPr>
          <w:p>
            <w:r>
              <w:t>Avant l’intervention</w:t>
            </w:r>
          </w:p>
        </w:tc>
        <w:tc>
          <w:tcPr>
            <w:tcW w:type="dxa" w:w="4320"/>
          </w:tcPr>
          <w:p>
            <w:r>
              <w:t>🇬🇳 Aujourd’hui à #DeSomoneADakar, l’Antenne Guinée du Groupe de Travail Femmes, Jeunes, Paix et Sécurité partage son expérience : comment mesurer la participation des filles et des femmes à la paix. #Femmes1325 #Jeunes2250</w:t>
            </w:r>
          </w:p>
        </w:tc>
      </w:tr>
      <w:tr>
        <w:tc>
          <w:tcPr>
            <w:tcW w:type="dxa" w:w="4320"/>
          </w:tcPr>
          <w:p>
            <w:r>
              <w:t>Après l’intervention</w:t>
            </w:r>
          </w:p>
        </w:tc>
        <w:tc>
          <w:tcPr>
            <w:tcW w:type="dxa" w:w="4320"/>
          </w:tcPr>
          <w:p>
            <w:r>
              <w:t>« Ce qui n’est pas mesuré n’est pas reconnu. » 11 zones, 20 organisations formées à l’alerte précoce, une stratégie nationale de plaidoyer construite à partir du terrain. La Guinée propose de partager ses indicateurs avec toute la région. #DeSomoneADakar</w:t>
            </w:r>
          </w:p>
        </w:tc>
      </w:tr>
    </w:tbl>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