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left"/>
      </w:pPr>
      <w:r>
        <w:drawing>
          <wp:inline distT="0" distB="0" distL="0" distR="0">
            <wp:extent cx="1809750" cy="1019175"/>
            <wp:effectExtent t="0" r="0" b="0" l="0"/>
            <wp:docPr id="1" name="logo" descr="Logo ALPHA B HANOK SARL"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01917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none" w:color="FFFFFF" w:sz="0"/>
              <w:bottom w:val="none" w:color="FFFFFF" w:sz="0"/>
              <w:right w:val="none" w:color="FFFFFF" w:sz="0"/>
            </w:tcBorders>
            <w:shd w:fill="0B2545" w:color="auto" w:val="clear"/>
            <w:tcMar>
              <w:top w:type="dxa" w:w="560"/>
              <w:left w:type="dxa" w:w="400"/>
              <w:bottom w:type="dxa" w:w="560"/>
              <w:right w:type="dxa" w:w="400"/>
            </w:tcMar>
          </w:tcPr>
          <w:p>
            <w:pPr>
              <w:spacing w:after="120"/>
            </w:pPr>
            <w:r>
              <w:rPr>
                <w:rFonts w:ascii="Calibri" w:cs="Calibri" w:eastAsia="Calibri" w:hAnsi="Calibri"/>
                <w:b/>
                <w:bCs/>
                <w:color w:val="C8962E"/>
                <w:spacing w:val="40"/>
                <w:sz w:val="20"/>
                <w:szCs w:val="20"/>
              </w:rPr>
              <w:t xml:space="preserve">BUSINESS PLAN  ·  DOSSIER DE FINANCEMENT</w:t>
            </w:r>
          </w:p>
          <w:p>
            <w:pPr>
              <w:spacing w:after="80"/>
            </w:pPr>
            <w:r>
              <w:rPr>
                <w:rFonts w:ascii="Calibri" w:cs="Calibri" w:eastAsia="Calibri" w:hAnsi="Calibri"/>
                <w:b/>
                <w:bCs/>
                <w:color w:val="FFFFFF"/>
                <w:sz w:val="56"/>
                <w:szCs w:val="56"/>
              </w:rPr>
              <w:t xml:space="preserve">Société de transport minier</w:t>
            </w:r>
          </w:p>
          <w:p>
            <w:pPr>
              <w:spacing w:after="200"/>
            </w:pPr>
            <w:r>
              <w:rPr>
                <w:rFonts w:ascii="Calibri" w:cs="Calibri" w:eastAsia="Calibri" w:hAnsi="Calibri"/>
                <w:color w:val="DCE6F5"/>
                <w:sz w:val="30"/>
                <w:szCs w:val="30"/>
              </w:rPr>
              <w:t xml:space="preserve">Flotte de 100 camions-bennes lourds — République de Guinée</w:t>
            </w:r>
          </w:p>
          <w:p>
            <w:pPr>
              <w:pBdr>
                <w:top w:val="single" w:color="C8962E" w:sz="8" w:space="10"/>
              </w:pBdr>
              <w:spacing w:after="0"/>
            </w:pPr>
            <w:r>
              <w:rPr>
                <w:rFonts w:ascii="Calibri" w:cs="Calibri" w:eastAsia="Calibri" w:hAnsi="Calibri"/>
                <w:color w:val="DCE6F5"/>
                <w:sz w:val="19"/>
                <w:szCs w:val="19"/>
              </w:rPr>
              <w:t xml:space="preserve">Corridor bauxitique Boké–Boffa  ·  Contrat de transport au tonnage  ·  Financement structuré sans recours limité</w:t>
            </w:r>
          </w:p>
        </w:tc>
      </w:tr>
    </w:tbl>
    <w:p>
      <w:pPr>
        <w:spacing w:after="24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927"/>
        <w:gridCol w:w="1927"/>
        <w:gridCol w:w="1927"/>
        <w:gridCol w:w="1927"/>
        <w:gridCol w:w="1930"/>
      </w:tblGrid>
      <w:tr>
        <w:tc>
          <w:tcPr>
            <w:tcW w:type="dxa" w:w="1927"/>
            <w:tcBorders>
              <w:top w:val="single" w:color="C8962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26"/>
                <w:szCs w:val="26"/>
              </w:rPr>
              <w:t xml:space="preserve">100</w:t>
            </w:r>
          </w:p>
          <w:p>
            <w:pPr>
              <w:jc w:val="center"/>
            </w:pPr>
            <w:r>
              <w:rPr>
                <w:rFonts w:ascii="Calibri" w:cs="Calibri" w:eastAsia="Calibri" w:hAnsi="Calibri"/>
                <w:color w:val="6B7280"/>
                <w:sz w:val="16"/>
                <w:szCs w:val="16"/>
              </w:rPr>
              <w:t xml:space="preserve">camions-bennes lourds</w:t>
            </w:r>
          </w:p>
        </w:tc>
        <w:tc>
          <w:tcPr>
            <w:tcW w:type="dxa" w:w="1927"/>
            <w:tcBorders>
              <w:top w:val="single" w:color="C8962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26"/>
                <w:szCs w:val="26"/>
              </w:rPr>
              <w:t xml:space="preserve">3,9 Mt/an</w:t>
            </w:r>
          </w:p>
          <w:p>
            <w:pPr>
              <w:jc w:val="center"/>
            </w:pPr>
            <w:r>
              <w:rPr>
                <w:rFonts w:ascii="Calibri" w:cs="Calibri" w:eastAsia="Calibri" w:hAnsi="Calibri"/>
                <w:color w:val="6B7280"/>
                <w:sz w:val="16"/>
                <w:szCs w:val="16"/>
              </w:rPr>
              <w:t xml:space="preserve">capacité stabilisée</w:t>
            </w:r>
          </w:p>
        </w:tc>
        <w:tc>
          <w:tcPr>
            <w:tcW w:type="dxa" w:w="1927"/>
            <w:tcBorders>
              <w:top w:val="single" w:color="C8962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26"/>
                <w:szCs w:val="26"/>
              </w:rPr>
              <w:t xml:space="preserve">32,6 M USD</w:t>
            </w:r>
          </w:p>
          <w:p>
            <w:pPr>
              <w:jc w:val="center"/>
            </w:pPr>
            <w:r>
              <w:rPr>
                <w:rFonts w:ascii="Calibri" w:cs="Calibri" w:eastAsia="Calibri" w:hAnsi="Calibri"/>
                <w:color w:val="6B7280"/>
                <w:sz w:val="16"/>
                <w:szCs w:val="16"/>
              </w:rPr>
              <w:t xml:space="preserve">coût total du projet</w:t>
            </w:r>
          </w:p>
        </w:tc>
        <w:tc>
          <w:tcPr>
            <w:tcW w:type="dxa" w:w="1927"/>
            <w:tcBorders>
              <w:top w:val="single" w:color="C8962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26"/>
                <w:szCs w:val="26"/>
              </w:rPr>
              <w:t xml:space="preserve">29,7 %</w:t>
            </w:r>
          </w:p>
          <w:p>
            <w:pPr>
              <w:jc w:val="center"/>
            </w:pPr>
            <w:r>
              <w:rPr>
                <w:rFonts w:ascii="Calibri" w:cs="Calibri" w:eastAsia="Calibri" w:hAnsi="Calibri"/>
                <w:color w:val="6B7280"/>
                <w:sz w:val="16"/>
                <w:szCs w:val="16"/>
              </w:rPr>
              <w:t xml:space="preserve">TRI fonds propres</w:t>
            </w:r>
          </w:p>
        </w:tc>
        <w:tc>
          <w:tcPr>
            <w:tcW w:type="dxa" w:w="1930"/>
            <w:tcBorders>
              <w:top w:val="single" w:color="C8962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26"/>
                <w:szCs w:val="26"/>
              </w:rPr>
              <w:t xml:space="preserve">1,60x</w:t>
            </w:r>
          </w:p>
          <w:p>
            <w:pPr>
              <w:jc w:val="center"/>
            </w:pPr>
            <w:r>
              <w:rPr>
                <w:rFonts w:ascii="Calibri" w:cs="Calibri" w:eastAsia="Calibri" w:hAnsi="Calibri"/>
                <w:color w:val="6B7280"/>
                <w:sz w:val="16"/>
                <w:szCs w:val="16"/>
              </w:rPr>
              <w:t xml:space="preserve">DSCR minimum</w:t>
            </w:r>
          </w:p>
        </w:tc>
      </w:tr>
    </w:tbl>
    <w:p>
      <w:pPr>
        <w:spacing w:after="160"/>
      </w:pPr>
    </w:p>
    <w:p>
      <w:pPr>
        <w:spacing w:after="40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6838"/>
      </w:tblGrid>
      <w:tr>
        <w:trPr>
          <w:tblHeader/>
        </w:trPr>
        <w:tc>
          <w:tcPr>
            <w:tcW w:type="dxa" w:w="28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Élément</w:t>
            </w:r>
          </w:p>
        </w:tc>
        <w:tc>
          <w:tcPr>
            <w:tcW w:type="dxa" w:w="68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Information</w:t>
            </w:r>
          </w:p>
        </w:tc>
      </w:tr>
      <w:tr>
        <w:trPr>
          <w:cantSplit/>
        </w:trPr>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Promoteur (sponsor)</w:t>
            </w:r>
          </w:p>
        </w:tc>
        <w:tc>
          <w:tcPr>
            <w:tcW w:type="dxa" w:w="68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ALPHA B HANOK SARL — Construction (BTP), consultation, négoce, commerce général</w:t>
            </w:r>
          </w:p>
        </w:tc>
      </w:tr>
      <w:tr>
        <w:trPr>
          <w:cantSplit/>
        </w:trPr>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Emprunteur</w:t>
            </w:r>
          </w:p>
        </w:tc>
        <w:tc>
          <w:tcPr>
            <w:tcW w:type="dxa" w:w="68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Société de projet dédiée (SPV) de droit guinéen, régie par l’Acte uniforme OHADA</w:t>
            </w:r>
          </w:p>
        </w:tc>
      </w:tr>
      <w:tr>
        <w:trPr>
          <w:cantSplit/>
        </w:trPr>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Financement recherché</w:t>
            </w:r>
          </w:p>
        </w:tc>
        <w:tc>
          <w:tcPr>
            <w:tcW w:type="dxa" w:w="68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Dette senior 21,2 M USD (65 %) — fonds propres 11,4 M USD (35 %)</w:t>
            </w:r>
          </w:p>
        </w:tc>
      </w:tr>
      <w:tr>
        <w:trPr>
          <w:cantSplit/>
        </w:trPr>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Version</w:t>
            </w:r>
          </w:p>
        </w:tc>
        <w:tc>
          <w:tcPr>
            <w:tcW w:type="dxa" w:w="68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Version 3.0 consolidée — harmonisation des versions 1 et 2 et révision du modèle financier</w:t>
            </w:r>
          </w:p>
        </w:tc>
      </w:tr>
      <w:tr>
        <w:trPr>
          <w:cantSplit/>
        </w:trPr>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Date</w:t>
            </w:r>
          </w:p>
        </w:tc>
        <w:tc>
          <w:tcPr>
            <w:tcW w:type="dxa" w:w="68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Septembre 2026</w:t>
            </w:r>
          </w:p>
        </w:tc>
      </w:tr>
      <w:tr>
        <w:trPr>
          <w:cantSplit/>
        </w:trPr>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Classification</w:t>
            </w:r>
          </w:p>
        </w:tc>
        <w:tc>
          <w:tcPr>
            <w:tcW w:type="dxa" w:w="68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Strictement confidentiel — diffusion restreinte aux investisseurs et prêteurs sollicités</w:t>
            </w:r>
          </w:p>
        </w:tc>
      </w:tr>
    </w:tbl>
    <w:p>
      <w:pPr>
        <w:spacing w:after="180"/>
      </w:pPr>
    </w:p>
    <w:p>
      <w:pPr>
        <w:sectPr>
          <w:pgSz w:w="11906" w:h="16838" w:orient="portrait"/>
          <w:pgMar w:top="1134" w:right="1134" w:bottom="1134" w:left="1134" w:header="567" w:footer="567" w:gutter="0"/>
          <w:pgNumType/>
          <w:docGrid w:linePitch="360"/>
        </w:sectPr>
      </w:pPr>
    </w:p>
    <w:p>
      <w:pPr>
        <w:pStyle w:val="Heading1"/>
        <w:keepNext/>
        <w:pageBreakBefore/>
        <w:pBdr>
          <w:bottom w:val="single" w:color="C8962E" w:sz="12" w:space="6"/>
        </w:pBdr>
        <w:spacing w:after="80"/>
      </w:pPr>
      <w:r>
        <w:rPr>
          <w:rFonts w:ascii="Calibri" w:cs="Calibri" w:eastAsia="Calibri" w:hAnsi="Calibri"/>
          <w:b/>
          <w:bCs/>
          <w:color w:val="0B2545"/>
          <w:sz w:val="32"/>
          <w:szCs w:val="32"/>
        </w:rPr>
        <w:t xml:space="preserve">FICHE SYNTHÉTIQUE DE LA DEMANDE DE FINANCEMENT</w:t>
      </w:r>
    </w:p>
    <w:p>
      <w:pPr>
        <w:spacing w:after="160"/>
      </w:pPr>
    </w:p>
    <w:p>
      <w:pPr>
        <w:spacing w:after="120" w:before="0" w:line="276"/>
        <w:jc w:val="both"/>
      </w:pPr>
      <w:r>
        <w:rPr>
          <w:rFonts w:ascii="Calibri" w:cs="Calibri" w:eastAsia="Calibri" w:hAnsi="Calibri"/>
          <w:color w:val="1F2937"/>
          <w:sz w:val="21"/>
          <w:szCs w:val="21"/>
        </w:rPr>
        <w:t xml:space="preserve">Cette fiche résume, au format d’une </w:t>
      </w:r>
      <w:r>
        <w:rPr>
          <w:rFonts w:ascii="Calibri" w:cs="Calibri" w:eastAsia="Calibri" w:hAnsi="Calibri"/>
          <w:b/>
          <w:bCs/>
          <w:color w:val="0B2545"/>
          <w:sz w:val="21"/>
          <w:szCs w:val="21"/>
        </w:rPr>
        <w:t xml:space="preserve">term sheet indicative</w:t>
      </w:r>
      <w:r>
        <w:rPr>
          <w:rFonts w:ascii="Calibri" w:cs="Calibri" w:eastAsia="Calibri" w:hAnsi="Calibri"/>
          <w:color w:val="1F2937"/>
          <w:sz w:val="21"/>
          <w:szCs w:val="21"/>
        </w:rPr>
        <w:t xml:space="preserve">, les paramètres de financement soumis aux prêteurs et investisseurs. Elle ne constitue pas une offre ; les conditions définitives résulteront de la due diligence et de la négociation avec les établissements financiers.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038"/>
      </w:tblGrid>
      <w:tr>
        <w:trPr>
          <w:tblHeader/>
        </w:trPr>
        <w:tc>
          <w:tcPr>
            <w:tcW w:type="dxa" w:w="26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Paramètre</w:t>
            </w:r>
          </w:p>
        </w:tc>
        <w:tc>
          <w:tcPr>
            <w:tcW w:type="dxa" w:w="70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Proposition indicative</w:t>
            </w:r>
          </w:p>
        </w:tc>
      </w:tr>
      <w:tr>
        <w:trPr>
          <w:cantSplit/>
        </w:trPr>
        <w:tc>
          <w:tcPr>
            <w:tcW w:type="dxa" w:w="2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Emprunteur</w:t>
            </w:r>
          </w:p>
        </w:tc>
        <w:tc>
          <w:tcPr>
            <w:tcW w:type="dxa" w:w="70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SPV de droit guinéen dédiée exclusivement au projet (société anonyme OHADA), détenue majoritairement par des personnes guinéennes (loi sur le contenu local)</w:t>
            </w:r>
          </w:p>
        </w:tc>
      </w:tr>
      <w:tr>
        <w:trPr>
          <w:cantSplit/>
        </w:trPr>
        <w:tc>
          <w:tcPr>
            <w:tcW w:type="dxa" w:w="26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Sponsor</w:t>
            </w:r>
          </w:p>
        </w:tc>
        <w:tc>
          <w:tcPr>
            <w:tcW w:type="dxa" w:w="70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ALPHA B HANOK SARL, avec ouverture possible à un partenaire technique ou financier minoritaire</w:t>
            </w:r>
          </w:p>
        </w:tc>
      </w:tr>
      <w:tr>
        <w:trPr>
          <w:cantSplit/>
        </w:trPr>
        <w:tc>
          <w:tcPr>
            <w:tcW w:type="dxa" w:w="2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Objet</w:t>
            </w:r>
          </w:p>
        </w:tc>
        <w:tc>
          <w:tcPr>
            <w:tcW w:type="dxa" w:w="70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Acquisition et mise en exploitation de 100 camions-bennes lourds, d’une flotte de soutien et d’un atelier central pour le transport de bauxite sous contrat pluriannuel</w:t>
            </w:r>
          </w:p>
        </w:tc>
      </w:tr>
      <w:tr>
        <w:trPr>
          <w:cantSplit/>
        </w:trPr>
        <w:tc>
          <w:tcPr>
            <w:tcW w:type="dxa" w:w="26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Coût total du projet</w:t>
            </w:r>
          </w:p>
        </w:tc>
        <w:tc>
          <w:tcPr>
            <w:tcW w:type="dxa" w:w="70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32,6 M USD, dont investissements 27,0 M USD, fonds de roulement 3,0 M USD, frais et intérêts intercalaires 1,39 M USD, dotation initiale DSRA 1,20 M USD</w:t>
            </w:r>
          </w:p>
        </w:tc>
      </w:tr>
      <w:tr>
        <w:trPr>
          <w:cantSplit/>
        </w:trPr>
        <w:tc>
          <w:tcPr>
            <w:tcW w:type="dxa" w:w="2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Instrument</w:t>
            </w:r>
          </w:p>
        </w:tc>
        <w:tc>
          <w:tcPr>
            <w:tcW w:type="dxa" w:w="70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Prêt senior à terme amortissable ou crédit-bail équivalent, 21,2 M USD, en USD</w:t>
            </w:r>
          </w:p>
        </w:tc>
      </w:tr>
      <w:tr>
        <w:trPr>
          <w:cantSplit/>
        </w:trPr>
        <w:tc>
          <w:tcPr>
            <w:tcW w:type="dxa" w:w="26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Durée</w:t>
            </w:r>
          </w:p>
        </w:tc>
        <w:tc>
          <w:tcPr>
            <w:tcW w:type="dxa" w:w="70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7 ans à compter du premier tirage, dont 12 mois de période de mobilisation (différé en capital)</w:t>
            </w:r>
          </w:p>
        </w:tc>
      </w:tr>
      <w:tr>
        <w:trPr>
          <w:cantSplit/>
        </w:trPr>
        <w:tc>
          <w:tcPr>
            <w:tcW w:type="dxa" w:w="2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Taux indicatif</w:t>
            </w:r>
          </w:p>
        </w:tc>
        <w:tc>
          <w:tcPr>
            <w:tcW w:type="dxa" w:w="70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10,5 % fixe (ou équivalent SOFR + marge), commission de montage 2,0 %, commission d’engagement sur non-tiré</w:t>
            </w:r>
          </w:p>
        </w:tc>
      </w:tr>
      <w:tr>
        <w:trPr>
          <w:cantSplit/>
        </w:trPr>
        <w:tc>
          <w:tcPr>
            <w:tcW w:type="dxa" w:w="26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Remboursement</w:t>
            </w:r>
          </w:p>
        </w:tc>
        <w:tc>
          <w:tcPr>
            <w:tcW w:type="dxa" w:w="70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Semestriel, profil sculpté sur un DSCR cible constant de 1,60x ; extinction à la fin de l’année 6 d’exploitation</w:t>
            </w:r>
          </w:p>
        </w:tc>
      </w:tr>
      <w:tr>
        <w:trPr>
          <w:cantSplit/>
        </w:trPr>
        <w:tc>
          <w:tcPr>
            <w:tcW w:type="dxa" w:w="2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Fonds propres</w:t>
            </w:r>
          </w:p>
        </w:tc>
        <w:tc>
          <w:tcPr>
            <w:tcW w:type="dxa" w:w="70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11,4 M USD (35 %), apportés avant le premier tirage (capital et avances d’actionnaires subordonnées)</w:t>
            </w:r>
          </w:p>
        </w:tc>
      </w:tr>
      <w:tr>
        <w:trPr>
          <w:cantSplit/>
        </w:trPr>
        <w:tc>
          <w:tcPr>
            <w:tcW w:type="dxa" w:w="26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Sûretés</w:t>
            </w:r>
          </w:p>
        </w:tc>
        <w:tc>
          <w:tcPr>
            <w:tcW w:type="dxa" w:w="70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Nantissement de la flotte et des équipements, cession des créances du contrat minier, nantissement des comptes et des titres de la SPV, délégation des polices d’assurance</w:t>
            </w:r>
          </w:p>
        </w:tc>
      </w:tr>
      <w:tr>
        <w:trPr>
          <w:cantSplit/>
        </w:trPr>
        <w:tc>
          <w:tcPr>
            <w:tcW w:type="dxa" w:w="2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Comptes de réserve</w:t>
            </w:r>
          </w:p>
        </w:tc>
        <w:tc>
          <w:tcPr>
            <w:tcW w:type="dxa" w:w="70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DSRA de 6 mois de service de la dette ; compte de réserve de maintenance (MRA) pour les révisions majeures</w:t>
            </w:r>
          </w:p>
        </w:tc>
      </w:tr>
      <w:tr>
        <w:trPr>
          <w:cantSplit/>
        </w:trPr>
        <w:tc>
          <w:tcPr>
            <w:tcW w:type="dxa" w:w="26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Engagements financiers</w:t>
            </w:r>
          </w:p>
        </w:tc>
        <w:tc>
          <w:tcPr>
            <w:tcW w:type="dxa" w:w="70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DSCR historique ≥ 1,30x (blocage des distributions &lt; 1,20x ; défaut &lt; 1,10x) ; LLCR ≥ 1,40x ; ratio dette / (dette + fonds propres) ≤ 70 %</w:t>
            </w:r>
          </w:p>
        </w:tc>
      </w:tr>
      <w:tr>
        <w:trPr>
          <w:cantSplit/>
        </w:trPr>
        <w:tc>
          <w:tcPr>
            <w:tcW w:type="dxa" w:w="2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Conditions préalables clés</w:t>
            </w:r>
          </w:p>
        </w:tc>
        <w:tc>
          <w:tcPr>
            <w:tcW w:type="dxa" w:w="70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Contrat de transport signé (≥ 5 ans, take-or-pay, indexation carburant), audit de corridor, offres fermes constructeurs, avis fiscal, ESIA/ESMS, apport intégral des fonds propres</w:t>
            </w:r>
          </w:p>
        </w:tc>
      </w:tr>
    </w:tbl>
    <w:p>
      <w:pPr>
        <w:spacing w:after="1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927"/>
        <w:gridCol w:w="1927"/>
        <w:gridCol w:w="1927"/>
        <w:gridCol w:w="1927"/>
        <w:gridCol w:w="1930"/>
      </w:tblGrid>
      <w:tr>
        <w:tc>
          <w:tcPr>
            <w:tcW w:type="dxa" w:w="1927"/>
            <w:tcBorders>
              <w:top w:val="single" w:color="C8962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30"/>
                <w:szCs w:val="30"/>
              </w:rPr>
              <w:t xml:space="preserve">29,7 %</w:t>
            </w:r>
          </w:p>
          <w:p>
            <w:pPr>
              <w:jc w:val="center"/>
            </w:pPr>
            <w:r>
              <w:rPr>
                <w:rFonts w:ascii="Calibri" w:cs="Calibri" w:eastAsia="Calibri" w:hAnsi="Calibri"/>
                <w:color w:val="6B7280"/>
                <w:sz w:val="16"/>
                <w:szCs w:val="16"/>
              </w:rPr>
              <w:t xml:space="preserve">TRI fonds propres</w:t>
            </w:r>
          </w:p>
        </w:tc>
        <w:tc>
          <w:tcPr>
            <w:tcW w:type="dxa" w:w="1927"/>
            <w:tcBorders>
              <w:top w:val="single" w:color="C8962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30"/>
                <w:szCs w:val="30"/>
              </w:rPr>
              <w:t xml:space="preserve">19,9 %</w:t>
            </w:r>
          </w:p>
          <w:p>
            <w:pPr>
              <w:jc w:val="center"/>
            </w:pPr>
            <w:r>
              <w:rPr>
                <w:rFonts w:ascii="Calibri" w:cs="Calibri" w:eastAsia="Calibri" w:hAnsi="Calibri"/>
                <w:color w:val="6B7280"/>
                <w:sz w:val="16"/>
                <w:szCs w:val="16"/>
              </w:rPr>
              <w:t xml:space="preserve">TRI projet après impôt</w:t>
            </w:r>
          </w:p>
        </w:tc>
        <w:tc>
          <w:tcPr>
            <w:tcW w:type="dxa" w:w="1927"/>
            <w:tcBorders>
              <w:top w:val="single" w:color="C8962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30"/>
                <w:szCs w:val="30"/>
              </w:rPr>
              <w:t xml:space="preserve">6,10 M$</w:t>
            </w:r>
          </w:p>
          <w:p>
            <w:pPr>
              <w:jc w:val="center"/>
            </w:pPr>
            <w:r>
              <w:rPr>
                <w:rFonts w:ascii="Calibri" w:cs="Calibri" w:eastAsia="Calibri" w:hAnsi="Calibri"/>
                <w:color w:val="6B7280"/>
                <w:sz w:val="16"/>
                <w:szCs w:val="16"/>
              </w:rPr>
              <w:t xml:space="preserve">VAN fonds propres à 18 %</w:t>
            </w:r>
          </w:p>
        </w:tc>
        <w:tc>
          <w:tcPr>
            <w:tcW w:type="dxa" w:w="1927"/>
            <w:tcBorders>
              <w:top w:val="single" w:color="C8962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30"/>
                <w:szCs w:val="30"/>
              </w:rPr>
              <w:t xml:space="preserve">1,60x</w:t>
            </w:r>
          </w:p>
          <w:p>
            <w:pPr>
              <w:jc w:val="center"/>
            </w:pPr>
            <w:r>
              <w:rPr>
                <w:rFonts w:ascii="Calibri" w:cs="Calibri" w:eastAsia="Calibri" w:hAnsi="Calibri"/>
                <w:color w:val="6B7280"/>
                <w:sz w:val="16"/>
                <w:szCs w:val="16"/>
              </w:rPr>
              <w:t xml:space="preserve">DSCR min. / LLCR 1,60x</w:t>
            </w:r>
          </w:p>
        </w:tc>
        <w:tc>
          <w:tcPr>
            <w:tcW w:type="dxa" w:w="1930"/>
            <w:tcBorders>
              <w:top w:val="single" w:color="C8962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30"/>
                <w:szCs w:val="30"/>
              </w:rPr>
              <w:t xml:space="preserve">4,0 ans</w:t>
            </w:r>
          </w:p>
          <w:p>
            <w:pPr>
              <w:jc w:val="center"/>
            </w:pPr>
            <w:r>
              <w:rPr>
                <w:rFonts w:ascii="Calibri" w:cs="Calibri" w:eastAsia="Calibri" w:hAnsi="Calibri"/>
                <w:color w:val="6B7280"/>
                <w:sz w:val="16"/>
                <w:szCs w:val="16"/>
              </w:rPr>
              <w:t xml:space="preserve">retour des fonds propres</w:t>
            </w:r>
          </w:p>
        </w:tc>
      </w:tr>
    </w:tbl>
    <w:p>
      <w:pPr>
        <w:spacing w:after="160"/>
      </w:pPr>
    </w:p>
    <w:p>
      <w:pPr>
        <w:pStyle w:val="Heading1"/>
        <w:keepNext/>
        <w:pageBreakBefore/>
        <w:pBdr>
          <w:bottom w:val="single" w:color="C8962E" w:sz="12" w:space="6"/>
        </w:pBdr>
        <w:spacing w:after="80"/>
      </w:pPr>
      <w:r>
        <w:rPr>
          <w:rFonts w:ascii="Calibri" w:cs="Calibri" w:eastAsia="Calibri" w:hAnsi="Calibri"/>
          <w:b/>
          <w:bCs/>
          <w:color w:val="0B2545"/>
          <w:sz w:val="32"/>
          <w:szCs w:val="32"/>
        </w:rPr>
        <w:t xml:space="preserve">AVERTISSEMENT ET PÉRIMÈTRE DU DOCUMENT</w:t>
      </w:r>
    </w:p>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C8962E" w:sz="36"/>
              <w:bottom w:val="none" w:color="FFFFFF" w:sz="0"/>
              <w:right w:val="none" w:color="FFFFFF" w:sz="0"/>
            </w:tcBorders>
            <w:shd w:fill="FBF4E6" w:color="auto" w:val="clear"/>
            <w:tcMar>
              <w:top w:type="dxa" w:w="140"/>
              <w:left w:type="dxa" w:w="240"/>
              <w:bottom w:type="dxa" w:w="140"/>
              <w:right w:type="dxa" w:w="200"/>
            </w:tcMar>
          </w:tcPr>
          <w:p>
            <w:pPr>
              <w:spacing w:after="60"/>
            </w:pPr>
            <w:r>
              <w:rPr>
                <w:rFonts w:ascii="Calibri" w:cs="Calibri" w:eastAsia="Calibri" w:hAnsi="Calibri"/>
                <w:b/>
                <w:bCs/>
                <w:color w:val="0B2545"/>
                <w:spacing w:val="20"/>
                <w:sz w:val="18"/>
                <w:szCs w:val="18"/>
              </w:rPr>
              <w:t xml:space="preserve">NATURE DU DOCUMENT</w:t>
            </w:r>
          </w:p>
          <w:p>
            <w:pPr>
              <w:spacing w:after="40" w:line="264"/>
              <w:jc w:val="both"/>
            </w:pPr>
            <w:r>
              <w:rPr>
                <w:rFonts w:ascii="Calibri" w:cs="Calibri" w:eastAsia="Calibri" w:hAnsi="Calibri"/>
                <w:color w:val="1F2937"/>
                <w:sz w:val="20"/>
                <w:szCs w:val="20"/>
              </w:rPr>
              <w:t xml:space="preserve">Ce business plan est un dossier de décision et de recherche de financement. Il ne constitue ni une offre ferme d’un constructeur, ni un engagement bancaire, ni un avis juridique ou fiscal. Les statistiques sectorielles et les textes cités proviennent de sources publiques identifiées (section 17). Les prix des camions, le tarif de transport, les coûts unitaires, la productivité, les conditions de financement et les projections sont des </w:t>
            </w:r>
            <w:r>
              <w:rPr>
                <w:rFonts w:ascii="Calibri" w:cs="Calibri" w:eastAsia="Calibri" w:hAnsi="Calibri"/>
                <w:b/>
                <w:bCs/>
                <w:color w:val="0B2545"/>
                <w:sz w:val="20"/>
                <w:szCs w:val="20"/>
              </w:rPr>
              <w:t xml:space="preserve">hypothèses de modélisation</w:t>
            </w:r>
            <w:r>
              <w:rPr>
                <w:rFonts w:ascii="Calibri" w:cs="Calibri" w:eastAsia="Calibri" w:hAnsi="Calibri"/>
                <w:color w:val="1F2937"/>
                <w:sz w:val="20"/>
                <w:szCs w:val="20"/>
              </w:rPr>
              <w:t xml:space="preserve"> à confirmer par des devis, une étude de route, un contrat minier et une due diligence indépendante.</w:t>
            </w:r>
          </w:p>
        </w:tc>
      </w:tr>
    </w:tbl>
    <w:p>
      <w:pPr>
        <w:spacing w:after="18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6638"/>
      </w:tblGrid>
      <w:tr>
        <w:trPr>
          <w:tblHeader/>
        </w:trPr>
        <w:tc>
          <w:tcPr>
            <w:tcW w:type="dxa" w:w="3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Catégorie</w:t>
            </w:r>
          </w:p>
        </w:tc>
        <w:tc>
          <w:tcPr>
            <w:tcW w:type="dxa" w:w="66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Traitement dans ce document</w:t>
            </w:r>
          </w:p>
        </w:tc>
      </w:tr>
      <w:tr>
        <w:trPr>
          <w:cantSplit/>
        </w:trPr>
        <w:tc>
          <w:tcPr>
            <w:tcW w:type="dxa" w:w="3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Données publiques vérifiées</w:t>
            </w:r>
          </w:p>
        </w:tc>
        <w:tc>
          <w:tcPr>
            <w:tcW w:type="dxa" w:w="6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Production et exportations minières, principaux opérateurs, poids du secteur, taux de change, cadre fiscal de référence et contenu local</w:t>
            </w:r>
          </w:p>
        </w:tc>
      </w:tr>
      <w:tr>
        <w:trPr>
          <w:cantSplit/>
        </w:trPr>
        <w:tc>
          <w:tcPr>
            <w:tcW w:type="dxa" w:w="3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Hypothèses techniques</w:t>
            </w:r>
          </w:p>
        </w:tc>
        <w:tc>
          <w:tcPr>
            <w:tcW w:type="dxa" w:w="6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Charge utile, distance, rotations, disponibilité mécanique, consommation, jours d’exploitation</w:t>
            </w:r>
          </w:p>
        </w:tc>
      </w:tr>
      <w:tr>
        <w:trPr>
          <w:cantSplit/>
        </w:trPr>
        <w:tc>
          <w:tcPr>
            <w:tcW w:type="dxa" w:w="3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Hypothèses commerciales</w:t>
            </w:r>
          </w:p>
        </w:tc>
        <w:tc>
          <w:tcPr>
            <w:tcW w:type="dxa" w:w="6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Tarif par tonne, volume minimum garanti, indexation, durée du contrat et délai de paiement</w:t>
            </w:r>
          </w:p>
        </w:tc>
      </w:tr>
      <w:tr>
        <w:trPr>
          <w:cantSplit/>
        </w:trPr>
        <w:tc>
          <w:tcPr>
            <w:tcW w:type="dxa" w:w="3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Hypothèses financières</w:t>
            </w:r>
          </w:p>
        </w:tc>
        <w:tc>
          <w:tcPr>
            <w:tcW w:type="dxa" w:w="6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CAPEX, OPEX, conditions de la dette, amortissements, valeur résiduelle, fonds de roulement et comptes de réserve</w:t>
            </w:r>
          </w:p>
        </w:tc>
      </w:tr>
    </w:tbl>
    <w:p>
      <w:pPr>
        <w:spacing w:after="180"/>
      </w:pPr>
    </w:p>
    <w:p>
      <w:pPr>
        <w:spacing w:after="120" w:before="0" w:line="276"/>
        <w:jc w:val="both"/>
      </w:pPr>
      <w:r>
        <w:rPr>
          <w:rFonts w:ascii="Calibri" w:cs="Calibri" w:eastAsia="Calibri" w:hAnsi="Calibri"/>
          <w:b/>
          <w:bCs/>
          <w:color w:val="0B2545"/>
          <w:sz w:val="21"/>
          <w:szCs w:val="21"/>
        </w:rPr>
        <w:t xml:space="preserve">Normes de présentation.</w:t>
      </w:r>
      <w:r>
        <w:rPr>
          <w:rFonts w:ascii="Calibri" w:cs="Calibri" w:eastAsia="Calibri" w:hAnsi="Calibri"/>
          <w:color w:val="1F2937"/>
          <w:sz w:val="21"/>
          <w:szCs w:val="21"/>
        </w:rPr>
        <w:t xml:space="preserve"> Les projections sont établies en dollars américains (USD), en millions sauf mention contraire, en termes nominaux. Les états financiers prévisionnels suivent les principes des normes IFRS (IAS 16 pour les immobilisations, IAS 23 pour la capitalisation des intérêts intercalaires) ; les comptes statutaires de la SPV seront tenus selon le SYSCOHADA révisé. Les ratios de crédit (DSCR, LLCR, ratio d’endettement) sont calculés selon les conventions usuelles du financement de projet.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B42318" w:sz="36"/>
              <w:bottom w:val="none" w:color="FFFFFF" w:sz="0"/>
              <w:right w:val="none" w:color="FFFFFF" w:sz="0"/>
            </w:tcBorders>
            <w:shd w:fill="FDECEA" w:color="auto" w:val="clear"/>
            <w:tcMar>
              <w:top w:type="dxa" w:w="140"/>
              <w:left w:type="dxa" w:w="240"/>
              <w:bottom w:type="dxa" w:w="140"/>
              <w:right w:type="dxa" w:w="200"/>
            </w:tcMar>
          </w:tcPr>
          <w:p>
            <w:pPr>
              <w:spacing w:after="60"/>
            </w:pPr>
            <w:r>
              <w:rPr>
                <w:rFonts w:ascii="Calibri" w:cs="Calibri" w:eastAsia="Calibri" w:hAnsi="Calibri"/>
                <w:b/>
                <w:bCs/>
                <w:color w:val="0B2545"/>
                <w:spacing w:val="20"/>
                <w:sz w:val="18"/>
                <w:szCs w:val="18"/>
              </w:rPr>
              <w:t xml:space="preserve">CONDITION DE DÉCISION</w:t>
            </w:r>
          </w:p>
          <w:p>
            <w:pPr>
              <w:spacing w:after="40" w:line="264"/>
              <w:jc w:val="both"/>
            </w:pPr>
            <w:r>
              <w:rPr>
                <w:rFonts w:ascii="Calibri" w:cs="Calibri" w:eastAsia="Calibri" w:hAnsi="Calibri"/>
                <w:color w:val="1F2937"/>
                <w:sz w:val="20"/>
                <w:szCs w:val="20"/>
              </w:rPr>
              <w:t xml:space="preserve">La commande des 100 camions ne doit être lancée qu’après signature d’un contrat ferme, vérification du corridor, réception d’offres fournisseurs comparables, confirmation écrite du régime fiscal et douanier, et bouclage du financement.</w:t>
            </w:r>
          </w:p>
        </w:tc>
      </w:tr>
    </w:tbl>
    <w:p>
      <w:pPr>
        <w:spacing w:after="180"/>
      </w:pPr>
    </w:p>
    <w:p>
      <w:pPr>
        <w:pStyle w:val="Heading1"/>
        <w:keepNext/>
        <w:pageBreakBefore/>
        <w:pBdr>
          <w:bottom w:val="single" w:color="C8962E" w:sz="12" w:space="6"/>
        </w:pBdr>
        <w:spacing w:after="80"/>
      </w:pPr>
      <w:r>
        <w:rPr>
          <w:rFonts w:ascii="Calibri" w:cs="Calibri" w:eastAsia="Calibri" w:hAnsi="Calibri"/>
          <w:b/>
          <w:bCs/>
          <w:color w:val="0B2545"/>
          <w:sz w:val="32"/>
          <w:szCs w:val="32"/>
        </w:rPr>
        <w:t xml:space="preserve">SOMMAIRE</w:t>
      </w:r>
    </w:p>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
        <w:gridCol w:w="4219"/>
        <w:gridCol w:w="600"/>
        <w:gridCol w:w="4219"/>
      </w:tblGrid>
      <w:tr>
        <w:trPr>
          <w:tblHeader/>
        </w:trPr>
        <w:tc>
          <w:tcPr>
            <w:tcW w:type="dxa" w:w="6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N°</w:t>
            </w:r>
          </w:p>
        </w:tc>
        <w:tc>
          <w:tcPr>
            <w:tcW w:type="dxa" w:w="4219"/>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Section</w:t>
            </w:r>
          </w:p>
        </w:tc>
        <w:tc>
          <w:tcPr>
            <w:tcW w:type="dxa" w:w="6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N°</w:t>
            </w:r>
          </w:p>
        </w:tc>
        <w:tc>
          <w:tcPr>
            <w:tcW w:type="dxa" w:w="4219"/>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Section</w:t>
            </w:r>
          </w:p>
        </w:tc>
      </w:tr>
      <w:tr>
        <w:trPr>
          <w:cantSplit/>
        </w:trPr>
        <w:tc>
          <w:tcPr>
            <w:tcW w:type="dxa" w:w="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01</w:t>
            </w:r>
          </w:p>
        </w:tc>
        <w:tc>
          <w:tcPr>
            <w:tcW w:type="dxa" w:w="42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Résumé exécutif</w:t>
            </w:r>
          </w:p>
        </w:tc>
        <w:tc>
          <w:tcPr>
            <w:tcW w:type="dxa" w:w="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02</w:t>
            </w:r>
          </w:p>
        </w:tc>
        <w:tc>
          <w:tcPr>
            <w:tcW w:type="dxa" w:w="42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Présentation du projet et du promoteur</w:t>
            </w:r>
          </w:p>
        </w:tc>
      </w:tr>
      <w:tr>
        <w:trPr>
          <w:cantSplit/>
        </w:trPr>
        <w:tc>
          <w:tcPr>
            <w:tcW w:type="dxa" w:w="6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03</w:t>
            </w:r>
          </w:p>
        </w:tc>
        <w:tc>
          <w:tcPr>
            <w:tcW w:type="dxa" w:w="42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Analyse du marché minier guinéen</w:t>
            </w:r>
          </w:p>
        </w:tc>
        <w:tc>
          <w:tcPr>
            <w:tcW w:type="dxa" w:w="6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04</w:t>
            </w:r>
          </w:p>
        </w:tc>
        <w:tc>
          <w:tcPr>
            <w:tcW w:type="dxa" w:w="42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Stratégie commerciale et contractuelle</w:t>
            </w:r>
          </w:p>
        </w:tc>
      </w:tr>
      <w:tr>
        <w:trPr>
          <w:cantSplit/>
        </w:trPr>
        <w:tc>
          <w:tcPr>
            <w:tcW w:type="dxa" w:w="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05</w:t>
            </w:r>
          </w:p>
        </w:tc>
        <w:tc>
          <w:tcPr>
            <w:tcW w:type="dxa" w:w="42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Plan technique et opérationnel</w:t>
            </w:r>
          </w:p>
        </w:tc>
        <w:tc>
          <w:tcPr>
            <w:tcW w:type="dxa" w:w="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06</w:t>
            </w:r>
          </w:p>
        </w:tc>
        <w:tc>
          <w:tcPr>
            <w:tcW w:type="dxa" w:w="42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Organisation, ressources humaines et contenu local</w:t>
            </w:r>
          </w:p>
        </w:tc>
      </w:tr>
      <w:tr>
        <w:trPr>
          <w:cantSplit/>
        </w:trPr>
        <w:tc>
          <w:tcPr>
            <w:tcW w:type="dxa" w:w="6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07</w:t>
            </w:r>
          </w:p>
        </w:tc>
        <w:tc>
          <w:tcPr>
            <w:tcW w:type="dxa" w:w="42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HSE, normes environnementales et sociales</w:t>
            </w:r>
          </w:p>
        </w:tc>
        <w:tc>
          <w:tcPr>
            <w:tcW w:type="dxa" w:w="6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08</w:t>
            </w:r>
          </w:p>
        </w:tc>
        <w:tc>
          <w:tcPr>
            <w:tcW w:type="dxa" w:w="42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Cadre juridique, fiscal et institutionnel</w:t>
            </w:r>
          </w:p>
        </w:tc>
      </w:tr>
      <w:tr>
        <w:trPr>
          <w:cantSplit/>
        </w:trPr>
        <w:tc>
          <w:tcPr>
            <w:tcW w:type="dxa" w:w="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09</w:t>
            </w:r>
          </w:p>
        </w:tc>
        <w:tc>
          <w:tcPr>
            <w:tcW w:type="dxa" w:w="42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Coût du projet et plan de financement</w:t>
            </w:r>
          </w:p>
        </w:tc>
        <w:tc>
          <w:tcPr>
            <w:tcW w:type="dxa" w:w="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10</w:t>
            </w:r>
          </w:p>
        </w:tc>
        <w:tc>
          <w:tcPr>
            <w:tcW w:type="dxa" w:w="42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Hypothèses et prévisions financières</w:t>
            </w:r>
          </w:p>
        </w:tc>
      </w:tr>
      <w:tr>
        <w:trPr>
          <w:cantSplit/>
        </w:trPr>
        <w:tc>
          <w:tcPr>
            <w:tcW w:type="dxa" w:w="6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11</w:t>
            </w:r>
          </w:p>
        </w:tc>
        <w:tc>
          <w:tcPr>
            <w:tcW w:type="dxa" w:w="42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Analyse de sensibilité et tests de résistance</w:t>
            </w:r>
          </w:p>
        </w:tc>
        <w:tc>
          <w:tcPr>
            <w:tcW w:type="dxa" w:w="6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12</w:t>
            </w:r>
          </w:p>
        </w:tc>
        <w:tc>
          <w:tcPr>
            <w:tcW w:type="dxa" w:w="42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Analyse du risque de crédit</w:t>
            </w:r>
          </w:p>
        </w:tc>
      </w:tr>
      <w:tr>
        <w:trPr>
          <w:cantSplit/>
        </w:trPr>
        <w:tc>
          <w:tcPr>
            <w:tcW w:type="dxa" w:w="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13</w:t>
            </w:r>
          </w:p>
        </w:tc>
        <w:tc>
          <w:tcPr>
            <w:tcW w:type="dxa" w:w="42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Gouvernance, conformité et reporting</w:t>
            </w:r>
          </w:p>
        </w:tc>
        <w:tc>
          <w:tcPr>
            <w:tcW w:type="dxa" w:w="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14</w:t>
            </w:r>
          </w:p>
        </w:tc>
        <w:tc>
          <w:tcPr>
            <w:tcW w:type="dxa" w:w="42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Plan de mise en œuvre</w:t>
            </w:r>
          </w:p>
        </w:tc>
      </w:tr>
      <w:tr>
        <w:trPr>
          <w:cantSplit/>
        </w:trPr>
        <w:tc>
          <w:tcPr>
            <w:tcW w:type="dxa" w:w="6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15</w:t>
            </w:r>
          </w:p>
        </w:tc>
        <w:tc>
          <w:tcPr>
            <w:tcW w:type="dxa" w:w="42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Risques stratégiques et mesures de maîtrise</w:t>
            </w:r>
          </w:p>
        </w:tc>
        <w:tc>
          <w:tcPr>
            <w:tcW w:type="dxa" w:w="6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16</w:t>
            </w:r>
          </w:p>
        </w:tc>
        <w:tc>
          <w:tcPr>
            <w:tcW w:type="dxa" w:w="42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Conclusion et recommandation d’investissement</w:t>
            </w:r>
          </w:p>
        </w:tc>
      </w:tr>
      <w:tr>
        <w:trPr>
          <w:cantSplit/>
        </w:trPr>
        <w:tc>
          <w:tcPr>
            <w:tcW w:type="dxa" w:w="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17</w:t>
            </w:r>
          </w:p>
        </w:tc>
        <w:tc>
          <w:tcPr>
            <w:tcW w:type="dxa" w:w="42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Sources documentaires</w:t>
            </w:r>
          </w:p>
        </w:tc>
        <w:tc>
          <w:tcPr>
            <w:tcW w:type="dxa" w:w="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p>
        </w:tc>
        <w:tc>
          <w:tcPr>
            <w:tcW w:type="dxa" w:w="42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p>
        </w:tc>
      </w:tr>
    </w:tbl>
    <w:p>
      <w:pPr>
        <w:spacing w:after="18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00"/>
        <w:gridCol w:w="8438"/>
      </w:tblGrid>
      <w:tr>
        <w:trPr>
          <w:tblHeader/>
        </w:trPr>
        <w:tc>
          <w:tcPr>
            <w:tcW w:type="dxa" w:w="12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Annexe</w:t>
            </w:r>
          </w:p>
        </w:tc>
        <w:tc>
          <w:tcPr>
            <w:tcW w:type="dxa" w:w="84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Contenu</w:t>
            </w:r>
          </w:p>
        </w:tc>
      </w:tr>
      <w:tr>
        <w:trPr>
          <w:cantSplit/>
        </w:trPr>
        <w:tc>
          <w:tcPr>
            <w:tcW w:type="dxa" w:w="1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A</w:t>
            </w:r>
          </w:p>
        </w:tc>
        <w:tc>
          <w:tcPr>
            <w:tcW w:type="dxa" w:w="84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Matrice complète des hypothèses</w:t>
            </w:r>
          </w:p>
        </w:tc>
      </w:tr>
      <w:tr>
        <w:trPr>
          <w:cantSplit/>
        </w:trPr>
        <w:tc>
          <w:tcPr>
            <w:tcW w:type="dxa" w:w="12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B</w:t>
            </w:r>
          </w:p>
        </w:tc>
        <w:tc>
          <w:tcPr>
            <w:tcW w:type="dxa" w:w="84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Plan de due diligence avant financement</w:t>
            </w:r>
          </w:p>
        </w:tc>
      </w:tr>
      <w:tr>
        <w:trPr>
          <w:cantSplit/>
        </w:trPr>
        <w:tc>
          <w:tcPr>
            <w:tcW w:type="dxa" w:w="1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C</w:t>
            </w:r>
          </w:p>
        </w:tc>
        <w:tc>
          <w:tcPr>
            <w:tcW w:type="dxa" w:w="84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États financiers prévisionnels détaillés</w:t>
            </w:r>
          </w:p>
        </w:tc>
      </w:tr>
      <w:tr>
        <w:trPr>
          <w:cantSplit/>
        </w:trPr>
        <w:tc>
          <w:tcPr>
            <w:tcW w:type="dxa" w:w="12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D</w:t>
            </w:r>
          </w:p>
        </w:tc>
        <w:tc>
          <w:tcPr>
            <w:tcW w:type="dxa" w:w="84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Cahier des charges minimal des camions</w:t>
            </w:r>
          </w:p>
        </w:tc>
      </w:tr>
      <w:tr>
        <w:trPr>
          <w:cantSplit/>
        </w:trPr>
        <w:tc>
          <w:tcPr>
            <w:tcW w:type="dxa" w:w="1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E</w:t>
            </w:r>
          </w:p>
        </w:tc>
        <w:tc>
          <w:tcPr>
            <w:tcW w:type="dxa" w:w="84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Note de révision : harmonisation des versions 1 et 2</w:t>
            </w:r>
          </w:p>
        </w:tc>
      </w:tr>
      <w:tr>
        <w:trPr>
          <w:cantSplit/>
        </w:trPr>
        <w:tc>
          <w:tcPr>
            <w:tcW w:type="dxa" w:w="12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F</w:t>
            </w:r>
          </w:p>
        </w:tc>
        <w:tc>
          <w:tcPr>
            <w:tcW w:type="dxa" w:w="84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Glossaire financier</w:t>
            </w:r>
          </w:p>
        </w:tc>
      </w:tr>
    </w:tbl>
    <w:p>
      <w:pPr>
        <w:spacing w:after="180"/>
      </w:pPr>
    </w:p>
    <w:p>
      <w:pPr>
        <w:pStyle w:val="Heading1"/>
        <w:keepNext/>
        <w:pageBreakBefore/>
        <w:pBdr>
          <w:bottom w:val="single" w:color="C8962E" w:sz="12" w:space="6"/>
        </w:pBdr>
        <w:spacing w:after="80" w:before="0"/>
      </w:pPr>
      <w:r>
        <w:rPr>
          <w:rFonts w:ascii="Calibri" w:cs="Calibri" w:eastAsia="Calibri" w:hAnsi="Calibri"/>
          <w:b/>
          <w:bCs/>
          <w:color w:val="C8962E"/>
          <w:sz w:val="40"/>
          <w:szCs w:val="40"/>
        </w:rPr>
        <w:t xml:space="preserve">01  </w:t>
      </w:r>
      <w:r>
        <w:rPr>
          <w:rFonts w:ascii="Calibri" w:cs="Calibri" w:eastAsia="Calibri" w:hAnsi="Calibri"/>
          <w:b/>
          <w:bCs/>
          <w:color w:val="0B2545"/>
          <w:sz w:val="32"/>
          <w:szCs w:val="32"/>
        </w:rPr>
        <w:t xml:space="preserve">RÉSUMÉ EXÉCUTIF</w:t>
      </w:r>
    </w:p>
    <w:p>
      <w:pPr>
        <w:spacing w:after="160"/>
      </w:pPr>
    </w:p>
    <w:p>
      <w:pPr>
        <w:spacing w:after="120" w:before="0" w:line="276"/>
        <w:jc w:val="both"/>
      </w:pPr>
      <w:r>
        <w:rPr>
          <w:rFonts w:ascii="Calibri" w:cs="Calibri" w:eastAsia="Calibri" w:hAnsi="Calibri"/>
          <w:color w:val="1F2937"/>
          <w:sz w:val="21"/>
          <w:szCs w:val="21"/>
        </w:rPr>
        <w:t xml:space="preserve">Le projet consiste à créer un </w:t>
      </w:r>
      <w:r>
        <w:rPr>
          <w:rFonts w:ascii="Calibri" w:cs="Calibri" w:eastAsia="Calibri" w:hAnsi="Calibri"/>
          <w:b/>
          <w:bCs/>
          <w:color w:val="0B2545"/>
          <w:sz w:val="21"/>
          <w:szCs w:val="21"/>
        </w:rPr>
        <w:t xml:space="preserve">opérateur guinéen de transport minier intégré</w:t>
      </w:r>
      <w:r>
        <w:rPr>
          <w:rFonts w:ascii="Calibri" w:cs="Calibri" w:eastAsia="Calibri" w:hAnsi="Calibri"/>
          <w:color w:val="1F2937"/>
          <w:sz w:val="21"/>
          <w:szCs w:val="21"/>
        </w:rPr>
        <w:t xml:space="preserve">, doté de 100 camions-bennes lourds, d’un atelier central, d’une flotte d’assistance, d’un système numérique de gestion de flotte et d’une organisation fonctionnant en continu. Le marché prioritaire est le transport de bauxite sur les corridors de Boké et de Boffa, entre sites miniers, stocks, installations de traitement et terminaux portuaires.</w:t>
      </w:r>
    </w:p>
    <w:p>
      <w:pPr>
        <w:spacing w:after="120" w:before="0" w:line="276"/>
        <w:jc w:val="both"/>
      </w:pPr>
      <w:r>
        <w:rPr>
          <w:rFonts w:ascii="Calibri" w:cs="Calibri" w:eastAsia="Calibri" w:hAnsi="Calibri"/>
          <w:color w:val="1F2937"/>
          <w:sz w:val="21"/>
          <w:szCs w:val="21"/>
        </w:rPr>
        <w:t xml:space="preserve">Le marché est profond : en 2025, la Guinée a produit </w:t>
      </w:r>
      <w:r>
        <w:rPr>
          <w:rFonts w:ascii="Calibri" w:cs="Calibri" w:eastAsia="Calibri" w:hAnsi="Calibri"/>
          <w:b/>
          <w:bCs/>
          <w:color w:val="0B2545"/>
          <w:sz w:val="21"/>
          <w:szCs w:val="21"/>
        </w:rPr>
        <w:t xml:space="preserve">175,45 millions de tonnes</w:t>
      </w:r>
      <w:r>
        <w:rPr>
          <w:rFonts w:ascii="Calibri" w:cs="Calibri" w:eastAsia="Calibri" w:hAnsi="Calibri"/>
          <w:color w:val="1F2937"/>
          <w:sz w:val="21"/>
          <w:szCs w:val="21"/>
        </w:rPr>
        <w:t xml:space="preserve"> de bauxite et en a exporté </w:t>
      </w:r>
      <w:r>
        <w:rPr>
          <w:rFonts w:ascii="Calibri" w:cs="Calibri" w:eastAsia="Calibri" w:hAnsi="Calibri"/>
          <w:b/>
          <w:bCs/>
          <w:color w:val="0B2545"/>
          <w:sz w:val="21"/>
          <w:szCs w:val="21"/>
        </w:rPr>
        <w:t xml:space="preserve">182,83 millions</w:t>
      </w:r>
      <w:r>
        <w:rPr>
          <w:rFonts w:ascii="Calibri" w:cs="Calibri" w:eastAsia="Calibri" w:hAnsi="Calibri"/>
          <w:color w:val="1F2937"/>
          <w:sz w:val="21"/>
          <w:szCs w:val="21"/>
        </w:rPr>
        <w:t xml:space="preserve">, en hausse respective de 24 % et 25 % sur 2024. À capacité stabilisée (3,90 Mt/an), la flotte proposée représente environ </w:t>
      </w:r>
      <w:r>
        <w:rPr>
          <w:rFonts w:ascii="Calibri" w:cs="Calibri" w:eastAsia="Calibri" w:hAnsi="Calibri"/>
          <w:b/>
          <w:bCs/>
          <w:color w:val="0B2545"/>
          <w:sz w:val="21"/>
          <w:szCs w:val="21"/>
        </w:rPr>
        <w:t xml:space="preserve">2,1 % des exportations nationales</w:t>
      </w:r>
      <w:r>
        <w:rPr>
          <w:rFonts w:ascii="Calibri" w:cs="Calibri" w:eastAsia="Calibri" w:hAnsi="Calibri"/>
          <w:color w:val="1F2937"/>
          <w:sz w:val="21"/>
          <w:szCs w:val="21"/>
        </w:rPr>
        <w:t xml:space="preserve">, un objectif significatif mais compatible avec la taille du marché.</w:t>
      </w:r>
    </w:p>
    <w:p>
      <w:pPr>
        <w:spacing w:after="160"/>
      </w:pPr>
      <w:r>
        <w:rPr>
          <w:rFonts w:ascii="Calibri" w:cs="Calibri" w:eastAsia="Calibri" w:hAnsi="Calibri"/>
          <w:i/>
          <w:iCs/>
          <w:color w:val="6B7280"/>
          <w:sz w:val="16"/>
          <w:szCs w:val="16"/>
        </w:rPr>
        <w:t xml:space="preserve">Source : Ministère des Mines et de la Géologie / ITIE-Guinée, Bulletin des Statistiques Minières et Carrières n°30, avril 2026.</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9"/>
        <w:gridCol w:w="2409"/>
        <w:gridCol w:w="2409"/>
        <w:gridCol w:w="2411"/>
      </w:tblGrid>
      <w:tr>
        <w:tc>
          <w:tcPr>
            <w:tcW w:type="dxa" w:w="2409"/>
            <w:tcBorders>
              <w:top w:val="single" w:color="C8962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30"/>
                <w:szCs w:val="30"/>
              </w:rPr>
              <w:t xml:space="preserve">3,90 Mt/an</w:t>
            </w:r>
          </w:p>
          <w:p>
            <w:pPr>
              <w:jc w:val="center"/>
            </w:pPr>
            <w:r>
              <w:rPr>
                <w:rFonts w:ascii="Calibri" w:cs="Calibri" w:eastAsia="Calibri" w:hAnsi="Calibri"/>
                <w:color w:val="6B7280"/>
                <w:sz w:val="16"/>
                <w:szCs w:val="16"/>
              </w:rPr>
              <w:t xml:space="preserve">volume stabilisé</w:t>
            </w:r>
          </w:p>
        </w:tc>
        <w:tc>
          <w:tcPr>
            <w:tcW w:type="dxa" w:w="2409"/>
            <w:tcBorders>
              <w:top w:val="single" w:color="C8962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30"/>
                <w:szCs w:val="30"/>
              </w:rPr>
              <w:t xml:space="preserve">7,10 USD/t</w:t>
            </w:r>
          </w:p>
          <w:p>
            <w:pPr>
              <w:jc w:val="center"/>
            </w:pPr>
            <w:r>
              <w:rPr>
                <w:rFonts w:ascii="Calibri" w:cs="Calibri" w:eastAsia="Calibri" w:hAnsi="Calibri"/>
                <w:color w:val="6B7280"/>
                <w:sz w:val="16"/>
                <w:szCs w:val="16"/>
              </w:rPr>
              <w:t xml:space="preserve">tarif initial modélisé</w:t>
            </w:r>
          </w:p>
        </w:tc>
        <w:tc>
          <w:tcPr>
            <w:tcW w:type="dxa" w:w="2409"/>
            <w:tcBorders>
              <w:top w:val="single" w:color="C8962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30"/>
                <w:szCs w:val="30"/>
              </w:rPr>
              <w:t xml:space="preserve">25,7 M$</w:t>
            </w:r>
          </w:p>
          <w:p>
            <w:pPr>
              <w:jc w:val="center"/>
            </w:pPr>
            <w:r>
              <w:rPr>
                <w:rFonts w:ascii="Calibri" w:cs="Calibri" w:eastAsia="Calibri" w:hAnsi="Calibri"/>
                <w:color w:val="6B7280"/>
                <w:sz w:val="16"/>
                <w:szCs w:val="16"/>
              </w:rPr>
              <w:t xml:space="preserve">chiffre d'affaires A2</w:t>
            </w:r>
          </w:p>
        </w:tc>
        <w:tc>
          <w:tcPr>
            <w:tcW w:type="dxa" w:w="2411"/>
            <w:tcBorders>
              <w:top w:val="single" w:color="C8962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30"/>
                <w:szCs w:val="30"/>
              </w:rPr>
              <w:t xml:space="preserve">10,2 M$</w:t>
            </w:r>
          </w:p>
          <w:p>
            <w:pPr>
              <w:jc w:val="center"/>
            </w:pPr>
            <w:r>
              <w:rPr>
                <w:rFonts w:ascii="Calibri" w:cs="Calibri" w:eastAsia="Calibri" w:hAnsi="Calibri"/>
                <w:color w:val="6B7280"/>
                <w:sz w:val="16"/>
                <w:szCs w:val="16"/>
              </w:rPr>
              <w:t xml:space="preserve">EBITDA A2 (40 %)</w:t>
            </w:r>
          </w:p>
        </w:tc>
      </w:tr>
    </w:tbl>
    <w:p>
      <w:pPr>
        <w:spacing w:after="6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9"/>
        <w:gridCol w:w="2409"/>
        <w:gridCol w:w="2409"/>
        <w:gridCol w:w="2411"/>
      </w:tblGrid>
      <w:tr>
        <w:tc>
          <w:tcPr>
            <w:tcW w:type="dxa" w:w="2409"/>
            <w:tcBorders>
              <w:top w:val="single" w:color="1F4E9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30"/>
                <w:szCs w:val="30"/>
              </w:rPr>
              <w:t xml:space="preserve">29,7 %</w:t>
            </w:r>
          </w:p>
          <w:p>
            <w:pPr>
              <w:jc w:val="center"/>
            </w:pPr>
            <w:r>
              <w:rPr>
                <w:rFonts w:ascii="Calibri" w:cs="Calibri" w:eastAsia="Calibri" w:hAnsi="Calibri"/>
                <w:color w:val="6B7280"/>
                <w:sz w:val="16"/>
                <w:szCs w:val="16"/>
              </w:rPr>
              <w:t xml:space="preserve">TRI fonds propres</w:t>
            </w:r>
          </w:p>
        </w:tc>
        <w:tc>
          <w:tcPr>
            <w:tcW w:type="dxa" w:w="2409"/>
            <w:tcBorders>
              <w:top w:val="single" w:color="1F4E9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30"/>
                <w:szCs w:val="30"/>
              </w:rPr>
              <w:t xml:space="preserve">6,10 M$</w:t>
            </w:r>
          </w:p>
          <w:p>
            <w:pPr>
              <w:jc w:val="center"/>
            </w:pPr>
            <w:r>
              <w:rPr>
                <w:rFonts w:ascii="Calibri" w:cs="Calibri" w:eastAsia="Calibri" w:hAnsi="Calibri"/>
                <w:color w:val="6B7280"/>
                <w:sz w:val="16"/>
                <w:szCs w:val="16"/>
              </w:rPr>
              <w:t xml:space="preserve">VAN à 18 %</w:t>
            </w:r>
          </w:p>
        </w:tc>
        <w:tc>
          <w:tcPr>
            <w:tcW w:type="dxa" w:w="2409"/>
            <w:tcBorders>
              <w:top w:val="single" w:color="1F4E9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30"/>
                <w:szCs w:val="30"/>
              </w:rPr>
              <w:t xml:space="preserve">1,60x</w:t>
            </w:r>
          </w:p>
          <w:p>
            <w:pPr>
              <w:jc w:val="center"/>
            </w:pPr>
            <w:r>
              <w:rPr>
                <w:rFonts w:ascii="Calibri" w:cs="Calibri" w:eastAsia="Calibri" w:hAnsi="Calibri"/>
                <w:color w:val="6B7280"/>
                <w:sz w:val="16"/>
                <w:szCs w:val="16"/>
              </w:rPr>
              <w:t xml:space="preserve">DSCR minimum</w:t>
            </w:r>
          </w:p>
        </w:tc>
        <w:tc>
          <w:tcPr>
            <w:tcW w:type="dxa" w:w="2411"/>
            <w:tcBorders>
              <w:top w:val="single" w:color="1F4E9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30"/>
                <w:szCs w:val="30"/>
              </w:rPr>
              <w:t xml:space="preserve">4,0 ans</w:t>
            </w:r>
          </w:p>
          <w:p>
            <w:pPr>
              <w:jc w:val="center"/>
            </w:pPr>
            <w:r>
              <w:rPr>
                <w:rFonts w:ascii="Calibri" w:cs="Calibri" w:eastAsia="Calibri" w:hAnsi="Calibri"/>
                <w:color w:val="6B7280"/>
                <w:sz w:val="16"/>
                <w:szCs w:val="16"/>
              </w:rPr>
              <w:t xml:space="preserve">retour des fonds propres</w:t>
            </w:r>
          </w:p>
        </w:tc>
      </w:tr>
    </w:tbl>
    <w:p>
      <w:pPr>
        <w:spacing w:after="160"/>
      </w:pPr>
    </w:p>
    <w:p>
      <w:pPr>
        <w:pStyle w:val="Heading2"/>
        <w:keepNext/>
        <w:spacing w:after="100" w:before="240"/>
      </w:pPr>
      <w:r>
        <w:rPr>
          <w:rFonts w:ascii="Calibri" w:cs="Calibri" w:eastAsia="Calibri" w:hAnsi="Calibri"/>
          <w:b/>
          <w:bCs/>
          <w:color w:val="1F4E9E"/>
          <w:sz w:val="25"/>
          <w:szCs w:val="25"/>
        </w:rPr>
        <w:t xml:space="preserve">Demande de financement</w:t>
      </w:r>
    </w:p>
    <w:p>
      <w:pPr>
        <w:spacing w:after="120" w:before="0" w:line="276"/>
        <w:jc w:val="both"/>
      </w:pPr>
      <w:r>
        <w:rPr>
          <w:rFonts w:ascii="Calibri" w:cs="Calibri" w:eastAsia="Calibri" w:hAnsi="Calibri"/>
          <w:color w:val="1F2937"/>
          <w:sz w:val="21"/>
          <w:szCs w:val="21"/>
        </w:rPr>
        <w:t xml:space="preserve">Le coût total du projet s’élève à </w:t>
      </w:r>
      <w:r>
        <w:rPr>
          <w:rFonts w:ascii="Calibri" w:cs="Calibri" w:eastAsia="Calibri" w:hAnsi="Calibri"/>
          <w:b/>
          <w:bCs/>
          <w:color w:val="0B2545"/>
          <w:sz w:val="21"/>
          <w:szCs w:val="21"/>
        </w:rPr>
        <w:t xml:space="preserve">32,6 M USD</w:t>
      </w:r>
      <w:r>
        <w:rPr>
          <w:rFonts w:ascii="Calibri" w:cs="Calibri" w:eastAsia="Calibri" w:hAnsi="Calibri"/>
          <w:color w:val="1F2937"/>
          <w:sz w:val="21"/>
          <w:szCs w:val="21"/>
        </w:rPr>
        <w:t xml:space="preserve">, financé à 65 % par une dette senior de </w:t>
      </w:r>
      <w:r>
        <w:rPr>
          <w:rFonts w:ascii="Calibri" w:cs="Calibri" w:eastAsia="Calibri" w:hAnsi="Calibri"/>
          <w:b/>
          <w:bCs/>
          <w:color w:val="0B2545"/>
          <w:sz w:val="21"/>
          <w:szCs w:val="21"/>
        </w:rPr>
        <w:t xml:space="preserve">21,2 M USD</w:t>
      </w:r>
      <w:r>
        <w:rPr>
          <w:rFonts w:ascii="Calibri" w:cs="Calibri" w:eastAsia="Calibri" w:hAnsi="Calibri"/>
          <w:color w:val="1F2937"/>
          <w:sz w:val="21"/>
          <w:szCs w:val="21"/>
        </w:rPr>
        <w:t xml:space="preserve"> sur 7 ans et à 35 % par des fonds propres de </w:t>
      </w:r>
      <w:r>
        <w:rPr>
          <w:rFonts w:ascii="Calibri" w:cs="Calibri" w:eastAsia="Calibri" w:hAnsi="Calibri"/>
          <w:b/>
          <w:bCs/>
          <w:color w:val="0B2545"/>
          <w:sz w:val="21"/>
          <w:szCs w:val="21"/>
        </w:rPr>
        <w:t xml:space="preserve">11,4 M USD</w:t>
      </w:r>
      <w:r>
        <w:rPr>
          <w:rFonts w:ascii="Calibri" w:cs="Calibri" w:eastAsia="Calibri" w:hAnsi="Calibri"/>
          <w:color w:val="1F2937"/>
          <w:sz w:val="21"/>
          <w:szCs w:val="21"/>
        </w:rPr>
        <w:t xml:space="preserve">. Le service de la dette est couvert en moyenne 1,60x sur la durée du prêt dans le cas de base, au-dessus du seuil de 1,30x usuellement exigé par les prêteurs pour un actif de ce profil.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C8962E" w:sz="36"/>
              <w:bottom w:val="none" w:color="FFFFFF" w:sz="0"/>
              <w:right w:val="none" w:color="FFFFFF" w:sz="0"/>
            </w:tcBorders>
            <w:shd w:fill="FBF4E6" w:color="auto" w:val="clear"/>
            <w:tcMar>
              <w:top w:type="dxa" w:w="140"/>
              <w:left w:type="dxa" w:w="240"/>
              <w:bottom w:type="dxa" w:w="140"/>
              <w:right w:type="dxa" w:w="200"/>
            </w:tcMar>
          </w:tcPr>
          <w:p>
            <w:pPr>
              <w:spacing w:after="60"/>
            </w:pPr>
            <w:r>
              <w:rPr>
                <w:rFonts w:ascii="Calibri" w:cs="Calibri" w:eastAsia="Calibri" w:hAnsi="Calibri"/>
                <w:b/>
                <w:bCs/>
                <w:color w:val="0B2545"/>
                <w:spacing w:val="20"/>
                <w:sz w:val="18"/>
                <w:szCs w:val="18"/>
              </w:rPr>
              <w:t xml:space="preserve">THÈSE D’INVESTISSEMENT</w:t>
            </w:r>
          </w:p>
          <w:p>
            <w:pPr>
              <w:spacing w:after="40" w:line="264"/>
              <w:jc w:val="both"/>
            </w:pPr>
            <w:r>
              <w:rPr>
                <w:rFonts w:ascii="Calibri" w:cs="Calibri" w:eastAsia="Calibri" w:hAnsi="Calibri"/>
                <w:color w:val="1F2937"/>
                <w:sz w:val="20"/>
                <w:szCs w:val="20"/>
              </w:rPr>
              <w:t xml:space="preserve">Le projet est </w:t>
            </w:r>
            <w:r>
              <w:rPr>
                <w:rFonts w:ascii="Calibri" w:cs="Calibri" w:eastAsia="Calibri" w:hAnsi="Calibri"/>
                <w:b/>
                <w:bCs/>
                <w:color w:val="0B2545"/>
                <w:sz w:val="20"/>
                <w:szCs w:val="20"/>
              </w:rPr>
              <w:t xml:space="preserve">bancable sous quatre protections contractuelles</w:t>
            </w:r>
            <w:r>
              <w:rPr>
                <w:rFonts w:ascii="Calibri" w:cs="Calibri" w:eastAsia="Calibri" w:hAnsi="Calibri"/>
                <w:color w:val="1F2937"/>
                <w:sz w:val="20"/>
                <w:szCs w:val="20"/>
              </w:rPr>
              <w:t xml:space="preserve"> : volume minimum garanti (take-or-pay), indexation du carburant, responsabilité du client sur l’état de la route et mécanisme de paiement sécurisé (cession de créances et compte séquestre). La valeur ne réside pas dans la flotte elle-même, mais dans le </w:t>
            </w:r>
            <w:r>
              <w:rPr>
                <w:rFonts w:ascii="Calibri" w:cs="Calibri" w:eastAsia="Calibri" w:hAnsi="Calibri"/>
                <w:b/>
                <w:bCs/>
                <w:color w:val="0B2545"/>
                <w:sz w:val="20"/>
                <w:szCs w:val="20"/>
              </w:rPr>
              <w:t xml:space="preserve">droit contractuel de transporter un volume rentable pendant une durée au moins égale à celle de la dette</w:t>
            </w:r>
            <w:r>
              <w:rPr>
                <w:rFonts w:ascii="Calibri" w:cs="Calibri" w:eastAsia="Calibri" w:hAnsi="Calibri"/>
                <w:color w:val="1F2937"/>
                <w:sz w:val="20"/>
                <w:szCs w:val="20"/>
              </w:rPr>
              <w:t xml:space="preserve">.</w:t>
            </w:r>
          </w:p>
        </w:tc>
      </w:tr>
    </w:tbl>
    <w:p>
      <w:pPr>
        <w:spacing w:after="18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3638"/>
        <w:gridCol w:w="3000"/>
      </w:tblGrid>
      <w:tr>
        <w:trPr>
          <w:tblHeader/>
        </w:trPr>
        <w:tc>
          <w:tcPr>
            <w:tcW w:type="dxa" w:w="3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Critère de décision</w:t>
            </w:r>
          </w:p>
        </w:tc>
        <w:tc>
          <w:tcPr>
            <w:tcW w:type="dxa" w:w="36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Seuil recommandé</w:t>
            </w:r>
          </w:p>
        </w:tc>
        <w:tc>
          <w:tcPr>
            <w:tcW w:type="dxa" w:w="3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Cas de base</w:t>
            </w:r>
          </w:p>
        </w:tc>
      </w:tr>
      <w:tr>
        <w:trPr>
          <w:cantSplit/>
        </w:trPr>
        <w:tc>
          <w:tcPr>
            <w:tcW w:type="dxa" w:w="3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Durée ferme du contrat</w:t>
            </w:r>
          </w:p>
        </w:tc>
        <w:tc>
          <w:tcPr>
            <w:tcW w:type="dxa" w:w="3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 7 ans (durée de la dette) ; 5 ans minimum avec clause de reprise de dette</w:t>
            </w:r>
          </w:p>
        </w:tc>
        <w:tc>
          <w:tcPr>
            <w:tcW w:type="dxa" w:w="3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7 ans modélisés</w:t>
            </w:r>
          </w:p>
        </w:tc>
      </w:tr>
      <w:tr>
        <w:trPr>
          <w:cantSplit/>
        </w:trPr>
        <w:tc>
          <w:tcPr>
            <w:tcW w:type="dxa" w:w="3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Volume annuel garanti (take-or-pay)</w:t>
            </w:r>
          </w:p>
        </w:tc>
        <w:tc>
          <w:tcPr>
            <w:tcW w:type="dxa" w:w="3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 3,38 Mt/an en régime (DSCR 1,30x)</w:t>
            </w:r>
          </w:p>
        </w:tc>
        <w:tc>
          <w:tcPr>
            <w:tcW w:type="dxa" w:w="3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3,55 Mt en A2 puis 3,90 Mt</w:t>
            </w:r>
          </w:p>
        </w:tc>
      </w:tr>
      <w:tr>
        <w:trPr>
          <w:cantSplit/>
        </w:trPr>
        <w:tc>
          <w:tcPr>
            <w:tcW w:type="dxa" w:w="3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Tarif contractuel plancher</w:t>
            </w:r>
          </w:p>
        </w:tc>
        <w:tc>
          <w:tcPr>
            <w:tcW w:type="dxa" w:w="3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 6,55 USD/t en A1, indexé (DSCR 1,30x)</w:t>
            </w:r>
          </w:p>
        </w:tc>
        <w:tc>
          <w:tcPr>
            <w:tcW w:type="dxa" w:w="3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7,10 USD/t en A1, indexé 2 %/an</w:t>
            </w:r>
          </w:p>
        </w:tc>
      </w:tr>
      <w:tr>
        <w:trPr>
          <w:cantSplit/>
        </w:trPr>
        <w:tc>
          <w:tcPr>
            <w:tcW w:type="dxa" w:w="3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Indexation carburant</w:t>
            </w:r>
          </w:p>
        </w:tc>
        <w:tc>
          <w:tcPr>
            <w:tcW w:type="dxa" w:w="3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Mensuelle, ou carburant fourni par le client</w:t>
            </w:r>
          </w:p>
        </w:tc>
        <w:tc>
          <w:tcPr>
            <w:tcW w:type="dxa" w:w="3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Clause obligatoire</w:t>
            </w:r>
          </w:p>
        </w:tc>
      </w:tr>
      <w:tr>
        <w:trPr>
          <w:cantSplit/>
        </w:trPr>
        <w:tc>
          <w:tcPr>
            <w:tcW w:type="dxa" w:w="3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Délai de paiement</w:t>
            </w:r>
          </w:p>
        </w:tc>
        <w:tc>
          <w:tcPr>
            <w:tcW w:type="dxa" w:w="3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30 jours maximum, compte séquestre</w:t>
            </w:r>
          </w:p>
        </w:tc>
        <w:tc>
          <w:tcPr>
            <w:tcW w:type="dxa" w:w="3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30 jours modélisés</w:t>
            </w:r>
          </w:p>
        </w:tc>
      </w:tr>
      <w:tr>
        <w:trPr>
          <w:cantSplit/>
        </w:trPr>
        <w:tc>
          <w:tcPr>
            <w:tcW w:type="dxa" w:w="3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Apport des promoteurs</w:t>
            </w:r>
          </w:p>
        </w:tc>
        <w:tc>
          <w:tcPr>
            <w:tcW w:type="dxa" w:w="3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 35 % du coût total, avant tout tirage</w:t>
            </w:r>
          </w:p>
        </w:tc>
        <w:tc>
          <w:tcPr>
            <w:tcW w:type="dxa" w:w="3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11,4 M USD</w:t>
            </w:r>
          </w:p>
        </w:tc>
      </w:tr>
    </w:tbl>
    <w:p>
      <w:pPr>
        <w:spacing w:after="180"/>
      </w:pPr>
    </w:p>
    <w:p>
      <w:pPr>
        <w:pStyle w:val="Heading1"/>
        <w:keepNext/>
        <w:pageBreakBefore/>
        <w:pBdr>
          <w:bottom w:val="single" w:color="C8962E" w:sz="12" w:space="6"/>
        </w:pBdr>
        <w:spacing w:after="80" w:before="0"/>
      </w:pPr>
      <w:r>
        <w:rPr>
          <w:rFonts w:ascii="Calibri" w:cs="Calibri" w:eastAsia="Calibri" w:hAnsi="Calibri"/>
          <w:b/>
          <w:bCs/>
          <w:color w:val="C8962E"/>
          <w:sz w:val="40"/>
          <w:szCs w:val="40"/>
        </w:rPr>
        <w:t xml:space="preserve">02  </w:t>
      </w:r>
      <w:r>
        <w:rPr>
          <w:rFonts w:ascii="Calibri" w:cs="Calibri" w:eastAsia="Calibri" w:hAnsi="Calibri"/>
          <w:b/>
          <w:bCs/>
          <w:color w:val="0B2545"/>
          <w:sz w:val="32"/>
          <w:szCs w:val="32"/>
        </w:rPr>
        <w:t xml:space="preserve">PRÉSENTATION DU PROJET ET DU PROMOTEUR</w:t>
      </w:r>
    </w:p>
    <w:p>
      <w:pPr>
        <w:spacing w:after="160"/>
      </w:pPr>
    </w:p>
    <w:p>
      <w:pPr>
        <w:pStyle w:val="Heading2"/>
        <w:keepNext/>
        <w:spacing w:after="100" w:before="240"/>
      </w:pPr>
      <w:r>
        <w:rPr>
          <w:rFonts w:ascii="Calibri" w:cs="Calibri" w:eastAsia="Calibri" w:hAnsi="Calibri"/>
          <w:b/>
          <w:bCs/>
          <w:color w:val="C8962E"/>
          <w:sz w:val="25"/>
          <w:szCs w:val="25"/>
        </w:rPr>
        <w:t xml:space="preserve">2.1  </w:t>
      </w:r>
      <w:r>
        <w:rPr>
          <w:rFonts w:ascii="Calibri" w:cs="Calibri" w:eastAsia="Calibri" w:hAnsi="Calibri"/>
          <w:b/>
          <w:bCs/>
          <w:color w:val="1F4E9E"/>
          <w:sz w:val="25"/>
          <w:szCs w:val="25"/>
        </w:rPr>
        <w:t xml:space="preserve">Objet et proposition de valeur</w:t>
      </w:r>
    </w:p>
    <w:p>
      <w:pPr>
        <w:spacing w:after="120" w:before="0" w:line="276"/>
        <w:jc w:val="both"/>
      </w:pPr>
      <w:r>
        <w:rPr>
          <w:rFonts w:ascii="Calibri" w:cs="Calibri" w:eastAsia="Calibri" w:hAnsi="Calibri"/>
          <w:color w:val="1F2937"/>
          <w:sz w:val="21"/>
          <w:szCs w:val="21"/>
        </w:rPr>
        <w:t xml:space="preserve">La société fournira un </w:t>
      </w:r>
      <w:r>
        <w:rPr>
          <w:rFonts w:ascii="Calibri" w:cs="Calibri" w:eastAsia="Calibri" w:hAnsi="Calibri"/>
          <w:b/>
          <w:bCs/>
          <w:color w:val="0B2545"/>
          <w:sz w:val="21"/>
          <w:szCs w:val="21"/>
        </w:rPr>
        <w:t xml:space="preserve">service de transport minier facturé à la tonne</w:t>
      </w:r>
      <w:r>
        <w:rPr>
          <w:rFonts w:ascii="Calibri" w:cs="Calibri" w:eastAsia="Calibri" w:hAnsi="Calibri"/>
          <w:color w:val="1F2937"/>
          <w:sz w:val="21"/>
          <w:szCs w:val="21"/>
        </w:rPr>
        <w:t xml:space="preserve">, incluant les véhicules, les chauffeurs, le carburant, la maintenance, les pneumatiques, la supervision, le suivi GPS, la sécurité, l’assurance et le reporting. Le client minier conserve la responsabilité du chargement, du déchargement, de la disponibilité de la route et des autorisations d’accès au site, sauf stipulation contraire.</w:t>
      </w:r>
    </w:p>
    <w:p>
      <w:pPr>
        <w:pStyle w:val="Heading2"/>
        <w:keepNext/>
        <w:spacing w:after="100" w:before="240"/>
      </w:pPr>
      <w:r>
        <w:rPr>
          <w:rFonts w:ascii="Calibri" w:cs="Calibri" w:eastAsia="Calibri" w:hAnsi="Calibri"/>
          <w:b/>
          <w:bCs/>
          <w:color w:val="C8962E"/>
          <w:sz w:val="25"/>
          <w:szCs w:val="25"/>
        </w:rPr>
        <w:t xml:space="preserve">2.2  </w:t>
      </w:r>
      <w:r>
        <w:rPr>
          <w:rFonts w:ascii="Calibri" w:cs="Calibri" w:eastAsia="Calibri" w:hAnsi="Calibri"/>
          <w:b/>
          <w:bCs/>
          <w:color w:val="1F4E9E"/>
          <w:sz w:val="25"/>
          <w:szCs w:val="25"/>
        </w:rPr>
        <w:t xml:space="preserve">Périmètre des services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4238"/>
        <w:gridCol w:w="2700"/>
      </w:tblGrid>
      <w:tr>
        <w:trPr>
          <w:tblHeader/>
        </w:trPr>
        <w:tc>
          <w:tcPr>
            <w:tcW w:type="dxa" w:w="27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Service</w:t>
            </w:r>
          </w:p>
        </w:tc>
        <w:tc>
          <w:tcPr>
            <w:tcW w:type="dxa" w:w="42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Description</w:t>
            </w:r>
          </w:p>
        </w:tc>
        <w:tc>
          <w:tcPr>
            <w:tcW w:type="dxa" w:w="27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Facturation</w:t>
            </w:r>
          </w:p>
        </w:tc>
      </w:tr>
      <w:tr>
        <w:trPr>
          <w:cantSplit/>
        </w:trPr>
        <w:tc>
          <w:tcPr>
            <w:tcW w:type="dxa" w:w="27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Transport principal de bauxite</w:t>
            </w:r>
          </w:p>
        </w:tc>
        <w:tc>
          <w:tcPr>
            <w:tcW w:type="dxa" w:w="42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Mine vers stock, concasseur, port ou point de transfert</w:t>
            </w:r>
          </w:p>
        </w:tc>
        <w:tc>
          <w:tcPr>
            <w:tcW w:type="dxa" w:w="27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USD par tonne validée</w:t>
            </w:r>
          </w:p>
        </w:tc>
      </w:tr>
      <w:tr>
        <w:trPr>
          <w:cantSplit/>
        </w:trPr>
        <w:tc>
          <w:tcPr>
            <w:tcW w:type="dxa" w:w="27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Transport interne de site</w:t>
            </w:r>
          </w:p>
        </w:tc>
        <w:tc>
          <w:tcPr>
            <w:tcW w:type="dxa" w:w="42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Mouvements entre fosse, ROM pad, concasseur et stock</w:t>
            </w:r>
          </w:p>
        </w:tc>
        <w:tc>
          <w:tcPr>
            <w:tcW w:type="dxa" w:w="27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USD par heure ou par tonne</w:t>
            </w:r>
          </w:p>
        </w:tc>
      </w:tr>
      <w:tr>
        <w:trPr>
          <w:cantSplit/>
        </w:trPr>
        <w:tc>
          <w:tcPr>
            <w:tcW w:type="dxa" w:w="27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Transport de matériaux</w:t>
            </w:r>
          </w:p>
        </w:tc>
        <w:tc>
          <w:tcPr>
            <w:tcW w:type="dxa" w:w="42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Latérite, stériles, agrégats, matériaux de route</w:t>
            </w:r>
          </w:p>
        </w:tc>
        <w:tc>
          <w:tcPr>
            <w:tcW w:type="dxa" w:w="27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USD par tonne-kilomètre</w:t>
            </w:r>
          </w:p>
        </w:tc>
      </w:tr>
      <w:tr>
        <w:trPr>
          <w:cantSplit/>
        </w:trPr>
        <w:tc>
          <w:tcPr>
            <w:tcW w:type="dxa" w:w="27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Mise à disposition de flotte</w:t>
            </w:r>
          </w:p>
        </w:tc>
        <w:tc>
          <w:tcPr>
            <w:tcW w:type="dxa" w:w="42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Camions avec chauffeurs et maintenance</w:t>
            </w:r>
          </w:p>
        </w:tc>
        <w:tc>
          <w:tcPr>
            <w:tcW w:type="dxa" w:w="27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USD par camion-jour</w:t>
            </w:r>
          </w:p>
        </w:tc>
      </w:tr>
      <w:tr>
        <w:trPr>
          <w:cantSplit/>
        </w:trPr>
        <w:tc>
          <w:tcPr>
            <w:tcW w:type="dxa" w:w="27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Prestations complémentaires</w:t>
            </w:r>
          </w:p>
        </w:tc>
        <w:tc>
          <w:tcPr>
            <w:tcW w:type="dxa" w:w="42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Dépannage, gestion de flotte, reporting, formation à la conduite</w:t>
            </w:r>
          </w:p>
        </w:tc>
        <w:tc>
          <w:tcPr>
            <w:tcW w:type="dxa" w:w="27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Forfait ou coût remboursable</w:t>
            </w:r>
          </w:p>
        </w:tc>
      </w:tr>
    </w:tbl>
    <w:p>
      <w:pPr>
        <w:spacing w:after="180"/>
      </w:pPr>
    </w:p>
    <w:p>
      <w:pPr>
        <w:pStyle w:val="Heading2"/>
        <w:keepNext/>
        <w:spacing w:after="100" w:before="240"/>
      </w:pPr>
      <w:r>
        <w:rPr>
          <w:rFonts w:ascii="Calibri" w:cs="Calibri" w:eastAsia="Calibri" w:hAnsi="Calibri"/>
          <w:b/>
          <w:bCs/>
          <w:color w:val="C8962E"/>
          <w:sz w:val="25"/>
          <w:szCs w:val="25"/>
        </w:rPr>
        <w:t xml:space="preserve">2.3  </w:t>
      </w:r>
      <w:r>
        <w:rPr>
          <w:rFonts w:ascii="Calibri" w:cs="Calibri" w:eastAsia="Calibri" w:hAnsi="Calibri"/>
          <w:b/>
          <w:bCs/>
          <w:color w:val="1F4E9E"/>
          <w:sz w:val="25"/>
          <w:szCs w:val="25"/>
        </w:rPr>
        <w:t xml:space="preserve">Positionnement</w:t>
      </w:r>
    </w:p>
    <w:p>
      <w:pPr>
        <w:spacing w:after="120" w:before="0" w:line="276"/>
        <w:jc w:val="both"/>
      </w:pPr>
      <w:r>
        <w:rPr>
          <w:rFonts w:ascii="Calibri" w:cs="Calibri" w:eastAsia="Calibri" w:hAnsi="Calibri"/>
          <w:color w:val="1F2937"/>
          <w:sz w:val="21"/>
          <w:szCs w:val="21"/>
        </w:rPr>
        <w:t xml:space="preserve">Le positionnement retenu est celui d’un </w:t>
      </w:r>
      <w:r>
        <w:rPr>
          <w:rFonts w:ascii="Calibri" w:cs="Calibri" w:eastAsia="Calibri" w:hAnsi="Calibri"/>
          <w:b/>
          <w:bCs/>
          <w:color w:val="0B2545"/>
          <w:sz w:val="21"/>
          <w:szCs w:val="21"/>
        </w:rPr>
        <w:t xml:space="preserve">opérateur local structuré selon les standards miniers internationaux</w:t>
      </w:r>
      <w:r>
        <w:rPr>
          <w:rFonts w:ascii="Calibri" w:cs="Calibri" w:eastAsia="Calibri" w:hAnsi="Calibri"/>
          <w:color w:val="1F2937"/>
          <w:sz w:val="21"/>
          <w:szCs w:val="21"/>
        </w:rPr>
        <w:t xml:space="preserve"> : forte disponibilité mécanique, contrôle des consommations, prévention de la fatigue, traçabilité des tonnages, discipline de maintenance et production continue. Ce positionnement est plus défendable qu’une simple location de camions, car il permet de vendre une performance mesurable et contractualisée.</w:t>
      </w:r>
    </w:p>
    <w:p>
      <w:pPr>
        <w:pStyle w:val="Heading2"/>
        <w:keepNext/>
        <w:spacing w:after="100" w:before="240"/>
      </w:pPr>
      <w:r>
        <w:rPr>
          <w:rFonts w:ascii="Calibri" w:cs="Calibri" w:eastAsia="Calibri" w:hAnsi="Calibri"/>
          <w:b/>
          <w:bCs/>
          <w:color w:val="C8962E"/>
          <w:sz w:val="25"/>
          <w:szCs w:val="25"/>
        </w:rPr>
        <w:t xml:space="preserve">2.4  </w:t>
      </w:r>
      <w:r>
        <w:rPr>
          <w:rFonts w:ascii="Calibri" w:cs="Calibri" w:eastAsia="Calibri" w:hAnsi="Calibri"/>
          <w:b/>
          <w:bCs/>
          <w:color w:val="1F4E9E"/>
          <w:sz w:val="25"/>
          <w:szCs w:val="25"/>
        </w:rPr>
        <w:t xml:space="preserve">Implantation</w:t>
      </w:r>
    </w:p>
    <w:p>
      <w:pPr>
        <w:spacing w:after="120" w:before="0" w:line="276"/>
        <w:jc w:val="both"/>
      </w:pPr>
      <w:r>
        <w:rPr>
          <w:rFonts w:ascii="Calibri" w:cs="Calibri" w:eastAsia="Calibri" w:hAnsi="Calibri"/>
          <w:color w:val="1F2937"/>
          <w:sz w:val="21"/>
          <w:szCs w:val="21"/>
        </w:rPr>
        <w:t xml:space="preserve">Le corridor Boké–Boffa est la zone prioritaire, en raison de la concentration des opérateurs bauxitiques et des infrastructures portuaires. La localisation définitive du dépôt sera arrêtée après analyse multicritère : distance au client, accès au carburant, disponibilité foncière, sécurité, drainage, proximité des pièces et acceptabilité communautaire.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C8962E" w:sz="36"/>
              <w:bottom w:val="none" w:color="FFFFFF" w:sz="0"/>
              <w:right w:val="none" w:color="FFFFFF" w:sz="0"/>
            </w:tcBorders>
            <w:shd w:fill="FBF4E6" w:color="auto" w:val="clear"/>
            <w:tcMar>
              <w:top w:type="dxa" w:w="140"/>
              <w:left w:type="dxa" w:w="240"/>
              <w:bottom w:type="dxa" w:w="140"/>
              <w:right w:type="dxa" w:w="200"/>
            </w:tcMar>
          </w:tcPr>
          <w:p>
            <w:pPr>
              <w:spacing w:after="60"/>
            </w:pPr>
            <w:r>
              <w:rPr>
                <w:rFonts w:ascii="Calibri" w:cs="Calibri" w:eastAsia="Calibri" w:hAnsi="Calibri"/>
                <w:b/>
                <w:bCs/>
                <w:color w:val="0B2545"/>
                <w:spacing w:val="20"/>
                <w:sz w:val="18"/>
                <w:szCs w:val="18"/>
              </w:rPr>
              <w:t xml:space="preserve">CHOIX DE MARCHÉ</w:t>
            </w:r>
          </w:p>
          <w:p>
            <w:pPr>
              <w:spacing w:after="40" w:line="264"/>
              <w:jc w:val="both"/>
            </w:pPr>
            <w:r>
              <w:rPr>
                <w:rFonts w:ascii="Calibri" w:cs="Calibri" w:eastAsia="Calibri" w:hAnsi="Calibri"/>
                <w:color w:val="1F2937"/>
                <w:sz w:val="20"/>
                <w:szCs w:val="20"/>
              </w:rPr>
              <w:t xml:space="preserve">Le transport du minerai de fer de Simandou repose sur l’infrastructure ferroviaire transguinéenne. Le projet vise donc en priorité la bauxite, les mouvements internes de mine, les matériaux de construction et les services de soutien, plutôt qu’un transport routier longue distance du minerai de fer.</w:t>
            </w:r>
          </w:p>
        </w:tc>
      </w:tr>
    </w:tbl>
    <w:p>
      <w:pPr>
        <w:spacing w:after="180"/>
      </w:pPr>
    </w:p>
    <w:p>
      <w:pPr>
        <w:pStyle w:val="Heading2"/>
        <w:keepNext/>
        <w:spacing w:after="100" w:before="240"/>
      </w:pPr>
      <w:r>
        <w:rPr>
          <w:rFonts w:ascii="Calibri" w:cs="Calibri" w:eastAsia="Calibri" w:hAnsi="Calibri"/>
          <w:b/>
          <w:bCs/>
          <w:color w:val="C8962E"/>
          <w:sz w:val="25"/>
          <w:szCs w:val="25"/>
        </w:rPr>
        <w:t xml:space="preserve">2.5  </w:t>
      </w:r>
      <w:r>
        <w:rPr>
          <w:rFonts w:ascii="Calibri" w:cs="Calibri" w:eastAsia="Calibri" w:hAnsi="Calibri"/>
          <w:b/>
          <w:bCs/>
          <w:color w:val="1F4E9E"/>
          <w:sz w:val="25"/>
          <w:szCs w:val="25"/>
        </w:rPr>
        <w:t xml:space="preserve">Promoteur et capacité de mise en œuvre</w:t>
      </w:r>
    </w:p>
    <w:p>
      <w:pPr>
        <w:spacing w:after="120" w:before="0" w:line="276"/>
        <w:jc w:val="both"/>
      </w:pPr>
      <w:r>
        <w:rPr>
          <w:rFonts w:ascii="Calibri" w:cs="Calibri" w:eastAsia="Calibri" w:hAnsi="Calibri"/>
          <w:color w:val="1F2937"/>
          <w:sz w:val="21"/>
          <w:szCs w:val="21"/>
        </w:rPr>
        <w:t xml:space="preserve">Le projet est porté par </w:t>
      </w:r>
      <w:r>
        <w:rPr>
          <w:rFonts w:ascii="Calibri" w:cs="Calibri" w:eastAsia="Calibri" w:hAnsi="Calibri"/>
          <w:b/>
          <w:bCs/>
          <w:color w:val="0B2545"/>
          <w:sz w:val="21"/>
          <w:szCs w:val="21"/>
        </w:rPr>
        <w:t xml:space="preserve">ALPHA B HANOK SARL</w:t>
      </w:r>
      <w:r>
        <w:rPr>
          <w:rFonts w:ascii="Calibri" w:cs="Calibri" w:eastAsia="Calibri" w:hAnsi="Calibri"/>
          <w:color w:val="1F2937"/>
          <w:sz w:val="21"/>
          <w:szCs w:val="21"/>
        </w:rPr>
        <w:t xml:space="preserve">, société guinéenne active dans la construction (BTP), la consultation, le négoce et le commerce général. Ce positionnement apporte une connaissance du tissu économique local, des chantiers et des circuits d’approvisionnement.</w:t>
      </w:r>
    </w:p>
    <w:p>
      <w:pPr>
        <w:spacing w:after="120" w:before="0" w:line="276"/>
        <w:jc w:val="both"/>
      </w:pPr>
      <w:r>
        <w:rPr>
          <w:rFonts w:ascii="Calibri" w:cs="Calibri" w:eastAsia="Calibri" w:hAnsi="Calibri"/>
          <w:color w:val="1F2937"/>
          <w:sz w:val="21"/>
          <w:szCs w:val="21"/>
        </w:rPr>
        <w:t xml:space="preserve">Les prêteurs internationaux évaluent en priorité </w:t>
      </w:r>
      <w:r>
        <w:rPr>
          <w:rFonts w:ascii="Calibri" w:cs="Calibri" w:eastAsia="Calibri" w:hAnsi="Calibri"/>
          <w:b/>
          <w:bCs/>
          <w:color w:val="0B2545"/>
          <w:sz w:val="21"/>
          <w:szCs w:val="21"/>
        </w:rPr>
        <w:t xml:space="preserve">l’expérience opérationnelle du sponsor dans le transport minier</w:t>
      </w:r>
      <w:r>
        <w:rPr>
          <w:rFonts w:ascii="Calibri" w:cs="Calibri" w:eastAsia="Calibri" w:hAnsi="Calibri"/>
          <w:color w:val="1F2937"/>
          <w:sz w:val="21"/>
          <w:szCs w:val="21"/>
        </w:rPr>
        <w:t xml:space="preserve">. Pour sécuriser ce point, le plan retient les mesures suivantes :</w:t>
      </w:r>
    </w:p>
    <w:p>
      <w:pPr>
        <w:pStyle w:val="ListParagraph"/>
        <w:numPr>
          <w:ilvl w:val="0"/>
          <w:numId w:val="2"/>
        </w:numPr>
        <w:spacing w:after="60" w:line="264"/>
        <w:jc w:val="left"/>
      </w:pPr>
      <w:r>
        <w:rPr>
          <w:rFonts w:ascii="Calibri" w:cs="Calibri" w:eastAsia="Calibri" w:hAnsi="Calibri"/>
          <w:color w:val="1F2937"/>
          <w:sz w:val="21"/>
          <w:szCs w:val="21"/>
        </w:rPr>
        <w:t xml:space="preserve">recrutement d’un directeur général et d’un directeur technique justifiant chacun d’au moins 10 ans d’expérience en gestion de flottes minières ;</w:t>
      </w:r>
    </w:p>
    <w:p>
      <w:pPr>
        <w:pStyle w:val="ListParagraph"/>
        <w:numPr>
          <w:ilvl w:val="0"/>
          <w:numId w:val="2"/>
        </w:numPr>
        <w:spacing w:after="60" w:line="264"/>
        <w:jc w:val="left"/>
      </w:pPr>
      <w:r>
        <w:rPr>
          <w:rFonts w:ascii="Calibri" w:cs="Calibri" w:eastAsia="Calibri" w:hAnsi="Calibri"/>
          <w:color w:val="1F2937"/>
          <w:sz w:val="21"/>
          <w:szCs w:val="21"/>
        </w:rPr>
        <w:t xml:space="preserve">contrat de maintenance et d’assistance technique avec le constructeur (OEM) pendant les 24 premiers mois, avec techniciens résidents ;</w:t>
      </w:r>
    </w:p>
    <w:p>
      <w:pPr>
        <w:pStyle w:val="ListParagraph"/>
        <w:numPr>
          <w:ilvl w:val="0"/>
          <w:numId w:val="2"/>
        </w:numPr>
        <w:spacing w:after="60" w:line="264"/>
        <w:jc w:val="left"/>
      </w:pPr>
      <w:r>
        <w:rPr>
          <w:rFonts w:ascii="Calibri" w:cs="Calibri" w:eastAsia="Calibri" w:hAnsi="Calibri"/>
          <w:color w:val="1F2937"/>
          <w:sz w:val="21"/>
          <w:szCs w:val="21"/>
        </w:rPr>
        <w:t xml:space="preserve">ouverture possible du capital à un partenaire technique minoritaire disposant de références en Afrique de l’Ouest ;</w:t>
      </w:r>
    </w:p>
    <w:p>
      <w:pPr>
        <w:pStyle w:val="ListParagraph"/>
        <w:numPr>
          <w:ilvl w:val="0"/>
          <w:numId w:val="2"/>
        </w:numPr>
        <w:spacing w:after="60" w:line="264"/>
        <w:jc w:val="left"/>
      </w:pPr>
      <w:r>
        <w:rPr>
          <w:rFonts w:ascii="Calibri" w:cs="Calibri" w:eastAsia="Calibri" w:hAnsi="Calibri"/>
          <w:color w:val="1F2937"/>
          <w:sz w:val="21"/>
          <w:szCs w:val="21"/>
        </w:rPr>
        <w:t xml:space="preserve">constitution d’un dossier sponsor complet : statuts, états financiers certifiés des 3 derniers exercices, références de chantiers, identification des bénéficiaires effectifs (KYC).</w:t>
      </w:r>
    </w:p>
    <w:p>
      <w:pPr>
        <w:pStyle w:val="Heading1"/>
        <w:keepNext/>
        <w:pageBreakBefore/>
        <w:pBdr>
          <w:bottom w:val="single" w:color="C8962E" w:sz="12" w:space="6"/>
        </w:pBdr>
        <w:spacing w:after="80" w:before="0"/>
      </w:pPr>
      <w:r>
        <w:rPr>
          <w:rFonts w:ascii="Calibri" w:cs="Calibri" w:eastAsia="Calibri" w:hAnsi="Calibri"/>
          <w:b/>
          <w:bCs/>
          <w:color w:val="C8962E"/>
          <w:sz w:val="40"/>
          <w:szCs w:val="40"/>
        </w:rPr>
        <w:t xml:space="preserve">03  </w:t>
      </w:r>
      <w:r>
        <w:rPr>
          <w:rFonts w:ascii="Calibri" w:cs="Calibri" w:eastAsia="Calibri" w:hAnsi="Calibri"/>
          <w:b/>
          <w:bCs/>
          <w:color w:val="0B2545"/>
          <w:sz w:val="32"/>
          <w:szCs w:val="32"/>
        </w:rPr>
        <w:t xml:space="preserve">ANALYSE DU MARCHÉ MINIER GUINÉEN</w:t>
      </w:r>
    </w:p>
    <w:p>
      <w:pPr>
        <w:spacing w:after="160"/>
      </w:pPr>
    </w:p>
    <w:p>
      <w:pPr>
        <w:pStyle w:val="Heading2"/>
        <w:keepNext/>
        <w:spacing w:after="100" w:before="240"/>
      </w:pPr>
      <w:r>
        <w:rPr>
          <w:rFonts w:ascii="Calibri" w:cs="Calibri" w:eastAsia="Calibri" w:hAnsi="Calibri"/>
          <w:b/>
          <w:bCs/>
          <w:color w:val="C8962E"/>
          <w:sz w:val="25"/>
          <w:szCs w:val="25"/>
        </w:rPr>
        <w:t xml:space="preserve">3.1  </w:t>
      </w:r>
      <w:r>
        <w:rPr>
          <w:rFonts w:ascii="Calibri" w:cs="Calibri" w:eastAsia="Calibri" w:hAnsi="Calibri"/>
          <w:b/>
          <w:bCs/>
          <w:color w:val="1F4E9E"/>
          <w:sz w:val="25"/>
          <w:szCs w:val="25"/>
        </w:rPr>
        <w:t xml:space="preserve">Poids économique et dynamique sectorielle</w:t>
      </w:r>
    </w:p>
    <w:p>
      <w:pPr>
        <w:spacing w:after="120" w:before="0" w:line="276"/>
        <w:jc w:val="both"/>
      </w:pPr>
      <w:r>
        <w:rPr>
          <w:rFonts w:ascii="Calibri" w:cs="Calibri" w:eastAsia="Calibri" w:hAnsi="Calibri"/>
          <w:color w:val="1F2937"/>
          <w:sz w:val="21"/>
          <w:szCs w:val="21"/>
        </w:rPr>
        <w:t xml:space="preserve">Le secteur extractif est central dans l’économie guinéenne. Selon l’ITIE, il représentait 20 % du PIB, 92 % des exportations et plus de 17 % des recettes publiques en 2022 ; pour 2023, l’ITIE indique 93 % des exportations et 22 % des recettes publiques. Cette concentration crée un marché de services important, mais expose les sous-traitants aux cycles miniers, aux décisions réglementaires et à la dépendance envers quelques grands donneurs d’ordre.</w:t>
      </w:r>
    </w:p>
    <w:p>
      <w:pPr>
        <w:spacing w:after="160"/>
      </w:pPr>
      <w:r>
        <w:rPr>
          <w:rFonts w:ascii="Calibri" w:cs="Calibri" w:eastAsia="Calibri" w:hAnsi="Calibri"/>
          <w:i/>
          <w:iCs/>
          <w:color w:val="6B7280"/>
          <w:sz w:val="16"/>
          <w:szCs w:val="16"/>
        </w:rPr>
        <w:t xml:space="preserve">Source : Initiative pour la Transparence dans les Industries Extractives, fiche pays Guinée et décision de validation 2026.</w:t>
      </w:r>
    </w:p>
    <w:p>
      <w:pPr>
        <w:keepNext/>
        <w:spacing w:after="40" w:before="80"/>
        <w:jc w:val="center"/>
      </w:pPr>
      <w:r>
        <w:drawing>
          <wp:inline distT="0" distB="0" distL="0" distR="0">
            <wp:extent cx="5905500" cy="2657475"/>
            <wp:effectExtent t="0" r="0" b="0" l="0"/>
            <wp:docPr id="1" name="fig1" descr="Production et exportations de bauxite, 2024–2025" title="Production et exportations de bauxite, 2024–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657475"/>
                    </a:xfrm>
                    <a:prstGeom prst="rect">
                      <a:avLst/>
                    </a:prstGeom>
                  </pic:spPr>
                </pic:pic>
              </a:graphicData>
            </a:graphic>
          </wp:inline>
        </w:drawing>
      </w:r>
    </w:p>
    <w:p>
      <w:pPr>
        <w:spacing w:after="0"/>
        <w:jc w:val="left"/>
      </w:pPr>
      <w:r>
        <w:rPr>
          <w:rFonts w:ascii="Calibri" w:cs="Calibri" w:eastAsia="Calibri" w:hAnsi="Calibri"/>
          <w:b/>
          <w:bCs/>
          <w:color w:val="1F4E9E"/>
          <w:sz w:val="17"/>
          <w:szCs w:val="17"/>
        </w:rPr>
        <w:t xml:space="preserve">Figure 1 — </w:t>
      </w:r>
      <w:r>
        <w:rPr>
          <w:rFonts w:ascii="Calibri" w:cs="Calibri" w:eastAsia="Calibri" w:hAnsi="Calibri"/>
          <w:i/>
          <w:iCs/>
          <w:color w:val="6B7280"/>
          <w:sz w:val="17"/>
          <w:szCs w:val="17"/>
        </w:rPr>
        <w:t xml:space="preserve">Production et exportations de bauxite, 2024–2025</w:t>
      </w:r>
    </w:p>
    <w:p>
      <w:pPr>
        <w:spacing w:after="160"/>
      </w:pPr>
      <w:r>
        <w:rPr>
          <w:rFonts w:ascii="Calibri" w:cs="Calibri" w:eastAsia="Calibri" w:hAnsi="Calibri"/>
          <w:i/>
          <w:iCs/>
          <w:color w:val="6B7280"/>
          <w:sz w:val="16"/>
          <w:szCs w:val="16"/>
        </w:rPr>
        <w:t xml:space="preserve">Source : MMG / ITIE-Guinée, Bulletin n°30.</w:t>
      </w:r>
    </w:p>
    <w:p>
      <w:pPr>
        <w:pStyle w:val="Heading2"/>
        <w:keepNext/>
        <w:spacing w:after="100" w:before="240"/>
      </w:pPr>
      <w:r>
        <w:rPr>
          <w:rFonts w:ascii="Calibri" w:cs="Calibri" w:eastAsia="Calibri" w:hAnsi="Calibri"/>
          <w:b/>
          <w:bCs/>
          <w:color w:val="C8962E"/>
          <w:sz w:val="25"/>
          <w:szCs w:val="25"/>
        </w:rPr>
        <w:t xml:space="preserve">3.2  </w:t>
      </w:r>
      <w:r>
        <w:rPr>
          <w:rFonts w:ascii="Calibri" w:cs="Calibri" w:eastAsia="Calibri" w:hAnsi="Calibri"/>
          <w:b/>
          <w:bCs/>
          <w:color w:val="1F4E9E"/>
          <w:sz w:val="25"/>
          <w:szCs w:val="25"/>
        </w:rPr>
        <w:t xml:space="preserve">Structure concurrentielle et clients cibles</w:t>
      </w:r>
    </w:p>
    <w:p>
      <w:pPr>
        <w:spacing w:after="120" w:before="0" w:line="276"/>
        <w:jc w:val="both"/>
      </w:pPr>
      <w:r>
        <w:rPr>
          <w:rFonts w:ascii="Calibri" w:cs="Calibri" w:eastAsia="Calibri" w:hAnsi="Calibri"/>
          <w:color w:val="1F2937"/>
          <w:sz w:val="21"/>
          <w:szCs w:val="21"/>
        </w:rPr>
        <w:t xml:space="preserve">Les exportations de 2025 sont concentrées autour de quelques opérateurs majeurs : </w:t>
      </w:r>
      <w:r>
        <w:rPr>
          <w:rFonts w:ascii="Calibri" w:cs="Calibri" w:eastAsia="Calibri" w:hAnsi="Calibri"/>
          <w:b/>
          <w:bCs/>
          <w:color w:val="0B2545"/>
          <w:sz w:val="21"/>
          <w:szCs w:val="21"/>
        </w:rPr>
        <w:t xml:space="preserve">SMB (71,52 Mt), CHALCO (22,12 Mt), CBG (17,37 Mt) et AGB2A SDM (17,01 Mt)</w:t>
      </w:r>
      <w:r>
        <w:rPr>
          <w:rFonts w:ascii="Calibri" w:cs="Calibri" w:eastAsia="Calibri" w:hAnsi="Calibri"/>
          <w:color w:val="1F2937"/>
          <w:sz w:val="21"/>
          <w:szCs w:val="21"/>
        </w:rPr>
        <w:t xml:space="preserve">. Les cibles commerciales seront priorisées selon la maturité de leur infrastructure, la distance de roulage, leur politique de sous-traitance, leur qualité de paiement et leur disposition à signer des contrats pluriannuels.</w:t>
      </w:r>
    </w:p>
    <w:p>
      <w:pPr>
        <w:keepNext/>
        <w:spacing w:after="40" w:before="80"/>
        <w:jc w:val="center"/>
      </w:pPr>
      <w:r>
        <w:drawing>
          <wp:inline distT="0" distB="0" distL="0" distR="0">
            <wp:extent cx="5905500" cy="2809875"/>
            <wp:effectExtent t="0" r="0" b="0" l="0"/>
            <wp:docPr id="1" name="fig2" descr="Principaux exportateurs de bauxite en 2025" title="Principaux exportateurs de bauxite e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09875"/>
                    </a:xfrm>
                    <a:prstGeom prst="rect">
                      <a:avLst/>
                    </a:prstGeom>
                  </pic:spPr>
                </pic:pic>
              </a:graphicData>
            </a:graphic>
          </wp:inline>
        </w:drawing>
      </w:r>
    </w:p>
    <w:p>
      <w:pPr>
        <w:spacing w:after="0"/>
        <w:jc w:val="left"/>
      </w:pPr>
      <w:r>
        <w:rPr>
          <w:rFonts w:ascii="Calibri" w:cs="Calibri" w:eastAsia="Calibri" w:hAnsi="Calibri"/>
          <w:b/>
          <w:bCs/>
          <w:color w:val="1F4E9E"/>
          <w:sz w:val="17"/>
          <w:szCs w:val="17"/>
        </w:rPr>
        <w:t xml:space="preserve">Figure 2 — </w:t>
      </w:r>
      <w:r>
        <w:rPr>
          <w:rFonts w:ascii="Calibri" w:cs="Calibri" w:eastAsia="Calibri" w:hAnsi="Calibri"/>
          <w:i/>
          <w:iCs/>
          <w:color w:val="6B7280"/>
          <w:sz w:val="17"/>
          <w:szCs w:val="17"/>
        </w:rPr>
        <w:t xml:space="preserve">Principaux exportateurs de bauxite en 2025</w:t>
      </w:r>
    </w:p>
    <w:p>
      <w:pPr>
        <w:spacing w:after="160"/>
      </w:pPr>
      <w:r>
        <w:rPr>
          <w:rFonts w:ascii="Calibri" w:cs="Calibri" w:eastAsia="Calibri" w:hAnsi="Calibri"/>
          <w:i/>
          <w:iCs/>
          <w:color w:val="6B7280"/>
          <w:sz w:val="16"/>
          <w:szCs w:val="16"/>
        </w:rPr>
        <w:t xml:space="preserve">Source : MMG / ITIE-Guinée, Bulletin n°30, tableau 2.</w:t>
      </w:r>
    </w:p>
    <w:p>
      <w:pPr>
        <w:pStyle w:val="Heading2"/>
        <w:keepNext/>
        <w:spacing w:after="100" w:before="240"/>
      </w:pPr>
      <w:r>
        <w:rPr>
          <w:rFonts w:ascii="Calibri" w:cs="Calibri" w:eastAsia="Calibri" w:hAnsi="Calibri"/>
          <w:b/>
          <w:bCs/>
          <w:color w:val="C8962E"/>
          <w:sz w:val="25"/>
          <w:szCs w:val="25"/>
        </w:rPr>
        <w:t xml:space="preserve">3.3  </w:t>
      </w:r>
      <w:r>
        <w:rPr>
          <w:rFonts w:ascii="Calibri" w:cs="Calibri" w:eastAsia="Calibri" w:hAnsi="Calibri"/>
          <w:b/>
          <w:bCs/>
          <w:color w:val="1F4E9E"/>
          <w:sz w:val="25"/>
          <w:szCs w:val="25"/>
        </w:rPr>
        <w:t xml:space="preserve">Saisonnalité et contraintes physiques</w:t>
      </w:r>
    </w:p>
    <w:p>
      <w:pPr>
        <w:spacing w:after="120" w:before="0" w:line="276"/>
        <w:jc w:val="both"/>
      </w:pPr>
      <w:r>
        <w:rPr>
          <w:rFonts w:ascii="Calibri" w:cs="Calibri" w:eastAsia="Calibri" w:hAnsi="Calibri"/>
          <w:color w:val="1F2937"/>
          <w:sz w:val="21"/>
          <w:szCs w:val="21"/>
        </w:rPr>
        <w:t xml:space="preserve">La baisse des volumes pendant l’hivernage (juin à octobre) confirme l’importance du drainage, de la maintenance préventive, du stock de pneumatiques et d’une réserve de flotte. Le modèle ne suppose pas une production uniforme : la première année est volontairement limitée et </w:t>
      </w:r>
      <w:r>
        <w:rPr>
          <w:rFonts w:ascii="Calibri" w:cs="Calibri" w:eastAsia="Calibri" w:hAnsi="Calibri"/>
          <w:b/>
          <w:bCs/>
          <w:color w:val="0B2545"/>
          <w:sz w:val="21"/>
          <w:szCs w:val="21"/>
        </w:rPr>
        <w:t xml:space="preserve">dix camions sont maintenus en réserve technique</w:t>
      </w:r>
      <w:r>
        <w:rPr>
          <w:rFonts w:ascii="Calibri" w:cs="Calibri" w:eastAsia="Calibri" w:hAnsi="Calibri"/>
          <w:color w:val="1F2937"/>
          <w:sz w:val="21"/>
          <w:szCs w:val="21"/>
        </w:rPr>
        <w:t xml:space="preserve">.</w:t>
      </w:r>
    </w:p>
    <w:p>
      <w:pPr>
        <w:keepNext/>
        <w:spacing w:after="40" w:before="80"/>
        <w:jc w:val="center"/>
      </w:pPr>
      <w:r>
        <w:drawing>
          <wp:inline distT="0" distB="0" distL="0" distR="0">
            <wp:extent cx="5905500" cy="2514600"/>
            <wp:effectExtent t="0" r="0" b="0" l="0"/>
            <wp:docPr id="1" name="fig3" descr="Profil mensuel de la production et des exportations de bauxite en 2025" title="Profil mensuel de la production et des exportations de bauxite e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514600"/>
                    </a:xfrm>
                    <a:prstGeom prst="rect">
                      <a:avLst/>
                    </a:prstGeom>
                  </pic:spPr>
                </pic:pic>
              </a:graphicData>
            </a:graphic>
          </wp:inline>
        </w:drawing>
      </w:r>
    </w:p>
    <w:p>
      <w:pPr>
        <w:spacing w:after="0"/>
        <w:jc w:val="left"/>
      </w:pPr>
      <w:r>
        <w:rPr>
          <w:rFonts w:ascii="Calibri" w:cs="Calibri" w:eastAsia="Calibri" w:hAnsi="Calibri"/>
          <w:b/>
          <w:bCs/>
          <w:color w:val="1F4E9E"/>
          <w:sz w:val="17"/>
          <w:szCs w:val="17"/>
        </w:rPr>
        <w:t xml:space="preserve">Figure 3 — </w:t>
      </w:r>
      <w:r>
        <w:rPr>
          <w:rFonts w:ascii="Calibri" w:cs="Calibri" w:eastAsia="Calibri" w:hAnsi="Calibri"/>
          <w:i/>
          <w:iCs/>
          <w:color w:val="6B7280"/>
          <w:sz w:val="17"/>
          <w:szCs w:val="17"/>
        </w:rPr>
        <w:t xml:space="preserve">Profil mensuel de la production et des exportations de bauxite en 2025</w:t>
      </w:r>
    </w:p>
    <w:p>
      <w:pPr>
        <w:spacing w:after="160"/>
      </w:pPr>
      <w:r>
        <w:rPr>
          <w:rFonts w:ascii="Calibri" w:cs="Calibri" w:eastAsia="Calibri" w:hAnsi="Calibri"/>
          <w:i/>
          <w:iCs/>
          <w:color w:val="6B7280"/>
          <w:sz w:val="16"/>
          <w:szCs w:val="16"/>
        </w:rPr>
        <w:t xml:space="preserve">Source : MMG / ITIE-Guinée, Bulletin n°30.</w:t>
      </w:r>
    </w:p>
    <w:p>
      <w:pPr>
        <w:pStyle w:val="Heading2"/>
        <w:keepNext/>
        <w:spacing w:after="100" w:before="240"/>
      </w:pPr>
      <w:r>
        <w:rPr>
          <w:rFonts w:ascii="Calibri" w:cs="Calibri" w:eastAsia="Calibri" w:hAnsi="Calibri"/>
          <w:b/>
          <w:bCs/>
          <w:color w:val="C8962E"/>
          <w:sz w:val="25"/>
          <w:szCs w:val="25"/>
        </w:rPr>
        <w:t xml:space="preserve">3.4  </w:t>
      </w:r>
      <w:r>
        <w:rPr>
          <w:rFonts w:ascii="Calibri" w:cs="Calibri" w:eastAsia="Calibri" w:hAnsi="Calibri"/>
          <w:b/>
          <w:bCs/>
          <w:color w:val="1F4E9E"/>
          <w:sz w:val="25"/>
          <w:szCs w:val="25"/>
        </w:rPr>
        <w:t xml:space="preserve">Taille de marché adressable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gridCol w:w="2000"/>
        <w:gridCol w:w="4038"/>
      </w:tblGrid>
      <w:tr>
        <w:trPr>
          <w:tblHeader/>
        </w:trPr>
        <w:tc>
          <w:tcPr>
            <w:tcW w:type="dxa" w:w="36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Indicateur</w:t>
            </w:r>
          </w:p>
        </w:tc>
        <w:tc>
          <w:tcPr>
            <w:tcW w:type="dxa" w:w="2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Valeur</w:t>
            </w:r>
          </w:p>
        </w:tc>
        <w:tc>
          <w:tcPr>
            <w:tcW w:type="dxa" w:w="40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Lecture pour le projet</w:t>
            </w:r>
          </w:p>
        </w:tc>
      </w:tr>
      <w:tr>
        <w:trPr>
          <w:cantSplit/>
        </w:trPr>
        <w:tc>
          <w:tcPr>
            <w:tcW w:type="dxa" w:w="3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Exportations nationales de bauxite 2025</w:t>
            </w:r>
          </w:p>
        </w:tc>
        <w:tc>
          <w:tcPr>
            <w:tcW w:type="dxa" w:w="2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182,83 Mt</w:t>
            </w:r>
          </w:p>
        </w:tc>
        <w:tc>
          <w:tcPr>
            <w:tcW w:type="dxa" w:w="40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Base de marché publique</w:t>
            </w:r>
          </w:p>
        </w:tc>
      </w:tr>
      <w:tr>
        <w:trPr>
          <w:cantSplit/>
        </w:trPr>
        <w:tc>
          <w:tcPr>
            <w:tcW w:type="dxa" w:w="36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Capacité du projet en régime stabilisé</w:t>
            </w:r>
          </w:p>
        </w:tc>
        <w:tc>
          <w:tcPr>
            <w:tcW w:type="dxa" w:w="2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3,90 Mt/an</w:t>
            </w:r>
          </w:p>
        </w:tc>
        <w:tc>
          <w:tcPr>
            <w:tcW w:type="dxa" w:w="40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Environ 2,1 % du volume exporté en 2025</w:t>
            </w:r>
          </w:p>
        </w:tc>
      </w:tr>
      <w:tr>
        <w:trPr>
          <w:cantSplit/>
        </w:trPr>
        <w:tc>
          <w:tcPr>
            <w:tcW w:type="dxa" w:w="3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Volume du contrat en année 2</w:t>
            </w:r>
          </w:p>
        </w:tc>
        <w:tc>
          <w:tcPr>
            <w:tcW w:type="dxa" w:w="2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3,55 Mt</w:t>
            </w:r>
          </w:p>
        </w:tc>
        <w:tc>
          <w:tcPr>
            <w:tcW w:type="dxa" w:w="40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Environ 1,9 % du volume exporté en 2025</w:t>
            </w:r>
          </w:p>
        </w:tc>
      </w:tr>
      <w:tr>
        <w:trPr>
          <w:cantSplit/>
        </w:trPr>
        <w:tc>
          <w:tcPr>
            <w:tcW w:type="dxa" w:w="36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Portefeuille clients recommandé</w:t>
            </w:r>
          </w:p>
        </w:tc>
        <w:tc>
          <w:tcPr>
            <w:tcW w:type="dxa" w:w="2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 contrat principal + 1 secondaire</w:t>
            </w:r>
          </w:p>
        </w:tc>
        <w:tc>
          <w:tcPr>
            <w:tcW w:type="dxa" w:w="40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Réduction du risque de concentration</w:t>
            </w:r>
          </w:p>
        </w:tc>
      </w:tr>
    </w:tbl>
    <w:p>
      <w:pPr>
        <w:spacing w:after="180"/>
      </w:pPr>
    </w:p>
    <w:p>
      <w:pPr>
        <w:pStyle w:val="Heading2"/>
        <w:keepNext/>
        <w:spacing w:after="100" w:before="240"/>
      </w:pPr>
      <w:r>
        <w:rPr>
          <w:rFonts w:ascii="Calibri" w:cs="Calibri" w:eastAsia="Calibri" w:hAnsi="Calibri"/>
          <w:b/>
          <w:bCs/>
          <w:color w:val="C8962E"/>
          <w:sz w:val="25"/>
          <w:szCs w:val="25"/>
        </w:rPr>
        <w:t xml:space="preserve">3.5  </w:t>
      </w:r>
      <w:r>
        <w:rPr>
          <w:rFonts w:ascii="Calibri" w:cs="Calibri" w:eastAsia="Calibri" w:hAnsi="Calibri"/>
          <w:b/>
          <w:bCs/>
          <w:color w:val="1F4E9E"/>
          <w:sz w:val="25"/>
          <w:szCs w:val="25"/>
        </w:rPr>
        <w:t xml:space="preserve">Opportunités et points de vigilance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tblHeader/>
        </w:trPr>
        <w:tc>
          <w:tcPr>
            <w:tcW w:type="dxa" w:w="4819"/>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Opportunités</w:t>
            </w:r>
          </w:p>
        </w:tc>
        <w:tc>
          <w:tcPr>
            <w:tcW w:type="dxa" w:w="4819"/>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Points de vigilance</w:t>
            </w:r>
          </w:p>
        </w:tc>
      </w:tr>
      <w:tr>
        <w:trPr>
          <w:cantSplit/>
        </w:trPr>
        <w:tc>
          <w:tcPr>
            <w:tcW w:type="dxa" w:w="48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Croissance récente de la production et des exportations</w:t>
            </w:r>
          </w:p>
        </w:tc>
        <w:tc>
          <w:tcPr>
            <w:tcW w:type="dxa" w:w="48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Marché concentré autour de quelques opérateurs</w:t>
            </w:r>
          </w:p>
        </w:tc>
      </w:tr>
      <w:tr>
        <w:trPr>
          <w:cantSplit/>
        </w:trPr>
        <w:tc>
          <w:tcPr>
            <w:tcW w:type="dxa" w:w="48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Besoins de sous-traitance locale et exigences de contenu local</w:t>
            </w:r>
          </w:p>
        </w:tc>
        <w:tc>
          <w:tcPr>
            <w:tcW w:type="dxa" w:w="48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Forte pression concurrentielle sur les tarifs</w:t>
            </w:r>
          </w:p>
        </w:tc>
      </w:tr>
      <w:tr>
        <w:trPr>
          <w:cantSplit/>
        </w:trPr>
        <w:tc>
          <w:tcPr>
            <w:tcW w:type="dxa" w:w="48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Développement de raffineries et d’infrastructures</w:t>
            </w:r>
          </w:p>
        </w:tc>
        <w:tc>
          <w:tcPr>
            <w:tcW w:type="dxa" w:w="48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Risque de substitution par convoyeur ou rail</w:t>
            </w:r>
          </w:p>
        </w:tc>
      </w:tr>
      <w:tr>
        <w:trPr>
          <w:cantSplit/>
        </w:trPr>
        <w:tc>
          <w:tcPr>
            <w:tcW w:type="dxa" w:w="48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Besoin de professionnalisation HSE et numérique</w:t>
            </w:r>
          </w:p>
        </w:tc>
        <w:tc>
          <w:tcPr>
            <w:tcW w:type="dxa" w:w="48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Exposition au diesel, au change, aux pneus et aux pièces importées</w:t>
            </w:r>
          </w:p>
        </w:tc>
      </w:tr>
    </w:tbl>
    <w:p>
      <w:pPr>
        <w:spacing w:after="180"/>
      </w:pPr>
    </w:p>
    <w:p>
      <w:pPr>
        <w:pStyle w:val="Heading1"/>
        <w:keepNext/>
        <w:pageBreakBefore/>
        <w:pBdr>
          <w:bottom w:val="single" w:color="C8962E" w:sz="12" w:space="6"/>
        </w:pBdr>
        <w:spacing w:after="80" w:before="0"/>
      </w:pPr>
      <w:r>
        <w:rPr>
          <w:rFonts w:ascii="Calibri" w:cs="Calibri" w:eastAsia="Calibri" w:hAnsi="Calibri"/>
          <w:b/>
          <w:bCs/>
          <w:color w:val="C8962E"/>
          <w:sz w:val="40"/>
          <w:szCs w:val="40"/>
        </w:rPr>
        <w:t xml:space="preserve">04  </w:t>
      </w:r>
      <w:r>
        <w:rPr>
          <w:rFonts w:ascii="Calibri" w:cs="Calibri" w:eastAsia="Calibri" w:hAnsi="Calibri"/>
          <w:b/>
          <w:bCs/>
          <w:color w:val="0B2545"/>
          <w:sz w:val="32"/>
          <w:szCs w:val="32"/>
        </w:rPr>
        <w:t xml:space="preserve">STRATÉGIE COMMERCIALE ET CONTRACTUELLE</w:t>
      </w:r>
    </w:p>
    <w:p>
      <w:pPr>
        <w:spacing w:after="160"/>
      </w:pPr>
    </w:p>
    <w:p>
      <w:pPr>
        <w:pStyle w:val="Heading2"/>
        <w:keepNext/>
        <w:spacing w:after="100" w:before="240"/>
      </w:pPr>
      <w:r>
        <w:rPr>
          <w:rFonts w:ascii="Calibri" w:cs="Calibri" w:eastAsia="Calibri" w:hAnsi="Calibri"/>
          <w:b/>
          <w:bCs/>
          <w:color w:val="C8962E"/>
          <w:sz w:val="25"/>
          <w:szCs w:val="25"/>
        </w:rPr>
        <w:t xml:space="preserve">4.1  </w:t>
      </w:r>
      <w:r>
        <w:rPr>
          <w:rFonts w:ascii="Calibri" w:cs="Calibri" w:eastAsia="Calibri" w:hAnsi="Calibri"/>
          <w:b/>
          <w:bCs/>
          <w:color w:val="1F4E9E"/>
          <w:sz w:val="25"/>
          <w:szCs w:val="25"/>
        </w:rPr>
        <w:t xml:space="preserve">Approche de commercialisation</w:t>
      </w:r>
    </w:p>
    <w:p>
      <w:pPr>
        <w:spacing w:after="120" w:before="0" w:line="276"/>
        <w:jc w:val="both"/>
      </w:pPr>
      <w:r>
        <w:rPr>
          <w:rFonts w:ascii="Calibri" w:cs="Calibri" w:eastAsia="Calibri" w:hAnsi="Calibri"/>
          <w:color w:val="1F2937"/>
          <w:sz w:val="21"/>
          <w:szCs w:val="21"/>
        </w:rPr>
        <w:t xml:space="preserve">La stratégie consiste à </w:t>
      </w:r>
      <w:r>
        <w:rPr>
          <w:rFonts w:ascii="Calibri" w:cs="Calibri" w:eastAsia="Calibri" w:hAnsi="Calibri"/>
          <w:b/>
          <w:bCs/>
          <w:color w:val="0B2545"/>
          <w:sz w:val="21"/>
          <w:szCs w:val="21"/>
        </w:rPr>
        <w:t xml:space="preserve">sécuriser d’abord un contrat principal adossé à un volume, puis à mobiliser la flotte</w:t>
      </w:r>
      <w:r>
        <w:rPr>
          <w:rFonts w:ascii="Calibri" w:cs="Calibri" w:eastAsia="Calibri" w:hAnsi="Calibri"/>
          <w:color w:val="1F2937"/>
          <w:sz w:val="21"/>
          <w:szCs w:val="21"/>
        </w:rPr>
        <w:t xml:space="preserve">, et non l’inverse. Les étapes comprennent la préqualification, l’étude du corridor, la remise d’une offre technique, la négociation d’un modèle tarifaire transparent et la validation des garanties de paiement.</w:t>
      </w:r>
    </w:p>
    <w:p>
      <w:pPr>
        <w:pStyle w:val="Heading2"/>
        <w:keepNext/>
        <w:spacing w:after="100" w:before="240"/>
      </w:pPr>
      <w:r>
        <w:rPr>
          <w:rFonts w:ascii="Calibri" w:cs="Calibri" w:eastAsia="Calibri" w:hAnsi="Calibri"/>
          <w:b/>
          <w:bCs/>
          <w:color w:val="C8962E"/>
          <w:sz w:val="25"/>
          <w:szCs w:val="25"/>
        </w:rPr>
        <w:t xml:space="preserve">4.2  </w:t>
      </w:r>
      <w:r>
        <w:rPr>
          <w:rFonts w:ascii="Calibri" w:cs="Calibri" w:eastAsia="Calibri" w:hAnsi="Calibri"/>
          <w:b/>
          <w:bCs/>
          <w:color w:val="1F4E9E"/>
          <w:sz w:val="25"/>
          <w:szCs w:val="25"/>
        </w:rPr>
        <w:t xml:space="preserve">Architecture contractuelle minimale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3669"/>
        <w:gridCol w:w="3669"/>
      </w:tblGrid>
      <w:tr>
        <w:trPr>
          <w:tblHeader/>
        </w:trPr>
        <w:tc>
          <w:tcPr>
            <w:tcW w:type="dxa" w:w="23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Clause</w:t>
            </w:r>
          </w:p>
        </w:tc>
        <w:tc>
          <w:tcPr>
            <w:tcW w:type="dxa" w:w="3669"/>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Exigence recommandée</w:t>
            </w:r>
          </w:p>
        </w:tc>
        <w:tc>
          <w:tcPr>
            <w:tcW w:type="dxa" w:w="3669"/>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Justification</w:t>
            </w:r>
          </w:p>
        </w:tc>
      </w:tr>
      <w:tr>
        <w:trPr>
          <w:cantSplit/>
        </w:trPr>
        <w:tc>
          <w:tcPr>
            <w:tcW w:type="dxa" w:w="23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Durée</w:t>
            </w:r>
          </w:p>
        </w:tc>
        <w:tc>
          <w:tcPr>
            <w:tcW w:type="dxa" w:w="366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7 ans ferme (5 ans minimum)</w:t>
            </w:r>
          </w:p>
        </w:tc>
        <w:tc>
          <w:tcPr>
            <w:tcW w:type="dxa" w:w="366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Adossement à la durée de la dette</w:t>
            </w:r>
          </w:p>
        </w:tc>
      </w:tr>
      <w:tr>
        <w:trPr>
          <w:cantSplit/>
        </w:trPr>
        <w:tc>
          <w:tcPr>
            <w:tcW w:type="dxa" w:w="23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Volume garanti</w:t>
            </w:r>
          </w:p>
        </w:tc>
        <w:tc>
          <w:tcPr>
            <w:tcW w:type="dxa" w:w="366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 3,38 Mt/an en régime</w:t>
            </w:r>
          </w:p>
        </w:tc>
        <w:tc>
          <w:tcPr>
            <w:tcW w:type="dxa" w:w="366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Maintien d’un DSCR ≥ 1,30x</w:t>
            </w:r>
          </w:p>
        </w:tc>
      </w:tr>
      <w:tr>
        <w:trPr>
          <w:cantSplit/>
        </w:trPr>
        <w:tc>
          <w:tcPr>
            <w:tcW w:type="dxa" w:w="23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Take-or-pay</w:t>
            </w:r>
          </w:p>
        </w:tc>
        <w:tc>
          <w:tcPr>
            <w:tcW w:type="dxa" w:w="366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85 % du volume mensuel programmé</w:t>
            </w:r>
          </w:p>
        </w:tc>
        <w:tc>
          <w:tcPr>
            <w:tcW w:type="dxa" w:w="366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Protection contre l’indisponibilité imputable au client</w:t>
            </w:r>
          </w:p>
        </w:tc>
      </w:tr>
      <w:tr>
        <w:trPr>
          <w:cantSplit/>
        </w:trPr>
        <w:tc>
          <w:tcPr>
            <w:tcW w:type="dxa" w:w="23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Tarif initial</w:t>
            </w:r>
          </w:p>
        </w:tc>
        <w:tc>
          <w:tcPr>
            <w:tcW w:type="dxa" w:w="366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 6,55 USD/t pour 35 km aller simple</w:t>
            </w:r>
          </w:p>
        </w:tc>
        <w:tc>
          <w:tcPr>
            <w:tcW w:type="dxa" w:w="366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Seuil bancaire du cas de base</w:t>
            </w:r>
          </w:p>
        </w:tc>
      </w:tr>
      <w:tr>
        <w:trPr>
          <w:cantSplit/>
        </w:trPr>
        <w:tc>
          <w:tcPr>
            <w:tcW w:type="dxa" w:w="23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Carburant</w:t>
            </w:r>
          </w:p>
        </w:tc>
        <w:tc>
          <w:tcPr>
            <w:tcW w:type="dxa" w:w="366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Indexation mensuelle ou fourniture par le client</w:t>
            </w:r>
          </w:p>
        </w:tc>
        <w:tc>
          <w:tcPr>
            <w:tcW w:type="dxa" w:w="366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Neutralisation du principal coût variable</w:t>
            </w:r>
          </w:p>
        </w:tc>
      </w:tr>
      <w:tr>
        <w:trPr>
          <w:cantSplit/>
        </w:trPr>
        <w:tc>
          <w:tcPr>
            <w:tcW w:type="dxa" w:w="23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Paiement</w:t>
            </w:r>
          </w:p>
        </w:tc>
        <w:tc>
          <w:tcPr>
            <w:tcW w:type="dxa" w:w="366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30 jours, facturation bimensuelle, compte séquestre</w:t>
            </w:r>
          </w:p>
        </w:tc>
        <w:tc>
          <w:tcPr>
            <w:tcW w:type="dxa" w:w="366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Protection du fonds de roulement</w:t>
            </w:r>
          </w:p>
        </w:tc>
      </w:tr>
      <w:tr>
        <w:trPr>
          <w:cantSplit/>
        </w:trPr>
        <w:tc>
          <w:tcPr>
            <w:tcW w:type="dxa" w:w="23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Route</w:t>
            </w:r>
          </w:p>
        </w:tc>
        <w:tc>
          <w:tcPr>
            <w:tcW w:type="dxa" w:w="366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Entretien et disponibilité à la charge du client</w:t>
            </w:r>
          </w:p>
        </w:tc>
        <w:tc>
          <w:tcPr>
            <w:tcW w:type="dxa" w:w="366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Préservation de la productivité et des pneus</w:t>
            </w:r>
          </w:p>
        </w:tc>
      </w:tr>
      <w:tr>
        <w:trPr>
          <w:cantSplit/>
        </w:trPr>
        <w:tc>
          <w:tcPr>
            <w:tcW w:type="dxa" w:w="23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Temps d’attente</w:t>
            </w:r>
          </w:p>
        </w:tc>
        <w:tc>
          <w:tcPr>
            <w:tcW w:type="dxa" w:w="366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Franchise définie puis facturation</w:t>
            </w:r>
          </w:p>
        </w:tc>
        <w:tc>
          <w:tcPr>
            <w:tcW w:type="dxa" w:w="366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Protection contre les files de chargement</w:t>
            </w:r>
          </w:p>
        </w:tc>
      </w:tr>
      <w:tr>
        <w:trPr>
          <w:cantSplit/>
        </w:trPr>
        <w:tc>
          <w:tcPr>
            <w:tcW w:type="dxa" w:w="23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Résiliation anticipée</w:t>
            </w:r>
          </w:p>
        </w:tc>
        <w:tc>
          <w:tcPr>
            <w:tcW w:type="dxa" w:w="366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Indemnité couvrant l’encours de dette et la démobilisation</w:t>
            </w:r>
          </w:p>
        </w:tc>
        <w:tc>
          <w:tcPr>
            <w:tcW w:type="dxa" w:w="366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Protection des prêteurs et des actionnaires</w:t>
            </w:r>
          </w:p>
        </w:tc>
      </w:tr>
      <w:tr>
        <w:trPr>
          <w:cantSplit/>
        </w:trPr>
        <w:tc>
          <w:tcPr>
            <w:tcW w:type="dxa" w:w="23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Cession de créances</w:t>
            </w:r>
          </w:p>
        </w:tc>
        <w:tc>
          <w:tcPr>
            <w:tcW w:type="dxa" w:w="366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Acceptation par le client de la cession au profit des prêteurs</w:t>
            </w:r>
          </w:p>
        </w:tc>
        <w:tc>
          <w:tcPr>
            <w:tcW w:type="dxa" w:w="366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Condition standard de bancabilité</w:t>
            </w:r>
          </w:p>
        </w:tc>
      </w:tr>
      <w:tr>
        <w:trPr>
          <w:cantSplit/>
        </w:trPr>
        <w:tc>
          <w:tcPr>
            <w:tcW w:type="dxa" w:w="23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Pesage</w:t>
            </w:r>
          </w:p>
        </w:tc>
        <w:tc>
          <w:tcPr>
            <w:tcW w:type="dxa" w:w="366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Pont-bascule certifié et rapprochement quotidien</w:t>
            </w:r>
          </w:p>
        </w:tc>
        <w:tc>
          <w:tcPr>
            <w:tcW w:type="dxa" w:w="366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Sécurisation du chiffre d’affaires</w:t>
            </w:r>
          </w:p>
        </w:tc>
      </w:tr>
    </w:tbl>
    <w:p>
      <w:pPr>
        <w:spacing w:after="180"/>
      </w:pPr>
    </w:p>
    <w:p>
      <w:pPr>
        <w:pStyle w:val="Heading2"/>
        <w:keepNext/>
        <w:spacing w:after="100" w:before="240"/>
      </w:pPr>
      <w:r>
        <w:rPr>
          <w:rFonts w:ascii="Calibri" w:cs="Calibri" w:eastAsia="Calibri" w:hAnsi="Calibri"/>
          <w:b/>
          <w:bCs/>
          <w:color w:val="C8962E"/>
          <w:sz w:val="25"/>
          <w:szCs w:val="25"/>
        </w:rPr>
        <w:t xml:space="preserve">4.3  </w:t>
      </w:r>
      <w:r>
        <w:rPr>
          <w:rFonts w:ascii="Calibri" w:cs="Calibri" w:eastAsia="Calibri" w:hAnsi="Calibri"/>
          <w:b/>
          <w:bCs/>
          <w:color w:val="1F4E9E"/>
          <w:sz w:val="25"/>
          <w:szCs w:val="25"/>
        </w:rPr>
        <w:t xml:space="preserve">Formule tarifaire proposée</w:t>
      </w:r>
    </w:p>
    <w:p>
      <w:pPr>
        <w:shd w:fill="EEF3FB" w:color="auto" w:val="clear"/>
        <w:spacing w:after="120" w:before="120"/>
        <w:jc w:val="center"/>
      </w:pPr>
      <w:r>
        <w:rPr>
          <w:rFonts w:ascii="Calibri" w:cs="Calibri" w:eastAsia="Calibri" w:hAnsi="Calibri"/>
          <w:b/>
          <w:bCs/>
          <w:color w:val="0B2545"/>
          <w:sz w:val="24"/>
          <w:szCs w:val="24"/>
        </w:rPr>
        <w:t xml:space="preserve">Tₙ = T₀ × [ 40 % + 40 % × (Dieselₙ / Diesel₀) + 20 % × (FXₙ / FX₀) ]</w:t>
      </w:r>
    </w:p>
    <w:p>
      <w:pPr>
        <w:spacing w:after="120" w:before="0" w:line="276"/>
        <w:jc w:val="both"/>
      </w:pPr>
      <w:r>
        <w:rPr>
          <w:rFonts w:ascii="Calibri" w:cs="Calibri" w:eastAsia="Calibri" w:hAnsi="Calibri"/>
          <w:color w:val="1F2937"/>
          <w:sz w:val="21"/>
          <w:szCs w:val="21"/>
        </w:rPr>
        <w:t xml:space="preserve">La formule répartit le tarif entre une composante fixe, une composante carburant et une composante de change. Elle sera recalibrée sur la structure réelle des coûts (le carburant représente environ un tiers des coûts d’exploitation en année 2) et sur les conditions de fourniture du diesel.</w:t>
      </w:r>
    </w:p>
    <w:p>
      <w:pPr>
        <w:pStyle w:val="Heading2"/>
        <w:keepNext/>
        <w:spacing w:after="100" w:before="240"/>
      </w:pPr>
      <w:r>
        <w:rPr>
          <w:rFonts w:ascii="Calibri" w:cs="Calibri" w:eastAsia="Calibri" w:hAnsi="Calibri"/>
          <w:b/>
          <w:bCs/>
          <w:color w:val="C8962E"/>
          <w:sz w:val="25"/>
          <w:szCs w:val="25"/>
        </w:rPr>
        <w:t xml:space="preserve">4.4  </w:t>
      </w:r>
      <w:r>
        <w:rPr>
          <w:rFonts w:ascii="Calibri" w:cs="Calibri" w:eastAsia="Calibri" w:hAnsi="Calibri"/>
          <w:b/>
          <w:bCs/>
          <w:color w:val="1F4E9E"/>
          <w:sz w:val="25"/>
          <w:szCs w:val="25"/>
        </w:rPr>
        <w:t xml:space="preserve">Pipeline commercial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gridCol w:w="4038"/>
        <w:gridCol w:w="2000"/>
      </w:tblGrid>
      <w:tr>
        <w:trPr>
          <w:tblHeader/>
        </w:trPr>
        <w:tc>
          <w:tcPr>
            <w:tcW w:type="dxa" w:w="36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Segment cible</w:t>
            </w:r>
          </w:p>
        </w:tc>
        <w:tc>
          <w:tcPr>
            <w:tcW w:type="dxa" w:w="40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Proposition</w:t>
            </w:r>
          </w:p>
        </w:tc>
        <w:tc>
          <w:tcPr>
            <w:tcW w:type="dxa" w:w="2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Priorité</w:t>
            </w:r>
          </w:p>
        </w:tc>
      </w:tr>
      <w:tr>
        <w:trPr>
          <w:cantSplit/>
        </w:trPr>
        <w:tc>
          <w:tcPr>
            <w:tcW w:type="dxa" w:w="3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Grand producteur bauxitique</w:t>
            </w:r>
          </w:p>
        </w:tc>
        <w:tc>
          <w:tcPr>
            <w:tcW w:type="dxa" w:w="40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Contrat principal de 70 à 80 camions</w:t>
            </w:r>
          </w:p>
        </w:tc>
        <w:tc>
          <w:tcPr>
            <w:tcW w:type="dxa" w:w="2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Très élevée</w:t>
            </w:r>
          </w:p>
        </w:tc>
      </w:tr>
      <w:tr>
        <w:trPr>
          <w:cantSplit/>
        </w:trPr>
        <w:tc>
          <w:tcPr>
            <w:tcW w:type="dxa" w:w="36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Deuxième opérateur ou projet de raffinerie</w:t>
            </w:r>
          </w:p>
        </w:tc>
        <w:tc>
          <w:tcPr>
            <w:tcW w:type="dxa" w:w="40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Contrat complémentaire de 20 à 30 camions</w:t>
            </w:r>
          </w:p>
        </w:tc>
        <w:tc>
          <w:tcPr>
            <w:tcW w:type="dxa" w:w="2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Élevée</w:t>
            </w:r>
          </w:p>
        </w:tc>
      </w:tr>
      <w:tr>
        <w:trPr>
          <w:cantSplit/>
        </w:trPr>
        <w:tc>
          <w:tcPr>
            <w:tcW w:type="dxa" w:w="3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Entreprises de travaux miniers</w:t>
            </w:r>
          </w:p>
        </w:tc>
        <w:tc>
          <w:tcPr>
            <w:tcW w:type="dxa" w:w="40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Mouvements de stériles et de matériaux</w:t>
            </w:r>
          </w:p>
        </w:tc>
        <w:tc>
          <w:tcPr>
            <w:tcW w:type="dxa" w:w="2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Moyenne</w:t>
            </w:r>
          </w:p>
        </w:tc>
      </w:tr>
      <w:tr>
        <w:trPr>
          <w:cantSplit/>
        </w:trPr>
        <w:tc>
          <w:tcPr>
            <w:tcW w:type="dxa" w:w="36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Projets d’infrastructure</w:t>
            </w:r>
          </w:p>
        </w:tc>
        <w:tc>
          <w:tcPr>
            <w:tcW w:type="dxa" w:w="40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Latérite, agrégats, terrassement</w:t>
            </w:r>
          </w:p>
        </w:tc>
        <w:tc>
          <w:tcPr>
            <w:tcW w:type="dxa" w:w="2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Opportuniste</w:t>
            </w:r>
          </w:p>
        </w:tc>
      </w:tr>
    </w:tbl>
    <w:p>
      <w:pPr>
        <w:spacing w:after="180"/>
      </w:pPr>
    </w:p>
    <w:p>
      <w:pPr>
        <w:pStyle w:val="Heading1"/>
        <w:keepNext/>
        <w:pageBreakBefore/>
        <w:pBdr>
          <w:bottom w:val="single" w:color="C8962E" w:sz="12" w:space="6"/>
        </w:pBdr>
        <w:spacing w:after="80" w:before="0"/>
      </w:pPr>
      <w:r>
        <w:rPr>
          <w:rFonts w:ascii="Calibri" w:cs="Calibri" w:eastAsia="Calibri" w:hAnsi="Calibri"/>
          <w:b/>
          <w:bCs/>
          <w:color w:val="C8962E"/>
          <w:sz w:val="40"/>
          <w:szCs w:val="40"/>
        </w:rPr>
        <w:t xml:space="preserve">05  </w:t>
      </w:r>
      <w:r>
        <w:rPr>
          <w:rFonts w:ascii="Calibri" w:cs="Calibri" w:eastAsia="Calibri" w:hAnsi="Calibri"/>
          <w:b/>
          <w:bCs/>
          <w:color w:val="0B2545"/>
          <w:sz w:val="32"/>
          <w:szCs w:val="32"/>
        </w:rPr>
        <w:t xml:space="preserve">PLAN TECHNIQUE ET OPÉRATIONNEL</w:t>
      </w:r>
    </w:p>
    <w:p>
      <w:pPr>
        <w:spacing w:after="160"/>
      </w:pPr>
    </w:p>
    <w:p>
      <w:pPr>
        <w:pStyle w:val="Heading2"/>
        <w:keepNext/>
        <w:spacing w:after="100" w:before="240"/>
      </w:pPr>
      <w:r>
        <w:rPr>
          <w:rFonts w:ascii="Calibri" w:cs="Calibri" w:eastAsia="Calibri" w:hAnsi="Calibri"/>
          <w:b/>
          <w:bCs/>
          <w:color w:val="C8962E"/>
          <w:sz w:val="25"/>
          <w:szCs w:val="25"/>
        </w:rPr>
        <w:t xml:space="preserve">5.1  </w:t>
      </w:r>
      <w:r>
        <w:rPr>
          <w:rFonts w:ascii="Calibri" w:cs="Calibri" w:eastAsia="Calibri" w:hAnsi="Calibri"/>
          <w:b/>
          <w:bCs/>
          <w:color w:val="1F4E9E"/>
          <w:sz w:val="25"/>
          <w:szCs w:val="25"/>
        </w:rPr>
        <w:t xml:space="preserve">Hypothèses de dimensionnement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3319"/>
        <w:gridCol w:w="3319"/>
      </w:tblGrid>
      <w:tr>
        <w:trPr>
          <w:tblHeader/>
        </w:trPr>
        <w:tc>
          <w:tcPr>
            <w:tcW w:type="dxa" w:w="3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Paramètre</w:t>
            </w:r>
          </w:p>
        </w:tc>
        <w:tc>
          <w:tcPr>
            <w:tcW w:type="dxa" w:w="3319"/>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Hypothèse centrale</w:t>
            </w:r>
          </w:p>
        </w:tc>
        <w:tc>
          <w:tcPr>
            <w:tcW w:type="dxa" w:w="3319"/>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Statut</w:t>
            </w:r>
          </w:p>
        </w:tc>
      </w:tr>
      <w:tr>
        <w:trPr>
          <w:cantSplit/>
        </w:trPr>
        <w:tc>
          <w:tcPr>
            <w:tcW w:type="dxa" w:w="3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Flotte totale</w:t>
            </w:r>
          </w:p>
        </w:tc>
        <w:tc>
          <w:tcPr>
            <w:tcW w:type="dxa" w:w="33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100 camions-bennes lourds</w:t>
            </w:r>
          </w:p>
        </w:tc>
        <w:tc>
          <w:tcPr>
            <w:tcW w:type="dxa" w:w="33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Dimensionnement du projet</w:t>
            </w:r>
          </w:p>
        </w:tc>
      </w:tr>
      <w:tr>
        <w:trPr>
          <w:cantSplit/>
        </w:trPr>
        <w:tc>
          <w:tcPr>
            <w:tcW w:type="dxa" w:w="3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Flotte programmée</w:t>
            </w:r>
          </w:p>
        </w:tc>
        <w:tc>
          <w:tcPr>
            <w:tcW w:type="dxa" w:w="33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90 camions/jour</w:t>
            </w:r>
          </w:p>
        </w:tc>
        <w:tc>
          <w:tcPr>
            <w:tcW w:type="dxa" w:w="33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Hypothèse</w:t>
            </w:r>
          </w:p>
        </w:tc>
      </w:tr>
      <w:tr>
        <w:trPr>
          <w:cantSplit/>
        </w:trPr>
        <w:tc>
          <w:tcPr>
            <w:tcW w:type="dxa" w:w="3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Réserve technique</w:t>
            </w:r>
          </w:p>
        </w:tc>
        <w:tc>
          <w:tcPr>
            <w:tcW w:type="dxa" w:w="33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10 camions</w:t>
            </w:r>
          </w:p>
        </w:tc>
        <w:tc>
          <w:tcPr>
            <w:tcW w:type="dxa" w:w="33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Hypothèse</w:t>
            </w:r>
          </w:p>
        </w:tc>
      </w:tr>
      <w:tr>
        <w:trPr>
          <w:cantSplit/>
        </w:trPr>
        <w:tc>
          <w:tcPr>
            <w:tcW w:type="dxa" w:w="3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Charge utile contractuelle</w:t>
            </w:r>
          </w:p>
        </w:tc>
        <w:tc>
          <w:tcPr>
            <w:tcW w:type="dxa" w:w="33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45 tonnes</w:t>
            </w:r>
          </w:p>
        </w:tc>
        <w:tc>
          <w:tcPr>
            <w:tcW w:type="dxa" w:w="33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À valider (audit de route et constructeur)</w:t>
            </w:r>
          </w:p>
        </w:tc>
      </w:tr>
      <w:tr>
        <w:trPr>
          <w:cantSplit/>
        </w:trPr>
        <w:tc>
          <w:tcPr>
            <w:tcW w:type="dxa" w:w="3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Distance aller simple</w:t>
            </w:r>
          </w:p>
        </w:tc>
        <w:tc>
          <w:tcPr>
            <w:tcW w:type="dxa" w:w="33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35 km</w:t>
            </w:r>
          </w:p>
        </w:tc>
        <w:tc>
          <w:tcPr>
            <w:tcW w:type="dxa" w:w="33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Corridor de référence, à remplacer par le trajet réel</w:t>
            </w:r>
          </w:p>
        </w:tc>
      </w:tr>
      <w:tr>
        <w:trPr>
          <w:cantSplit/>
        </w:trPr>
        <w:tc>
          <w:tcPr>
            <w:tcW w:type="dxa" w:w="3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Rotations moyennes</w:t>
            </w:r>
          </w:p>
        </w:tc>
        <w:tc>
          <w:tcPr>
            <w:tcW w:type="dxa" w:w="33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3 par jour</w:t>
            </w:r>
          </w:p>
        </w:tc>
        <w:tc>
          <w:tcPr>
            <w:tcW w:type="dxa" w:w="33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À confirmer par chronométrage</w:t>
            </w:r>
          </w:p>
        </w:tc>
      </w:tr>
      <w:tr>
        <w:trPr>
          <w:cantSplit/>
        </w:trPr>
        <w:tc>
          <w:tcPr>
            <w:tcW w:type="dxa" w:w="3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Jours productifs</w:t>
            </w:r>
          </w:p>
        </w:tc>
        <w:tc>
          <w:tcPr>
            <w:tcW w:type="dxa" w:w="33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321 jours/an</w:t>
            </w:r>
          </w:p>
        </w:tc>
        <w:tc>
          <w:tcPr>
            <w:tcW w:type="dxa" w:w="33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Inclut arrêts et saisonnalité</w:t>
            </w:r>
          </w:p>
        </w:tc>
      </w:tr>
      <w:tr>
        <w:trPr>
          <w:cantSplit/>
        </w:trPr>
        <w:tc>
          <w:tcPr>
            <w:tcW w:type="dxa" w:w="3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Consommation</w:t>
            </w:r>
          </w:p>
        </w:tc>
        <w:tc>
          <w:tcPr>
            <w:tcW w:type="dxa" w:w="33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1,05 litre par tonne transportée</w:t>
            </w:r>
          </w:p>
        </w:tc>
        <w:tc>
          <w:tcPr>
            <w:tcW w:type="dxa" w:w="33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Hypothèse de modélisation</w:t>
            </w:r>
          </w:p>
        </w:tc>
      </w:tr>
      <w:tr>
        <w:trPr>
          <w:cantSplit/>
        </w:trPr>
        <w:tc>
          <w:tcPr>
            <w:tcW w:type="dxa" w:w="3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Disponibilité mécanique</w:t>
            </w:r>
          </w:p>
        </w:tc>
        <w:tc>
          <w:tcPr>
            <w:tcW w:type="dxa" w:w="33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 85 %</w:t>
            </w:r>
          </w:p>
        </w:tc>
        <w:tc>
          <w:tcPr>
            <w:tcW w:type="dxa" w:w="33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KPI contractuel</w:t>
            </w:r>
          </w:p>
        </w:tc>
      </w:tr>
    </w:tbl>
    <w:p>
      <w:pPr>
        <w:spacing w:after="180"/>
      </w:pPr>
    </w:p>
    <w:p>
      <w:pPr>
        <w:pStyle w:val="Heading2"/>
        <w:keepNext/>
        <w:spacing w:after="100" w:before="240"/>
      </w:pPr>
      <w:r>
        <w:rPr>
          <w:rFonts w:ascii="Calibri" w:cs="Calibri" w:eastAsia="Calibri" w:hAnsi="Calibri"/>
          <w:b/>
          <w:bCs/>
          <w:color w:val="C8962E"/>
          <w:sz w:val="25"/>
          <w:szCs w:val="25"/>
        </w:rPr>
        <w:t xml:space="preserve">5.2  </w:t>
      </w:r>
      <w:r>
        <w:rPr>
          <w:rFonts w:ascii="Calibri" w:cs="Calibri" w:eastAsia="Calibri" w:hAnsi="Calibri"/>
          <w:b/>
          <w:bCs/>
          <w:color w:val="1F4E9E"/>
          <w:sz w:val="25"/>
          <w:szCs w:val="25"/>
        </w:rPr>
        <w:t xml:space="preserve">Calcul de capacité</w:t>
      </w:r>
    </w:p>
    <w:p>
      <w:pPr>
        <w:shd w:fill="EEF3FB" w:color="auto" w:val="clear"/>
        <w:spacing w:after="120" w:before="80"/>
        <w:jc w:val="center"/>
      </w:pPr>
      <w:r>
        <w:rPr>
          <w:rFonts w:ascii="Calibri" w:cs="Calibri" w:eastAsia="Calibri" w:hAnsi="Calibri"/>
          <w:b/>
          <w:bCs/>
          <w:color w:val="0B2545"/>
          <w:sz w:val="24"/>
          <w:szCs w:val="24"/>
        </w:rPr>
        <w:t xml:space="preserve">90 camions × 45 t × 3 rotations × 321 jours = 3 900 000 tonnes/an</w:t>
      </w:r>
    </w:p>
    <w:p>
      <w:pPr>
        <w:spacing w:after="120" w:before="0" w:line="276"/>
        <w:jc w:val="both"/>
      </w:pPr>
      <w:r>
        <w:rPr>
          <w:rFonts w:ascii="Calibri" w:cs="Calibri" w:eastAsia="Calibri" w:hAnsi="Calibri"/>
          <w:color w:val="1F2937"/>
          <w:sz w:val="21"/>
          <w:szCs w:val="21"/>
        </w:rPr>
        <w:t xml:space="preserve">Cette capacité est un maximum contractuel stabilisé et non une garantie indépendante des conditions de chargement, de la route et du port. La productivité sera mesurée par cycle complet, et non uniquement par la disponibilité des camions.</w:t>
      </w:r>
    </w:p>
    <w:p>
      <w:pPr>
        <w:pStyle w:val="Heading2"/>
        <w:keepNext/>
        <w:spacing w:after="100" w:before="240"/>
      </w:pPr>
      <w:r>
        <w:rPr>
          <w:rFonts w:ascii="Calibri" w:cs="Calibri" w:eastAsia="Calibri" w:hAnsi="Calibri"/>
          <w:b/>
          <w:bCs/>
          <w:color w:val="C8962E"/>
          <w:sz w:val="25"/>
          <w:szCs w:val="25"/>
        </w:rPr>
        <w:t xml:space="preserve">5.3  </w:t>
      </w:r>
      <w:r>
        <w:rPr>
          <w:rFonts w:ascii="Calibri" w:cs="Calibri" w:eastAsia="Calibri" w:hAnsi="Calibri"/>
          <w:b/>
          <w:bCs/>
          <w:color w:val="1F4E9E"/>
          <w:sz w:val="25"/>
          <w:szCs w:val="25"/>
        </w:rPr>
        <w:t xml:space="preserve">Composition de la flotte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gridCol w:w="1400"/>
        <w:gridCol w:w="4638"/>
      </w:tblGrid>
      <w:tr>
        <w:trPr>
          <w:tblHeader/>
        </w:trPr>
        <w:tc>
          <w:tcPr>
            <w:tcW w:type="dxa" w:w="36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Équipement</w:t>
            </w:r>
          </w:p>
        </w:tc>
        <w:tc>
          <w:tcPr>
            <w:tcW w:type="dxa" w:w="14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Quantité</w:t>
            </w:r>
          </w:p>
        </w:tc>
        <w:tc>
          <w:tcPr>
            <w:tcW w:type="dxa" w:w="46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Fonction</w:t>
            </w:r>
          </w:p>
        </w:tc>
      </w:tr>
      <w:tr>
        <w:trPr>
          <w:cantSplit/>
        </w:trPr>
        <w:tc>
          <w:tcPr>
            <w:tcW w:type="dxa" w:w="3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Camions-bennes lourds</w:t>
            </w:r>
          </w:p>
        </w:tc>
        <w:tc>
          <w:tcPr>
            <w:tcW w:type="dxa" w:w="1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100</w:t>
            </w:r>
          </w:p>
        </w:tc>
        <w:tc>
          <w:tcPr>
            <w:tcW w:type="dxa" w:w="4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Transport principal</w:t>
            </w:r>
          </w:p>
        </w:tc>
      </w:tr>
      <w:tr>
        <w:trPr>
          <w:cantSplit/>
        </w:trPr>
        <w:tc>
          <w:tcPr>
            <w:tcW w:type="dxa" w:w="36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Camions-ateliers mobiles</w:t>
            </w:r>
          </w:p>
        </w:tc>
        <w:tc>
          <w:tcPr>
            <w:tcW w:type="dxa" w:w="1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4</w:t>
            </w:r>
          </w:p>
        </w:tc>
        <w:tc>
          <w:tcPr>
            <w:tcW w:type="dxa" w:w="4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Dépannage et maintenance de proximité</w:t>
            </w:r>
          </w:p>
        </w:tc>
      </w:tr>
      <w:tr>
        <w:trPr>
          <w:cantSplit/>
        </w:trPr>
        <w:tc>
          <w:tcPr>
            <w:tcW w:type="dxa" w:w="3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Citernes carburant</w:t>
            </w:r>
          </w:p>
        </w:tc>
        <w:tc>
          <w:tcPr>
            <w:tcW w:type="dxa" w:w="1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2</w:t>
            </w:r>
          </w:p>
        </w:tc>
        <w:tc>
          <w:tcPr>
            <w:tcW w:type="dxa" w:w="4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Distribution contrôlée du diesel</w:t>
            </w:r>
          </w:p>
        </w:tc>
      </w:tr>
      <w:tr>
        <w:trPr>
          <w:cantSplit/>
        </w:trPr>
        <w:tc>
          <w:tcPr>
            <w:tcW w:type="dxa" w:w="36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Dépanneuse lourde</w:t>
            </w:r>
          </w:p>
        </w:tc>
        <w:tc>
          <w:tcPr>
            <w:tcW w:type="dxa" w:w="1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w:t>
            </w:r>
          </w:p>
        </w:tc>
        <w:tc>
          <w:tcPr>
            <w:tcW w:type="dxa" w:w="4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Récupération des véhicules immobilisés</w:t>
            </w:r>
          </w:p>
        </w:tc>
      </w:tr>
      <w:tr>
        <w:trPr>
          <w:cantSplit/>
        </w:trPr>
        <w:tc>
          <w:tcPr>
            <w:tcW w:type="dxa" w:w="3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Véhicules HSE et supervision</w:t>
            </w:r>
          </w:p>
        </w:tc>
        <w:tc>
          <w:tcPr>
            <w:tcW w:type="dxa" w:w="1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8</w:t>
            </w:r>
          </w:p>
        </w:tc>
        <w:tc>
          <w:tcPr>
            <w:tcW w:type="dxa" w:w="4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Contrôle opérationnel et interventions</w:t>
            </w:r>
          </w:p>
        </w:tc>
      </w:tr>
      <w:tr>
        <w:trPr>
          <w:cantSplit/>
        </w:trPr>
        <w:tc>
          <w:tcPr>
            <w:tcW w:type="dxa" w:w="36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Minibus du personnel</w:t>
            </w:r>
          </w:p>
        </w:tc>
        <w:tc>
          <w:tcPr>
            <w:tcW w:type="dxa" w:w="1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2</w:t>
            </w:r>
          </w:p>
        </w:tc>
        <w:tc>
          <w:tcPr>
            <w:tcW w:type="dxa" w:w="4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Relève et transport des équipes</w:t>
            </w:r>
          </w:p>
        </w:tc>
      </w:tr>
      <w:tr>
        <w:trPr>
          <w:cantSplit/>
        </w:trPr>
        <w:tc>
          <w:tcPr>
            <w:tcW w:type="dxa" w:w="3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Ambulance</w:t>
            </w:r>
          </w:p>
        </w:tc>
        <w:tc>
          <w:tcPr>
            <w:tcW w:type="dxa" w:w="1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w:t>
            </w:r>
          </w:p>
        </w:tc>
        <w:tc>
          <w:tcPr>
            <w:tcW w:type="dxa" w:w="4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Réponse médicale d’urgence</w:t>
            </w:r>
          </w:p>
        </w:tc>
      </w:tr>
    </w:tbl>
    <w:p>
      <w:pPr>
        <w:spacing w:after="180"/>
      </w:pPr>
    </w:p>
    <w:p>
      <w:pPr>
        <w:pStyle w:val="Heading2"/>
        <w:keepNext/>
        <w:spacing w:after="100" w:before="240"/>
      </w:pPr>
      <w:r>
        <w:rPr>
          <w:rFonts w:ascii="Calibri" w:cs="Calibri" w:eastAsia="Calibri" w:hAnsi="Calibri"/>
          <w:b/>
          <w:bCs/>
          <w:color w:val="C8962E"/>
          <w:sz w:val="25"/>
          <w:szCs w:val="25"/>
        </w:rPr>
        <w:t xml:space="preserve">5.4  </w:t>
      </w:r>
      <w:r>
        <w:rPr>
          <w:rFonts w:ascii="Calibri" w:cs="Calibri" w:eastAsia="Calibri" w:hAnsi="Calibri"/>
          <w:b/>
          <w:bCs/>
          <w:color w:val="1F4E9E"/>
          <w:sz w:val="25"/>
          <w:szCs w:val="25"/>
        </w:rPr>
        <w:t xml:space="preserve">Processus opérationnel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0"/>
        <w:gridCol w:w="8638"/>
      </w:tblGrid>
      <w:tr>
        <w:trPr>
          <w:tblHeader/>
        </w:trPr>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Étape</w:t>
            </w:r>
          </w:p>
        </w:tc>
        <w:tc>
          <w:tcPr>
            <w:tcW w:type="dxa" w:w="86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Contrôle essentiel</w:t>
            </w:r>
          </w:p>
        </w:tc>
      </w:tr>
      <w:tr>
        <w:trPr>
          <w:cantSplit/>
        </w:trPr>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1</w:t>
            </w:r>
          </w:p>
        </w:tc>
        <w:tc>
          <w:tcPr>
            <w:tcW w:type="dxa" w:w="8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Planification de la production et affectation des chauffeurs</w:t>
            </w:r>
          </w:p>
        </w:tc>
      </w:tr>
      <w:tr>
        <w:trPr>
          <w:cantSplit/>
        </w:trPr>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2</w:t>
            </w:r>
          </w:p>
        </w:tc>
        <w:tc>
          <w:tcPr>
            <w:tcW w:type="dxa" w:w="8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Inspection avant départ et autorisation de mise en service</w:t>
            </w:r>
          </w:p>
        </w:tc>
      </w:tr>
      <w:tr>
        <w:trPr>
          <w:cantSplit/>
        </w:trPr>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3</w:t>
            </w:r>
          </w:p>
        </w:tc>
        <w:tc>
          <w:tcPr>
            <w:tcW w:type="dxa" w:w="8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Chargement et contrôle de la charge utile</w:t>
            </w:r>
          </w:p>
        </w:tc>
      </w:tr>
      <w:tr>
        <w:trPr>
          <w:cantSplit/>
        </w:trPr>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4</w:t>
            </w:r>
          </w:p>
        </w:tc>
        <w:tc>
          <w:tcPr>
            <w:tcW w:type="dxa" w:w="8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Transport sous surveillance GPS/IVMS</w:t>
            </w:r>
          </w:p>
        </w:tc>
      </w:tr>
      <w:tr>
        <w:trPr>
          <w:cantSplit/>
        </w:trPr>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5</w:t>
            </w:r>
          </w:p>
        </w:tc>
        <w:tc>
          <w:tcPr>
            <w:tcW w:type="dxa" w:w="8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Pesage, déchargement et validation du tonnage</w:t>
            </w:r>
          </w:p>
        </w:tc>
      </w:tr>
      <w:tr>
        <w:trPr>
          <w:cantSplit/>
        </w:trPr>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6</w:t>
            </w:r>
          </w:p>
        </w:tc>
        <w:tc>
          <w:tcPr>
            <w:tcW w:type="dxa" w:w="8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Retour, gestion de file et nouvelle rotation</w:t>
            </w:r>
          </w:p>
        </w:tc>
      </w:tr>
      <w:tr>
        <w:trPr>
          <w:cantSplit/>
        </w:trPr>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7</w:t>
            </w:r>
          </w:p>
        </w:tc>
        <w:tc>
          <w:tcPr>
            <w:tcW w:type="dxa" w:w="8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Rapprochement journalier tonnage – carburant – kilométrage</w:t>
            </w:r>
          </w:p>
        </w:tc>
      </w:tr>
      <w:tr>
        <w:trPr>
          <w:cantSplit/>
        </w:trPr>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8</w:t>
            </w:r>
          </w:p>
        </w:tc>
        <w:tc>
          <w:tcPr>
            <w:tcW w:type="dxa" w:w="8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Maintenance préventive selon kilométrage et heures moteur</w:t>
            </w:r>
          </w:p>
        </w:tc>
      </w:tr>
    </w:tbl>
    <w:p>
      <w:pPr>
        <w:spacing w:after="180"/>
      </w:pPr>
    </w:p>
    <w:p>
      <w:pPr>
        <w:pStyle w:val="Heading2"/>
        <w:keepNext/>
        <w:spacing w:after="100" w:before="240"/>
      </w:pPr>
      <w:r>
        <w:rPr>
          <w:rFonts w:ascii="Calibri" w:cs="Calibri" w:eastAsia="Calibri" w:hAnsi="Calibri"/>
          <w:b/>
          <w:bCs/>
          <w:color w:val="C8962E"/>
          <w:sz w:val="25"/>
          <w:szCs w:val="25"/>
        </w:rPr>
        <w:t xml:space="preserve">5.5  </w:t>
      </w:r>
      <w:r>
        <w:rPr>
          <w:rFonts w:ascii="Calibri" w:cs="Calibri" w:eastAsia="Calibri" w:hAnsi="Calibri"/>
          <w:b/>
          <w:bCs/>
          <w:color w:val="1F4E9E"/>
          <w:sz w:val="25"/>
          <w:szCs w:val="25"/>
        </w:rPr>
        <w:t xml:space="preserve">Maintenance et pièces</w:t>
      </w:r>
    </w:p>
    <w:p>
      <w:pPr>
        <w:spacing w:after="120" w:before="0" w:line="276"/>
        <w:jc w:val="both"/>
      </w:pPr>
      <w:r>
        <w:rPr>
          <w:rFonts w:ascii="Calibri" w:cs="Calibri" w:eastAsia="Calibri" w:hAnsi="Calibri"/>
          <w:color w:val="1F2937"/>
          <w:sz w:val="21"/>
          <w:szCs w:val="21"/>
        </w:rPr>
        <w:t xml:space="preserve">L’atelier central couvrira la maintenance préventive, le diagnostic électronique, les pneumatiques, le graissage, le lavage, la soudure, les réparations de benne et la gestion des composants majeurs. Le stock initial sera établi par criticité et délai d’approvisionnement. Les moteurs, boîtes, ponts, suspensions, freins et pneus feront l’objet d’un programme de remplacement fondé sur l’état réel, financé par un </w:t>
      </w:r>
      <w:r>
        <w:rPr>
          <w:rFonts w:ascii="Calibri" w:cs="Calibri" w:eastAsia="Calibri" w:hAnsi="Calibri"/>
          <w:b/>
          <w:bCs/>
          <w:color w:val="0B2545"/>
          <w:sz w:val="21"/>
          <w:szCs w:val="21"/>
        </w:rPr>
        <w:t xml:space="preserve">compte de réserve de maintenance</w:t>
      </w:r>
      <w:r>
        <w:rPr>
          <w:rFonts w:ascii="Calibri" w:cs="Calibri" w:eastAsia="Calibri" w:hAnsi="Calibri"/>
          <w:color w:val="1F2937"/>
          <w:sz w:val="21"/>
          <w:szCs w:val="21"/>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tblHeader/>
        </w:trPr>
        <w:tc>
          <w:tcPr>
            <w:tcW w:type="dxa" w:w="4819"/>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KPI technique</w:t>
            </w:r>
          </w:p>
        </w:tc>
        <w:tc>
          <w:tcPr>
            <w:tcW w:type="dxa" w:w="4819"/>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Cible</w:t>
            </w:r>
          </w:p>
        </w:tc>
      </w:tr>
      <w:tr>
        <w:trPr>
          <w:cantSplit/>
        </w:trPr>
        <w:tc>
          <w:tcPr>
            <w:tcW w:type="dxa" w:w="48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Disponibilité mécanique</w:t>
            </w:r>
          </w:p>
        </w:tc>
        <w:tc>
          <w:tcPr>
            <w:tcW w:type="dxa" w:w="48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 85 %</w:t>
            </w:r>
          </w:p>
        </w:tc>
      </w:tr>
      <w:tr>
        <w:trPr>
          <w:cantSplit/>
        </w:trPr>
        <w:tc>
          <w:tcPr>
            <w:tcW w:type="dxa" w:w="48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Respect de la maintenance planifiée</w:t>
            </w:r>
          </w:p>
        </w:tc>
        <w:tc>
          <w:tcPr>
            <w:tcW w:type="dxa" w:w="48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 95 %</w:t>
            </w:r>
          </w:p>
        </w:tc>
      </w:tr>
      <w:tr>
        <w:trPr>
          <w:cantSplit/>
        </w:trPr>
        <w:tc>
          <w:tcPr>
            <w:tcW w:type="dxa" w:w="48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Taux de panne en ligne</w:t>
            </w:r>
          </w:p>
        </w:tc>
        <w:tc>
          <w:tcPr>
            <w:tcW w:type="dxa" w:w="48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 3 % des départs</w:t>
            </w:r>
          </w:p>
        </w:tc>
      </w:tr>
      <w:tr>
        <w:trPr>
          <w:cantSplit/>
        </w:trPr>
        <w:tc>
          <w:tcPr>
            <w:tcW w:type="dxa" w:w="48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Immobilisation moyenne</w:t>
            </w:r>
          </w:p>
        </w:tc>
        <w:tc>
          <w:tcPr>
            <w:tcW w:type="dxa" w:w="48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Suivie par type de panne</w:t>
            </w:r>
          </w:p>
        </w:tc>
      </w:tr>
      <w:tr>
        <w:trPr>
          <w:cantSplit/>
        </w:trPr>
        <w:tc>
          <w:tcPr>
            <w:tcW w:type="dxa" w:w="48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Exactitude du stock de pièces</w:t>
            </w:r>
          </w:p>
        </w:tc>
        <w:tc>
          <w:tcPr>
            <w:tcW w:type="dxa" w:w="48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 98 %</w:t>
            </w:r>
          </w:p>
        </w:tc>
      </w:tr>
      <w:tr>
        <w:trPr>
          <w:cantSplit/>
        </w:trPr>
        <w:tc>
          <w:tcPr>
            <w:tcW w:type="dxa" w:w="48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Écart carburant physique / système</w:t>
            </w:r>
          </w:p>
        </w:tc>
        <w:tc>
          <w:tcPr>
            <w:tcW w:type="dxa" w:w="48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 1 %</w:t>
            </w:r>
          </w:p>
        </w:tc>
      </w:tr>
    </w:tbl>
    <w:p>
      <w:pPr>
        <w:spacing w:after="180"/>
      </w:pPr>
    </w:p>
    <w:p>
      <w:pPr>
        <w:pStyle w:val="Heading1"/>
        <w:keepNext/>
        <w:pageBreakBefore/>
        <w:pBdr>
          <w:bottom w:val="single" w:color="C8962E" w:sz="12" w:space="6"/>
        </w:pBdr>
        <w:spacing w:after="80" w:before="0"/>
      </w:pPr>
      <w:r>
        <w:rPr>
          <w:rFonts w:ascii="Calibri" w:cs="Calibri" w:eastAsia="Calibri" w:hAnsi="Calibri"/>
          <w:b/>
          <w:bCs/>
          <w:color w:val="C8962E"/>
          <w:sz w:val="40"/>
          <w:szCs w:val="40"/>
        </w:rPr>
        <w:t xml:space="preserve">06  </w:t>
      </w:r>
      <w:r>
        <w:rPr>
          <w:rFonts w:ascii="Calibri" w:cs="Calibri" w:eastAsia="Calibri" w:hAnsi="Calibri"/>
          <w:b/>
          <w:bCs/>
          <w:color w:val="0B2545"/>
          <w:sz w:val="32"/>
          <w:szCs w:val="32"/>
        </w:rPr>
        <w:t xml:space="preserve">ORGANISATION, RESSOURCES HUMAINES ET CONTENU LOCAL</w:t>
      </w:r>
    </w:p>
    <w:p>
      <w:pPr>
        <w:spacing w:after="160"/>
      </w:pPr>
    </w:p>
    <w:p>
      <w:pPr>
        <w:pStyle w:val="Heading2"/>
        <w:keepNext/>
        <w:spacing w:after="100" w:before="240"/>
      </w:pPr>
      <w:r>
        <w:rPr>
          <w:rFonts w:ascii="Calibri" w:cs="Calibri" w:eastAsia="Calibri" w:hAnsi="Calibri"/>
          <w:b/>
          <w:bCs/>
          <w:color w:val="C8962E"/>
          <w:sz w:val="25"/>
          <w:szCs w:val="25"/>
        </w:rPr>
        <w:t xml:space="preserve">6.1  </w:t>
      </w:r>
      <w:r>
        <w:rPr>
          <w:rFonts w:ascii="Calibri" w:cs="Calibri" w:eastAsia="Calibri" w:hAnsi="Calibri"/>
          <w:b/>
          <w:bCs/>
          <w:color w:val="1F4E9E"/>
          <w:sz w:val="25"/>
          <w:szCs w:val="25"/>
        </w:rPr>
        <w:t xml:space="preserve">Structure de gouvernance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00"/>
        <w:gridCol w:w="6438"/>
      </w:tblGrid>
      <w:tr>
        <w:trPr>
          <w:tblHeader/>
        </w:trPr>
        <w:tc>
          <w:tcPr>
            <w:tcW w:type="dxa" w:w="32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Niveau</w:t>
            </w:r>
          </w:p>
        </w:tc>
        <w:tc>
          <w:tcPr>
            <w:tcW w:type="dxa" w:w="64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Fonctions clés</w:t>
            </w:r>
          </w:p>
        </w:tc>
      </w:tr>
      <w:tr>
        <w:trPr>
          <w:cantSplit/>
        </w:trPr>
        <w:tc>
          <w:tcPr>
            <w:tcW w:type="dxa" w:w="3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Conseil d’administration</w:t>
            </w:r>
          </w:p>
        </w:tc>
        <w:tc>
          <w:tcPr>
            <w:tcW w:type="dxa" w:w="64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Stratégie, financement, audit, nomination de la direction ; comité d’audit et des risques</w:t>
            </w:r>
          </w:p>
        </w:tc>
      </w:tr>
      <w:tr>
        <w:trPr>
          <w:cantSplit/>
        </w:trPr>
        <w:tc>
          <w:tcPr>
            <w:tcW w:type="dxa" w:w="32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Direction générale</w:t>
            </w:r>
          </w:p>
        </w:tc>
        <w:tc>
          <w:tcPr>
            <w:tcW w:type="dxa" w:w="64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Contrat client, performance globale, conformité, relation prêteurs</w:t>
            </w:r>
          </w:p>
        </w:tc>
      </w:tr>
      <w:tr>
        <w:trPr>
          <w:cantSplit/>
        </w:trPr>
        <w:tc>
          <w:tcPr>
            <w:tcW w:type="dxa" w:w="3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Direction des opérations</w:t>
            </w:r>
          </w:p>
        </w:tc>
        <w:tc>
          <w:tcPr>
            <w:tcW w:type="dxa" w:w="64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Production, dispatch, chauffeurs, relation avec le site</w:t>
            </w:r>
          </w:p>
        </w:tc>
      </w:tr>
      <w:tr>
        <w:trPr>
          <w:cantSplit/>
        </w:trPr>
        <w:tc>
          <w:tcPr>
            <w:tcW w:type="dxa" w:w="32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Direction technique</w:t>
            </w:r>
          </w:p>
        </w:tc>
        <w:tc>
          <w:tcPr>
            <w:tcW w:type="dxa" w:w="64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Maintenance, pièces, pneus, carburant</w:t>
            </w:r>
          </w:p>
        </w:tc>
      </w:tr>
      <w:tr>
        <w:trPr>
          <w:cantSplit/>
        </w:trPr>
        <w:tc>
          <w:tcPr>
            <w:tcW w:type="dxa" w:w="3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Direction HSE-Q</w:t>
            </w:r>
          </w:p>
        </w:tc>
        <w:tc>
          <w:tcPr>
            <w:tcW w:type="dxa" w:w="64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Sécurité, qualité, environnement, social, enquêtes incidents</w:t>
            </w:r>
          </w:p>
        </w:tc>
      </w:tr>
      <w:tr>
        <w:trPr>
          <w:cantSplit/>
        </w:trPr>
        <w:tc>
          <w:tcPr>
            <w:tcW w:type="dxa" w:w="32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Direction administrative et financière</w:t>
            </w:r>
          </w:p>
        </w:tc>
        <w:tc>
          <w:tcPr>
            <w:tcW w:type="dxa" w:w="64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Comptabilité IFRS/SYSCOHADA, trésorerie, fiscalité, contrôle de gestion, reporting prêteurs</w:t>
            </w:r>
          </w:p>
        </w:tc>
      </w:tr>
      <w:tr>
        <w:trPr>
          <w:cantSplit/>
        </w:trPr>
        <w:tc>
          <w:tcPr>
            <w:tcW w:type="dxa" w:w="3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Ressources humaines</w:t>
            </w:r>
          </w:p>
        </w:tc>
        <w:tc>
          <w:tcPr>
            <w:tcW w:type="dxa" w:w="64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Recrutement, formation, paie, discipline, relations sociales</w:t>
            </w:r>
          </w:p>
        </w:tc>
      </w:tr>
    </w:tbl>
    <w:p>
      <w:pPr>
        <w:spacing w:after="180"/>
      </w:pPr>
    </w:p>
    <w:p>
      <w:pPr>
        <w:pStyle w:val="Heading2"/>
        <w:keepNext/>
        <w:spacing w:after="100" w:before="240"/>
      </w:pPr>
      <w:r>
        <w:rPr>
          <w:rFonts w:ascii="Calibri" w:cs="Calibri" w:eastAsia="Calibri" w:hAnsi="Calibri"/>
          <w:b/>
          <w:bCs/>
          <w:color w:val="C8962E"/>
          <w:sz w:val="25"/>
          <w:szCs w:val="25"/>
        </w:rPr>
        <w:t xml:space="preserve">6.2  </w:t>
      </w:r>
      <w:r>
        <w:rPr>
          <w:rFonts w:ascii="Calibri" w:cs="Calibri" w:eastAsia="Calibri" w:hAnsi="Calibri"/>
          <w:b/>
          <w:bCs/>
          <w:color w:val="1F4E9E"/>
          <w:sz w:val="25"/>
          <w:szCs w:val="25"/>
        </w:rPr>
        <w:t xml:space="preserve">Effectif cible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38"/>
        <w:gridCol w:w="3000"/>
      </w:tblGrid>
      <w:tr>
        <w:trPr>
          <w:tblHeader/>
        </w:trPr>
        <w:tc>
          <w:tcPr>
            <w:tcW w:type="dxa" w:w="66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Catégorie</w:t>
            </w:r>
          </w:p>
        </w:tc>
        <w:tc>
          <w:tcPr>
            <w:tcW w:type="dxa" w:w="3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8"/>
                <w:szCs w:val="18"/>
              </w:rPr>
              <w:t xml:space="preserve">Effectif indicatif</w:t>
            </w:r>
          </w:p>
        </w:tc>
      </w:tr>
      <w:tr>
        <w:trPr>
          <w:cantSplit/>
        </w:trPr>
        <w:tc>
          <w:tcPr>
            <w:tcW w:type="dxa" w:w="6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Chauffeurs titulaires, relèves et réserve</w:t>
            </w:r>
          </w:p>
        </w:tc>
        <w:tc>
          <w:tcPr>
            <w:tcW w:type="dxa" w:w="3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220</w:t>
            </w:r>
          </w:p>
        </w:tc>
      </w:tr>
      <w:tr>
        <w:trPr>
          <w:cantSplit/>
        </w:trPr>
        <w:tc>
          <w:tcPr>
            <w:tcW w:type="dxa" w:w="6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Mécaniciens, électriciens et soudeurs</w:t>
            </w:r>
          </w:p>
        </w:tc>
        <w:tc>
          <w:tcPr>
            <w:tcW w:type="dxa" w:w="3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30</w:t>
            </w:r>
          </w:p>
        </w:tc>
      </w:tr>
      <w:tr>
        <w:trPr>
          <w:cantSplit/>
        </w:trPr>
        <w:tc>
          <w:tcPr>
            <w:tcW w:type="dxa" w:w="6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Techniciens pneus, graissage et lavage</w:t>
            </w:r>
          </w:p>
        </w:tc>
        <w:tc>
          <w:tcPr>
            <w:tcW w:type="dxa" w:w="3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16</w:t>
            </w:r>
          </w:p>
        </w:tc>
      </w:tr>
      <w:tr>
        <w:trPr>
          <w:cantSplit/>
        </w:trPr>
        <w:tc>
          <w:tcPr>
            <w:tcW w:type="dxa" w:w="6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Dispatchers et contrôleurs de flotte</w:t>
            </w:r>
          </w:p>
        </w:tc>
        <w:tc>
          <w:tcPr>
            <w:tcW w:type="dxa" w:w="3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12</w:t>
            </w:r>
          </w:p>
        </w:tc>
      </w:tr>
      <w:tr>
        <w:trPr>
          <w:cantSplit/>
        </w:trPr>
        <w:tc>
          <w:tcPr>
            <w:tcW w:type="dxa" w:w="6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HSE, qualité et sécurité routière</w:t>
            </w:r>
          </w:p>
        </w:tc>
        <w:tc>
          <w:tcPr>
            <w:tcW w:type="dxa" w:w="3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15</w:t>
            </w:r>
          </w:p>
        </w:tc>
      </w:tr>
      <w:tr>
        <w:trPr>
          <w:cantSplit/>
        </w:trPr>
        <w:tc>
          <w:tcPr>
            <w:tcW w:type="dxa" w:w="6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Magasin, achats et carburant</w:t>
            </w:r>
          </w:p>
        </w:tc>
        <w:tc>
          <w:tcPr>
            <w:tcW w:type="dxa" w:w="3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10</w:t>
            </w:r>
          </w:p>
        </w:tc>
      </w:tr>
      <w:tr>
        <w:trPr>
          <w:cantSplit/>
        </w:trPr>
        <w:tc>
          <w:tcPr>
            <w:tcW w:type="dxa" w:w="6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Administration, finance et RH</w:t>
            </w:r>
          </w:p>
        </w:tc>
        <w:tc>
          <w:tcPr>
            <w:tcW w:type="dxa" w:w="3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18</w:t>
            </w:r>
          </w:p>
        </w:tc>
      </w:tr>
      <w:tr>
        <w:trPr>
          <w:cantSplit/>
        </w:trPr>
        <w:tc>
          <w:tcPr>
            <w:tcW w:type="dxa" w:w="6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Direction et responsables</w:t>
            </w:r>
          </w:p>
        </w:tc>
        <w:tc>
          <w:tcPr>
            <w:tcW w:type="dxa" w:w="3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8</w:t>
            </w:r>
          </w:p>
        </w:tc>
      </w:tr>
      <w:tr>
        <w:trPr>
          <w:cantSplit/>
        </w:trPr>
        <w:tc>
          <w:tcPr>
            <w:tcW w:type="dxa" w:w="6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Sécurité, nettoyage et soutien</w:t>
            </w:r>
          </w:p>
        </w:tc>
        <w:tc>
          <w:tcPr>
            <w:tcW w:type="dxa" w:w="3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15</w:t>
            </w:r>
          </w:p>
        </w:tc>
      </w:tr>
      <w:tr>
        <w:trPr>
          <w:cantSplit/>
        </w:trPr>
        <w:tc>
          <w:tcPr>
            <w:tcW w:type="dxa" w:w="6638"/>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0B2545"/>
                <w:sz w:val="18"/>
                <w:szCs w:val="18"/>
              </w:rPr>
              <w:t xml:space="preserve">Total indicatif</w:t>
            </w:r>
          </w:p>
        </w:tc>
        <w:tc>
          <w:tcPr>
            <w:tcW w:type="dxa" w:w="3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8"/>
                <w:szCs w:val="18"/>
              </w:rPr>
              <w:t xml:space="preserve">344</w:t>
            </w:r>
          </w:p>
        </w:tc>
      </w:tr>
    </w:tbl>
    <w:p>
      <w:pPr>
        <w:spacing w:after="180"/>
      </w:pPr>
    </w:p>
    <w:p>
      <w:pPr>
        <w:spacing w:after="120" w:before="0" w:line="276"/>
        <w:jc w:val="both"/>
      </w:pPr>
      <w:r>
        <w:rPr>
          <w:rFonts w:ascii="Calibri" w:cs="Calibri" w:eastAsia="Calibri" w:hAnsi="Calibri"/>
          <w:color w:val="1F2937"/>
          <w:sz w:val="21"/>
          <w:szCs w:val="21"/>
        </w:rPr>
        <w:t xml:space="preserve">L’effectif sera recalculé après validation des cycles de travail, de la politique de relève et des services externalisés. Le budget salarial du modèle est un plafond agrégé, et non une grille de rémunération individuelle.</w:t>
      </w:r>
    </w:p>
    <w:p>
      <w:pPr>
        <w:pStyle w:val="Heading2"/>
        <w:keepNext/>
        <w:spacing w:after="100" w:before="240"/>
      </w:pPr>
      <w:r>
        <w:rPr>
          <w:rFonts w:ascii="Calibri" w:cs="Calibri" w:eastAsia="Calibri" w:hAnsi="Calibri"/>
          <w:b/>
          <w:bCs/>
          <w:color w:val="C8962E"/>
          <w:sz w:val="25"/>
          <w:szCs w:val="25"/>
        </w:rPr>
        <w:t xml:space="preserve">6.3  </w:t>
      </w:r>
      <w:r>
        <w:rPr>
          <w:rFonts w:ascii="Calibri" w:cs="Calibri" w:eastAsia="Calibri" w:hAnsi="Calibri"/>
          <w:b/>
          <w:bCs/>
          <w:color w:val="1F4E9E"/>
          <w:sz w:val="25"/>
          <w:szCs w:val="25"/>
        </w:rPr>
        <w:t xml:space="preserve">Contenu local</w:t>
      </w:r>
    </w:p>
    <w:p>
      <w:pPr>
        <w:spacing w:after="120" w:before="0" w:line="276"/>
        <w:jc w:val="both"/>
      </w:pPr>
      <w:r>
        <w:rPr>
          <w:rFonts w:ascii="Calibri" w:cs="Calibri" w:eastAsia="Calibri" w:hAnsi="Calibri"/>
          <w:color w:val="1F2937"/>
          <w:sz w:val="21"/>
          <w:szCs w:val="21"/>
        </w:rPr>
        <w:t xml:space="preserve">La loi L/2022/0010/CNT définit l’entreprise locale comme une entreprise établie et immatriculée en Guinée, dont le capital est détenu à au moins </w:t>
      </w:r>
      <w:r>
        <w:rPr>
          <w:rFonts w:ascii="Calibri" w:cs="Calibri" w:eastAsia="Calibri" w:hAnsi="Calibri"/>
          <w:b/>
          <w:bCs/>
          <w:color w:val="0B2545"/>
          <w:sz w:val="21"/>
          <w:szCs w:val="21"/>
        </w:rPr>
        <w:t xml:space="preserve">51 %</w:t>
      </w:r>
      <w:r>
        <w:rPr>
          <w:rFonts w:ascii="Calibri" w:cs="Calibri" w:eastAsia="Calibri" w:hAnsi="Calibri"/>
          <w:color w:val="1F2937"/>
          <w:sz w:val="21"/>
          <w:szCs w:val="21"/>
        </w:rPr>
        <w:t xml:space="preserve"> par des personnes guinéennes, avec au moins </w:t>
      </w:r>
      <w:r>
        <w:rPr>
          <w:rFonts w:ascii="Calibri" w:cs="Calibri" w:eastAsia="Calibri" w:hAnsi="Calibri"/>
          <w:b/>
          <w:bCs/>
          <w:color w:val="0B2545"/>
          <w:sz w:val="21"/>
          <w:szCs w:val="21"/>
        </w:rPr>
        <w:t xml:space="preserve">50 %</w:t>
      </w:r>
      <w:r>
        <w:rPr>
          <w:rFonts w:ascii="Calibri" w:cs="Calibri" w:eastAsia="Calibri" w:hAnsi="Calibri"/>
          <w:color w:val="1F2937"/>
          <w:sz w:val="21"/>
          <w:szCs w:val="21"/>
        </w:rPr>
        <w:t xml:space="preserve"> de personnel dirigeant et </w:t>
      </w:r>
      <w:r>
        <w:rPr>
          <w:rFonts w:ascii="Calibri" w:cs="Calibri" w:eastAsia="Calibri" w:hAnsi="Calibri"/>
          <w:b/>
          <w:bCs/>
          <w:color w:val="0B2545"/>
          <w:sz w:val="21"/>
          <w:szCs w:val="21"/>
        </w:rPr>
        <w:t xml:space="preserve">75 %</w:t>
      </w:r>
      <w:r>
        <w:rPr>
          <w:rFonts w:ascii="Calibri" w:cs="Calibri" w:eastAsia="Calibri" w:hAnsi="Calibri"/>
          <w:color w:val="1F2937"/>
          <w:sz w:val="21"/>
          <w:szCs w:val="21"/>
        </w:rPr>
        <w:t xml:space="preserve"> de personnel d’exécution guinéens. Elle prévoit également l’approvisionnement local en biens et services et la transmission de plans d’approvisionnement.</w:t>
      </w:r>
    </w:p>
    <w:p>
      <w:pPr>
        <w:spacing w:after="160"/>
      </w:pPr>
      <w:r>
        <w:rPr>
          <w:rFonts w:ascii="Calibri" w:cs="Calibri" w:eastAsia="Calibri" w:hAnsi="Calibri"/>
          <w:i/>
          <w:iCs/>
          <w:color w:val="6B7280"/>
          <w:sz w:val="16"/>
          <w:szCs w:val="16"/>
        </w:rPr>
        <w:t xml:space="preserve">Source : Conseil National de la Transition, loi L/2022/0010/CNT portant contenu local, articles 1 à 3 et article 8.</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C8962E" w:sz="36"/>
              <w:bottom w:val="none" w:color="FFFFFF" w:sz="0"/>
              <w:right w:val="none" w:color="FFFFFF" w:sz="0"/>
            </w:tcBorders>
            <w:shd w:fill="FBF4E6" w:color="auto" w:val="clear"/>
            <w:tcMar>
              <w:top w:type="dxa" w:w="140"/>
              <w:left w:type="dxa" w:w="240"/>
              <w:bottom w:type="dxa" w:w="140"/>
              <w:right w:type="dxa" w:w="200"/>
            </w:tcMar>
          </w:tcPr>
          <w:p>
            <w:pPr>
              <w:spacing w:after="60"/>
            </w:pPr>
            <w:r>
              <w:rPr>
                <w:rFonts w:ascii="Calibri" w:cs="Calibri" w:eastAsia="Calibri" w:hAnsi="Calibri"/>
                <w:b/>
                <w:bCs/>
                <w:color w:val="0B2545"/>
                <w:spacing w:val="20"/>
                <w:sz w:val="18"/>
                <w:szCs w:val="18"/>
              </w:rPr>
              <w:t xml:space="preserve">ORIENTATION DE STRUCTURATION</w:t>
            </w:r>
          </w:p>
          <w:p>
            <w:pPr>
              <w:spacing w:after="40" w:line="264"/>
              <w:jc w:val="both"/>
            </w:pPr>
            <w:r>
              <w:rPr>
                <w:rFonts w:ascii="Calibri" w:cs="Calibri" w:eastAsia="Calibri" w:hAnsi="Calibri"/>
                <w:color w:val="1F2937"/>
                <w:sz w:val="20"/>
                <w:szCs w:val="20"/>
              </w:rPr>
              <w:t xml:space="preserve">La SPV sera constituée en droit guinéen, avec un plan de nationalisation des postes, un programme de formation des chauffeurs et techniciens et une politique documentée d’achats locaux. Toute entrée d’un partenaire étranger sera plafonnée de façon à préserver la qualification d’entreprise locale.</w:t>
            </w:r>
          </w:p>
        </w:tc>
      </w:tr>
    </w:tbl>
    <w:p>
      <w:pPr>
        <w:spacing w:after="180"/>
      </w:pPr>
    </w:p>
    <w:p>
      <w:pPr>
        <w:pStyle w:val="Heading2"/>
        <w:keepNext/>
        <w:spacing w:after="100" w:before="240"/>
      </w:pPr>
      <w:r>
        <w:rPr>
          <w:rFonts w:ascii="Calibri" w:cs="Calibri" w:eastAsia="Calibri" w:hAnsi="Calibri"/>
          <w:b/>
          <w:bCs/>
          <w:color w:val="C8962E"/>
          <w:sz w:val="25"/>
          <w:szCs w:val="25"/>
        </w:rPr>
        <w:t xml:space="preserve">6.4  </w:t>
      </w:r>
      <w:r>
        <w:rPr>
          <w:rFonts w:ascii="Calibri" w:cs="Calibri" w:eastAsia="Calibri" w:hAnsi="Calibri"/>
          <w:b/>
          <w:bCs/>
          <w:color w:val="1F4E9E"/>
          <w:sz w:val="25"/>
          <w:szCs w:val="25"/>
        </w:rPr>
        <w:t xml:space="preserve">Formation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7238"/>
      </w:tblGrid>
      <w:tr>
        <w:trPr>
          <w:tblHeader/>
        </w:trPr>
        <w:tc>
          <w:tcPr>
            <w:tcW w:type="dxa" w:w="24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Population</w:t>
            </w:r>
          </w:p>
        </w:tc>
        <w:tc>
          <w:tcPr>
            <w:tcW w:type="dxa" w:w="72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Formation minimale</w:t>
            </w:r>
          </w:p>
        </w:tc>
      </w:tr>
      <w:tr>
        <w:trPr>
          <w:cantSplit/>
        </w:trPr>
        <w:tc>
          <w:tcPr>
            <w:tcW w:type="dxa" w:w="2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Chauffeurs</w:t>
            </w:r>
          </w:p>
        </w:tc>
        <w:tc>
          <w:tcPr>
            <w:tcW w:type="dxa" w:w="72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Conduite défensive, route minière, fatigue, freinage, inspection, premiers secours</w:t>
            </w:r>
          </w:p>
        </w:tc>
      </w:tr>
      <w:tr>
        <w:trPr>
          <w:cantSplit/>
        </w:trPr>
        <w:tc>
          <w:tcPr>
            <w:tcW w:type="dxa" w:w="2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Mécaniciens</w:t>
            </w:r>
          </w:p>
        </w:tc>
        <w:tc>
          <w:tcPr>
            <w:tcW w:type="dxa" w:w="72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Procédures constructeur, consignation, levage, diagnostic et sécurité atelier</w:t>
            </w:r>
          </w:p>
        </w:tc>
      </w:tr>
      <w:tr>
        <w:trPr>
          <w:cantSplit/>
        </w:trPr>
        <w:tc>
          <w:tcPr>
            <w:tcW w:type="dxa" w:w="2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Dispatchers</w:t>
            </w:r>
          </w:p>
        </w:tc>
        <w:tc>
          <w:tcPr>
            <w:tcW w:type="dxa" w:w="72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Planification, système de flotte, gestion des incidents et reporting</w:t>
            </w:r>
          </w:p>
        </w:tc>
      </w:tr>
      <w:tr>
        <w:trPr>
          <w:cantSplit/>
        </w:trPr>
        <w:tc>
          <w:tcPr>
            <w:tcW w:type="dxa" w:w="2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Managers</w:t>
            </w:r>
          </w:p>
        </w:tc>
        <w:tc>
          <w:tcPr>
            <w:tcW w:type="dxa" w:w="72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Leadership HSE, gestion contractuelle, coûts, enquête et conformité</w:t>
            </w:r>
          </w:p>
        </w:tc>
      </w:tr>
    </w:tbl>
    <w:p>
      <w:pPr>
        <w:spacing w:after="180"/>
      </w:pPr>
    </w:p>
    <w:p>
      <w:pPr>
        <w:pStyle w:val="Heading1"/>
        <w:keepNext/>
        <w:pageBreakBefore/>
        <w:pBdr>
          <w:bottom w:val="single" w:color="C8962E" w:sz="12" w:space="6"/>
        </w:pBdr>
        <w:spacing w:after="80" w:before="0"/>
      </w:pPr>
      <w:r>
        <w:rPr>
          <w:rFonts w:ascii="Calibri" w:cs="Calibri" w:eastAsia="Calibri" w:hAnsi="Calibri"/>
          <w:b/>
          <w:bCs/>
          <w:color w:val="C8962E"/>
          <w:sz w:val="40"/>
          <w:szCs w:val="40"/>
        </w:rPr>
        <w:t xml:space="preserve">07  </w:t>
      </w:r>
      <w:r>
        <w:rPr>
          <w:rFonts w:ascii="Calibri" w:cs="Calibri" w:eastAsia="Calibri" w:hAnsi="Calibri"/>
          <w:b/>
          <w:bCs/>
          <w:color w:val="0B2545"/>
          <w:sz w:val="32"/>
          <w:szCs w:val="32"/>
        </w:rPr>
        <w:t xml:space="preserve">HSE, NORMES ENVIRONNEMENTALES ET SOCIALES</w:t>
      </w:r>
    </w:p>
    <w:p>
      <w:pPr>
        <w:spacing w:after="160"/>
      </w:pPr>
    </w:p>
    <w:p>
      <w:pPr>
        <w:pStyle w:val="Heading2"/>
        <w:keepNext/>
        <w:spacing w:after="100" w:before="240"/>
      </w:pPr>
      <w:r>
        <w:rPr>
          <w:rFonts w:ascii="Calibri" w:cs="Calibri" w:eastAsia="Calibri" w:hAnsi="Calibri"/>
          <w:b/>
          <w:bCs/>
          <w:color w:val="C8962E"/>
          <w:sz w:val="25"/>
          <w:szCs w:val="25"/>
        </w:rPr>
        <w:t xml:space="preserve">7.1  </w:t>
      </w:r>
      <w:r>
        <w:rPr>
          <w:rFonts w:ascii="Calibri" w:cs="Calibri" w:eastAsia="Calibri" w:hAnsi="Calibri"/>
          <w:b/>
          <w:bCs/>
          <w:color w:val="1F4E9E"/>
          <w:sz w:val="25"/>
          <w:szCs w:val="25"/>
        </w:rPr>
        <w:t xml:space="preserve">Référentiel international applicable</w:t>
      </w:r>
    </w:p>
    <w:p>
      <w:pPr>
        <w:spacing w:after="120" w:before="0" w:line="276"/>
        <w:jc w:val="both"/>
      </w:pPr>
      <w:r>
        <w:rPr>
          <w:rFonts w:ascii="Calibri" w:cs="Calibri" w:eastAsia="Calibri" w:hAnsi="Calibri"/>
          <w:color w:val="1F2937"/>
          <w:sz w:val="21"/>
          <w:szCs w:val="21"/>
        </w:rPr>
        <w:t xml:space="preserve">Les institutions financières internationales conditionnent leur financement au respect de standards environnementaux et sociaux reconnus. Le projet est, selon toute vraisemblance, de </w:t>
      </w:r>
      <w:r>
        <w:rPr>
          <w:rFonts w:ascii="Calibri" w:cs="Calibri" w:eastAsia="Calibri" w:hAnsi="Calibri"/>
          <w:b/>
          <w:bCs/>
          <w:color w:val="0B2545"/>
          <w:sz w:val="21"/>
          <w:szCs w:val="21"/>
        </w:rPr>
        <w:t xml:space="preserve">catégorie B</w:t>
      </w:r>
      <w:r>
        <w:rPr>
          <w:rFonts w:ascii="Calibri" w:cs="Calibri" w:eastAsia="Calibri" w:hAnsi="Calibri"/>
          <w:color w:val="1F2937"/>
          <w:sz w:val="21"/>
          <w:szCs w:val="21"/>
        </w:rPr>
        <w:t xml:space="preserve"> au sens des </w:t>
      </w:r>
      <w:r>
        <w:rPr>
          <w:rFonts w:ascii="Calibri" w:cs="Calibri" w:eastAsia="Calibri" w:hAnsi="Calibri"/>
          <w:b/>
          <w:bCs/>
          <w:color w:val="0B2545"/>
          <w:sz w:val="21"/>
          <w:szCs w:val="21"/>
        </w:rPr>
        <w:t xml:space="preserve">Principes de l’Équateur</w:t>
      </w:r>
      <w:r>
        <w:rPr>
          <w:rFonts w:ascii="Calibri" w:cs="Calibri" w:eastAsia="Calibri" w:hAnsi="Calibri"/>
          <w:color w:val="1F2937"/>
          <w:sz w:val="21"/>
          <w:szCs w:val="21"/>
        </w:rPr>
        <w:t xml:space="preserve"> (impacts limités, largement réversibles et maîtrisables). Le système de management sera aligné sur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6238"/>
      </w:tblGrid>
      <w:tr>
        <w:trPr>
          <w:tblHeader/>
        </w:trPr>
        <w:tc>
          <w:tcPr>
            <w:tcW w:type="dxa" w:w="34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Référentiel</w:t>
            </w:r>
          </w:p>
        </w:tc>
        <w:tc>
          <w:tcPr>
            <w:tcW w:type="dxa" w:w="62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Application au projet</w:t>
            </w:r>
          </w:p>
        </w:tc>
      </w:tr>
      <w:tr>
        <w:trPr>
          <w:cantSplit/>
        </w:trPr>
        <w:tc>
          <w:tcPr>
            <w:tcW w:type="dxa" w:w="3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Normes de performance IFC (PS1 à PS4)</w:t>
            </w:r>
          </w:p>
        </w:tc>
        <w:tc>
          <w:tcPr>
            <w:tcW w:type="dxa" w:w="62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Système de gestion E&amp;S (ESMS), conditions de travail, prévention de la pollution, santé et sécurité des communautés</w:t>
            </w:r>
          </w:p>
        </w:tc>
      </w:tr>
      <w:tr>
        <w:trPr>
          <w:cantSplit/>
        </w:trPr>
        <w:tc>
          <w:tcPr>
            <w:tcW w:type="dxa" w:w="3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Principes de l’Équateur IV</w:t>
            </w:r>
          </w:p>
        </w:tc>
        <w:tc>
          <w:tcPr>
            <w:tcW w:type="dxa" w:w="62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Catégorisation, évaluation E&amp;S, plan d’action E&amp;S (ESAP), mécanisme de plainte, suivi indépendant</w:t>
            </w:r>
          </w:p>
        </w:tc>
      </w:tr>
      <w:tr>
        <w:trPr>
          <w:cantSplit/>
        </w:trPr>
        <w:tc>
          <w:tcPr>
            <w:tcW w:type="dxa" w:w="3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Directives EHS du Groupe Banque mondiale</w:t>
            </w:r>
          </w:p>
        </w:tc>
        <w:tc>
          <w:tcPr>
            <w:tcW w:type="dxa" w:w="62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Directives générales et directives transport routier / hydrocarbures</w:t>
            </w:r>
          </w:p>
        </w:tc>
      </w:tr>
      <w:tr>
        <w:trPr>
          <w:cantSplit/>
        </w:trPr>
        <w:tc>
          <w:tcPr>
            <w:tcW w:type="dxa" w:w="3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ISO 45001, ISO 14001, ISO 9001</w:t>
            </w:r>
          </w:p>
        </w:tc>
        <w:tc>
          <w:tcPr>
            <w:tcW w:type="dxa" w:w="62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Certification visée dans les 24 mois suivant la mise en service</w:t>
            </w:r>
          </w:p>
        </w:tc>
      </w:tr>
      <w:tr>
        <w:trPr>
          <w:cantSplit/>
        </w:trPr>
        <w:tc>
          <w:tcPr>
            <w:tcW w:type="dxa" w:w="3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ISO 39001</w:t>
            </w:r>
          </w:p>
        </w:tc>
        <w:tc>
          <w:tcPr>
            <w:tcW w:type="dxa" w:w="62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Management de la sécurité routière, recommandé pour un opérateur de flotte lourde</w:t>
            </w:r>
          </w:p>
        </w:tc>
      </w:tr>
      <w:tr>
        <w:trPr>
          <w:cantSplit/>
        </w:trPr>
        <w:tc>
          <w:tcPr>
            <w:tcW w:type="dxa" w:w="3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Conventions fondamentales de l’OIT</w:t>
            </w:r>
          </w:p>
        </w:tc>
        <w:tc>
          <w:tcPr>
            <w:tcW w:type="dxa" w:w="62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Interdiction du travail forcé et du travail des enfants, liberté syndicale, non-discrimination</w:t>
            </w:r>
          </w:p>
        </w:tc>
      </w:tr>
    </w:tbl>
    <w:p>
      <w:pPr>
        <w:spacing w:after="180"/>
      </w:pPr>
    </w:p>
    <w:p>
      <w:pPr>
        <w:pStyle w:val="Heading2"/>
        <w:keepNext/>
        <w:spacing w:after="100" w:before="240"/>
      </w:pPr>
      <w:r>
        <w:rPr>
          <w:rFonts w:ascii="Calibri" w:cs="Calibri" w:eastAsia="Calibri" w:hAnsi="Calibri"/>
          <w:b/>
          <w:bCs/>
          <w:color w:val="C8962E"/>
          <w:sz w:val="25"/>
          <w:szCs w:val="25"/>
        </w:rPr>
        <w:t xml:space="preserve">7.2  </w:t>
      </w:r>
      <w:r>
        <w:rPr>
          <w:rFonts w:ascii="Calibri" w:cs="Calibri" w:eastAsia="Calibri" w:hAnsi="Calibri"/>
          <w:b/>
          <w:bCs/>
          <w:color w:val="1F4E9E"/>
          <w:sz w:val="25"/>
          <w:szCs w:val="25"/>
        </w:rPr>
        <w:t xml:space="preserve">Principaux dangers et mesures critiques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6638"/>
      </w:tblGrid>
      <w:tr>
        <w:trPr>
          <w:tblHeader/>
        </w:trPr>
        <w:tc>
          <w:tcPr>
            <w:tcW w:type="dxa" w:w="3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Danger</w:t>
            </w:r>
          </w:p>
        </w:tc>
        <w:tc>
          <w:tcPr>
            <w:tcW w:type="dxa" w:w="66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Mesure critique</w:t>
            </w:r>
          </w:p>
        </w:tc>
      </w:tr>
      <w:tr>
        <w:trPr>
          <w:cantSplit/>
        </w:trPr>
        <w:tc>
          <w:tcPr>
            <w:tcW w:type="dxa" w:w="3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Collision ou renversement</w:t>
            </w:r>
          </w:p>
        </w:tc>
        <w:tc>
          <w:tcPr>
            <w:tcW w:type="dxa" w:w="6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Limiteurs, IVMS, contrôle de vitesse, conduite défensive, voies séparées</w:t>
            </w:r>
          </w:p>
        </w:tc>
      </w:tr>
      <w:tr>
        <w:trPr>
          <w:cantSplit/>
        </w:trPr>
        <w:tc>
          <w:tcPr>
            <w:tcW w:type="dxa" w:w="3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Fatigue</w:t>
            </w:r>
          </w:p>
        </w:tc>
        <w:tc>
          <w:tcPr>
            <w:tcW w:type="dxa" w:w="6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Rosters, contrôle des heures, pauses, détection de somnolence, aptitude médicale</w:t>
            </w:r>
          </w:p>
        </w:tc>
      </w:tr>
      <w:tr>
        <w:trPr>
          <w:cantSplit/>
        </w:trPr>
        <w:tc>
          <w:tcPr>
            <w:tcW w:type="dxa" w:w="3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Surcharge</w:t>
            </w:r>
          </w:p>
        </w:tc>
        <w:tc>
          <w:tcPr>
            <w:tcW w:type="dxa" w:w="6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Pont-bascule, refus de départ, contrôle de la benne</w:t>
            </w:r>
          </w:p>
        </w:tc>
      </w:tr>
      <w:tr>
        <w:trPr>
          <w:cantSplit/>
        </w:trPr>
        <w:tc>
          <w:tcPr>
            <w:tcW w:type="dxa" w:w="3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Défaillance de freinage</w:t>
            </w:r>
          </w:p>
        </w:tc>
        <w:tc>
          <w:tcPr>
            <w:tcW w:type="dxa" w:w="6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Inspection quotidienne, maintenance, tests et zones de secours</w:t>
            </w:r>
          </w:p>
        </w:tc>
      </w:tr>
      <w:tr>
        <w:trPr>
          <w:cantSplit/>
        </w:trPr>
        <w:tc>
          <w:tcPr>
            <w:tcW w:type="dxa" w:w="3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Incendie / carburant</w:t>
            </w:r>
          </w:p>
        </w:tc>
        <w:tc>
          <w:tcPr>
            <w:tcW w:type="dxa" w:w="6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Extincteurs, mise à la terre, permis, confinement et plan d’urgence</w:t>
            </w:r>
          </w:p>
        </w:tc>
      </w:tr>
      <w:tr>
        <w:trPr>
          <w:cantSplit/>
        </w:trPr>
        <w:tc>
          <w:tcPr>
            <w:tcW w:type="dxa" w:w="3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Poussière et visibilité</w:t>
            </w:r>
          </w:p>
        </w:tc>
        <w:tc>
          <w:tcPr>
            <w:tcW w:type="dxa" w:w="6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Arrosage, distance de sécurité, éclairage et limitation de vitesse</w:t>
            </w:r>
          </w:p>
        </w:tc>
      </w:tr>
      <w:tr>
        <w:trPr>
          <w:cantSplit/>
        </w:trPr>
        <w:tc>
          <w:tcPr>
            <w:tcW w:type="dxa" w:w="3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Interaction communautaire</w:t>
            </w:r>
          </w:p>
        </w:tc>
        <w:tc>
          <w:tcPr>
            <w:tcW w:type="dxa" w:w="6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Plan de circulation, signalisation, sensibilisation et mécanisme de plainte</w:t>
            </w:r>
          </w:p>
        </w:tc>
      </w:tr>
      <w:tr>
        <w:trPr>
          <w:cantSplit/>
        </w:trPr>
        <w:tc>
          <w:tcPr>
            <w:tcW w:type="dxa" w:w="3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Travaux en atelier</w:t>
            </w:r>
          </w:p>
        </w:tc>
        <w:tc>
          <w:tcPr>
            <w:tcW w:type="dxa" w:w="6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Consignation, levage certifié, EPI et permis de travail</w:t>
            </w:r>
          </w:p>
        </w:tc>
      </w:tr>
    </w:tbl>
    <w:p>
      <w:pPr>
        <w:spacing w:after="180"/>
      </w:pPr>
    </w:p>
    <w:p>
      <w:pPr>
        <w:pStyle w:val="Heading2"/>
        <w:keepNext/>
        <w:spacing w:after="100" w:before="240"/>
      </w:pPr>
      <w:r>
        <w:rPr>
          <w:rFonts w:ascii="Calibri" w:cs="Calibri" w:eastAsia="Calibri" w:hAnsi="Calibri"/>
          <w:b/>
          <w:bCs/>
          <w:color w:val="C8962E"/>
          <w:sz w:val="25"/>
          <w:szCs w:val="25"/>
        </w:rPr>
        <w:t xml:space="preserve">7.3  </w:t>
      </w:r>
      <w:r>
        <w:rPr>
          <w:rFonts w:ascii="Calibri" w:cs="Calibri" w:eastAsia="Calibri" w:hAnsi="Calibri"/>
          <w:b/>
          <w:bCs/>
          <w:color w:val="1F4E9E"/>
          <w:sz w:val="25"/>
          <w:szCs w:val="25"/>
        </w:rPr>
        <w:t xml:space="preserve">Objectifs de performance HSE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9"/>
        <w:gridCol w:w="2409"/>
        <w:gridCol w:w="2409"/>
        <w:gridCol w:w="2411"/>
      </w:tblGrid>
      <w:tr>
        <w:tc>
          <w:tcPr>
            <w:tcW w:type="dxa" w:w="2409"/>
            <w:tcBorders>
              <w:top w:val="single" w:color="C8962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26"/>
                <w:szCs w:val="26"/>
              </w:rPr>
              <w:t xml:space="preserve">0</w:t>
            </w:r>
          </w:p>
          <w:p>
            <w:pPr>
              <w:jc w:val="center"/>
            </w:pPr>
            <w:r>
              <w:rPr>
                <w:rFonts w:ascii="Calibri" w:cs="Calibri" w:eastAsia="Calibri" w:hAnsi="Calibri"/>
                <w:color w:val="6B7280"/>
                <w:sz w:val="16"/>
                <w:szCs w:val="16"/>
              </w:rPr>
              <w:t xml:space="preserve">accident mortel</w:t>
            </w:r>
          </w:p>
        </w:tc>
        <w:tc>
          <w:tcPr>
            <w:tcW w:type="dxa" w:w="2409"/>
            <w:tcBorders>
              <w:top w:val="single" w:color="C8962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26"/>
                <w:szCs w:val="26"/>
              </w:rPr>
              <w:t xml:space="preserve">100 %</w:t>
            </w:r>
          </w:p>
          <w:p>
            <w:pPr>
              <w:jc w:val="center"/>
            </w:pPr>
            <w:r>
              <w:rPr>
                <w:rFonts w:ascii="Calibri" w:cs="Calibri" w:eastAsia="Calibri" w:hAnsi="Calibri"/>
                <w:color w:val="6B7280"/>
                <w:sz w:val="16"/>
                <w:szCs w:val="16"/>
              </w:rPr>
              <w:t xml:space="preserve">chauffeurs habilités</w:t>
            </w:r>
          </w:p>
        </w:tc>
        <w:tc>
          <w:tcPr>
            <w:tcW w:type="dxa" w:w="2409"/>
            <w:tcBorders>
              <w:top w:val="single" w:color="C8962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26"/>
                <w:szCs w:val="26"/>
              </w:rPr>
              <w:t xml:space="preserve">≥ 95 %</w:t>
            </w:r>
          </w:p>
          <w:p>
            <w:pPr>
              <w:jc w:val="center"/>
            </w:pPr>
            <w:r>
              <w:rPr>
                <w:rFonts w:ascii="Calibri" w:cs="Calibri" w:eastAsia="Calibri" w:hAnsi="Calibri"/>
                <w:color w:val="6B7280"/>
                <w:sz w:val="16"/>
                <w:szCs w:val="16"/>
              </w:rPr>
              <w:t xml:space="preserve">inspections réalisées</w:t>
            </w:r>
          </w:p>
        </w:tc>
        <w:tc>
          <w:tcPr>
            <w:tcW w:type="dxa" w:w="2411"/>
            <w:tcBorders>
              <w:top w:val="single" w:color="C8962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26"/>
                <w:szCs w:val="26"/>
              </w:rPr>
              <w:t xml:space="preserve">≤ 1 %</w:t>
            </w:r>
          </w:p>
          <w:p>
            <w:pPr>
              <w:jc w:val="center"/>
            </w:pPr>
            <w:r>
              <w:rPr>
                <w:rFonts w:ascii="Calibri" w:cs="Calibri" w:eastAsia="Calibri" w:hAnsi="Calibri"/>
                <w:color w:val="6B7280"/>
                <w:sz w:val="16"/>
                <w:szCs w:val="16"/>
              </w:rPr>
              <w:t xml:space="preserve">excès de vitesse critiques</w:t>
            </w:r>
          </w:p>
        </w:tc>
      </w:tr>
    </w:tbl>
    <w:p>
      <w:pPr>
        <w:spacing w:after="6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9"/>
        <w:gridCol w:w="2409"/>
        <w:gridCol w:w="2409"/>
        <w:gridCol w:w="2411"/>
      </w:tblGrid>
      <w:tr>
        <w:tc>
          <w:tcPr>
            <w:tcW w:type="dxa" w:w="2409"/>
            <w:tcBorders>
              <w:top w:val="single" w:color="1F4E9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26"/>
                <w:szCs w:val="26"/>
              </w:rPr>
              <w:t xml:space="preserve">100 %</w:t>
            </w:r>
          </w:p>
          <w:p>
            <w:pPr>
              <w:jc w:val="center"/>
            </w:pPr>
            <w:r>
              <w:rPr>
                <w:rFonts w:ascii="Calibri" w:cs="Calibri" w:eastAsia="Calibri" w:hAnsi="Calibri"/>
                <w:color w:val="6B7280"/>
                <w:sz w:val="16"/>
                <w:szCs w:val="16"/>
              </w:rPr>
              <w:t xml:space="preserve">incidents enquêtés</w:t>
            </w:r>
          </w:p>
        </w:tc>
        <w:tc>
          <w:tcPr>
            <w:tcW w:type="dxa" w:w="2409"/>
            <w:tcBorders>
              <w:top w:val="single" w:color="1F4E9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26"/>
                <w:szCs w:val="26"/>
              </w:rPr>
              <w:t xml:space="preserve">≥ 98 %</w:t>
            </w:r>
          </w:p>
          <w:p>
            <w:pPr>
              <w:jc w:val="center"/>
            </w:pPr>
            <w:r>
              <w:rPr>
                <w:rFonts w:ascii="Calibri" w:cs="Calibri" w:eastAsia="Calibri" w:hAnsi="Calibri"/>
                <w:color w:val="6B7280"/>
                <w:sz w:val="16"/>
                <w:szCs w:val="16"/>
              </w:rPr>
              <w:t xml:space="preserve">port des EPI</w:t>
            </w:r>
          </w:p>
        </w:tc>
        <w:tc>
          <w:tcPr>
            <w:tcW w:type="dxa" w:w="2409"/>
            <w:tcBorders>
              <w:top w:val="single" w:color="1F4E9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26"/>
                <w:szCs w:val="26"/>
              </w:rPr>
              <w:t xml:space="preserve">≤ 3 %</w:t>
            </w:r>
          </w:p>
          <w:p>
            <w:pPr>
              <w:jc w:val="center"/>
            </w:pPr>
            <w:r>
              <w:rPr>
                <w:rFonts w:ascii="Calibri" w:cs="Calibri" w:eastAsia="Calibri" w:hAnsi="Calibri"/>
                <w:color w:val="6B7280"/>
                <w:sz w:val="16"/>
                <w:szCs w:val="16"/>
              </w:rPr>
              <w:t xml:space="preserve">pannes en ligne</w:t>
            </w:r>
          </w:p>
        </w:tc>
        <w:tc>
          <w:tcPr>
            <w:tcW w:type="dxa" w:w="2411"/>
            <w:tcBorders>
              <w:top w:val="single" w:color="1F4E9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26"/>
                <w:szCs w:val="26"/>
              </w:rPr>
              <w:t xml:space="preserve">24/7</w:t>
            </w:r>
          </w:p>
          <w:p>
            <w:pPr>
              <w:jc w:val="center"/>
            </w:pPr>
            <w:r>
              <w:rPr>
                <w:rFonts w:ascii="Calibri" w:cs="Calibri" w:eastAsia="Calibri" w:hAnsi="Calibri"/>
                <w:color w:val="6B7280"/>
                <w:sz w:val="16"/>
                <w:szCs w:val="16"/>
              </w:rPr>
              <w:t xml:space="preserve">capacité d’urgence</w:t>
            </w:r>
          </w:p>
        </w:tc>
      </w:tr>
    </w:tbl>
    <w:p>
      <w:pPr>
        <w:spacing w:after="160"/>
      </w:pPr>
    </w:p>
    <w:p>
      <w:pPr>
        <w:pStyle w:val="Heading2"/>
        <w:keepNext/>
        <w:spacing w:after="100" w:before="240"/>
      </w:pPr>
      <w:r>
        <w:rPr>
          <w:rFonts w:ascii="Calibri" w:cs="Calibri" w:eastAsia="Calibri" w:hAnsi="Calibri"/>
          <w:b/>
          <w:bCs/>
          <w:color w:val="C8962E"/>
          <w:sz w:val="25"/>
          <w:szCs w:val="25"/>
        </w:rPr>
        <w:t xml:space="preserve">7.4  </w:t>
      </w:r>
      <w:r>
        <w:rPr>
          <w:rFonts w:ascii="Calibri" w:cs="Calibri" w:eastAsia="Calibri" w:hAnsi="Calibri"/>
          <w:b/>
          <w:bCs/>
          <w:color w:val="1F4E9E"/>
          <w:sz w:val="25"/>
          <w:szCs w:val="25"/>
        </w:rPr>
        <w:t xml:space="preserve">Reporting quotidien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7238"/>
      </w:tblGrid>
      <w:tr>
        <w:trPr>
          <w:tblHeader/>
        </w:trPr>
        <w:tc>
          <w:tcPr>
            <w:tcW w:type="dxa" w:w="24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Domaine</w:t>
            </w:r>
          </w:p>
        </w:tc>
        <w:tc>
          <w:tcPr>
            <w:tcW w:type="dxa" w:w="72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Indicateurs</w:t>
            </w:r>
          </w:p>
        </w:tc>
      </w:tr>
      <w:tr>
        <w:trPr>
          <w:cantSplit/>
        </w:trPr>
        <w:tc>
          <w:tcPr>
            <w:tcW w:type="dxa" w:w="2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Production</w:t>
            </w:r>
          </w:p>
        </w:tc>
        <w:tc>
          <w:tcPr>
            <w:tcW w:type="dxa" w:w="72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Tonnes, rotations, temps de cycle, attente, distance</w:t>
            </w:r>
          </w:p>
        </w:tc>
      </w:tr>
      <w:tr>
        <w:trPr>
          <w:cantSplit/>
        </w:trPr>
        <w:tc>
          <w:tcPr>
            <w:tcW w:type="dxa" w:w="2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Flotte</w:t>
            </w:r>
          </w:p>
        </w:tc>
        <w:tc>
          <w:tcPr>
            <w:tcW w:type="dxa" w:w="72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Disponibilité, utilisation, pannes, immobilisation</w:t>
            </w:r>
          </w:p>
        </w:tc>
      </w:tr>
      <w:tr>
        <w:trPr>
          <w:cantSplit/>
        </w:trPr>
        <w:tc>
          <w:tcPr>
            <w:tcW w:type="dxa" w:w="2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Carburant</w:t>
            </w:r>
          </w:p>
        </w:tc>
        <w:tc>
          <w:tcPr>
            <w:tcW w:type="dxa" w:w="72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Litres, L/t, écarts, ravitaillements</w:t>
            </w:r>
          </w:p>
        </w:tc>
      </w:tr>
      <w:tr>
        <w:trPr>
          <w:cantSplit/>
        </w:trPr>
        <w:tc>
          <w:tcPr>
            <w:tcW w:type="dxa" w:w="2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HSE</w:t>
            </w:r>
          </w:p>
        </w:tc>
        <w:tc>
          <w:tcPr>
            <w:tcW w:type="dxa" w:w="72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Incidents, presque-accidents, vitesse, fatigue</w:t>
            </w:r>
          </w:p>
        </w:tc>
      </w:tr>
      <w:tr>
        <w:trPr>
          <w:cantSplit/>
        </w:trPr>
        <w:tc>
          <w:tcPr>
            <w:tcW w:type="dxa" w:w="2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Qualité</w:t>
            </w:r>
          </w:p>
        </w:tc>
        <w:tc>
          <w:tcPr>
            <w:tcW w:type="dxa" w:w="72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Écarts de pesage, réclamations, conformité documentaire</w:t>
            </w:r>
          </w:p>
        </w:tc>
      </w:tr>
      <w:tr>
        <w:trPr>
          <w:cantSplit/>
        </w:trPr>
        <w:tc>
          <w:tcPr>
            <w:tcW w:type="dxa" w:w="2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Finance</w:t>
            </w:r>
          </w:p>
        </w:tc>
        <w:tc>
          <w:tcPr>
            <w:tcW w:type="dxa" w:w="72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CA journalier, coût variable, marge par camion et par trajet</w:t>
            </w:r>
          </w:p>
        </w:tc>
      </w:tr>
    </w:tbl>
    <w:p>
      <w:pPr>
        <w:spacing w:after="180"/>
      </w:pPr>
    </w:p>
    <w:p>
      <w:pPr>
        <w:pStyle w:val="Heading1"/>
        <w:keepNext/>
        <w:pageBreakBefore/>
        <w:pBdr>
          <w:bottom w:val="single" w:color="C8962E" w:sz="12" w:space="6"/>
        </w:pBdr>
        <w:spacing w:after="80" w:before="0"/>
      </w:pPr>
      <w:r>
        <w:rPr>
          <w:rFonts w:ascii="Calibri" w:cs="Calibri" w:eastAsia="Calibri" w:hAnsi="Calibri"/>
          <w:b/>
          <w:bCs/>
          <w:color w:val="C8962E"/>
          <w:sz w:val="40"/>
          <w:szCs w:val="40"/>
        </w:rPr>
        <w:t xml:space="preserve">08  </w:t>
      </w:r>
      <w:r>
        <w:rPr>
          <w:rFonts w:ascii="Calibri" w:cs="Calibri" w:eastAsia="Calibri" w:hAnsi="Calibri"/>
          <w:b/>
          <w:bCs/>
          <w:color w:val="0B2545"/>
          <w:sz w:val="32"/>
          <w:szCs w:val="32"/>
        </w:rPr>
        <w:t xml:space="preserve">CADRE JURIDIQUE, FISCAL ET INSTITUTIONNEL</w:t>
      </w:r>
    </w:p>
    <w:p>
      <w:pPr>
        <w:spacing w:after="160"/>
      </w:pPr>
    </w:p>
    <w:p>
      <w:pPr>
        <w:pStyle w:val="Heading2"/>
        <w:keepNext/>
        <w:spacing w:after="100" w:before="240"/>
      </w:pPr>
      <w:r>
        <w:rPr>
          <w:rFonts w:ascii="Calibri" w:cs="Calibri" w:eastAsia="Calibri" w:hAnsi="Calibri"/>
          <w:b/>
          <w:bCs/>
          <w:color w:val="C8962E"/>
          <w:sz w:val="25"/>
          <w:szCs w:val="25"/>
        </w:rPr>
        <w:t xml:space="preserve">8.1  </w:t>
      </w:r>
      <w:r>
        <w:rPr>
          <w:rFonts w:ascii="Calibri" w:cs="Calibri" w:eastAsia="Calibri" w:hAnsi="Calibri"/>
          <w:b/>
          <w:bCs/>
          <w:color w:val="1F4E9E"/>
          <w:sz w:val="25"/>
          <w:szCs w:val="25"/>
        </w:rPr>
        <w:t xml:space="preserve">Textes de référence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3419"/>
        <w:gridCol w:w="3819"/>
      </w:tblGrid>
      <w:tr>
        <w:trPr>
          <w:tblHeader/>
        </w:trPr>
        <w:tc>
          <w:tcPr>
            <w:tcW w:type="dxa" w:w="24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Domaine</w:t>
            </w:r>
          </w:p>
        </w:tc>
        <w:tc>
          <w:tcPr>
            <w:tcW w:type="dxa" w:w="3419"/>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Référence principale</w:t>
            </w:r>
          </w:p>
        </w:tc>
        <w:tc>
          <w:tcPr>
            <w:tcW w:type="dxa" w:w="3819"/>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Incidence pour le projet</w:t>
            </w:r>
          </w:p>
        </w:tc>
      </w:tr>
      <w:tr>
        <w:trPr>
          <w:cantSplit/>
        </w:trPr>
        <w:tc>
          <w:tcPr>
            <w:tcW w:type="dxa" w:w="2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Droit des sociétés et sûretés</w:t>
            </w:r>
          </w:p>
        </w:tc>
        <w:tc>
          <w:tcPr>
            <w:tcW w:type="dxa" w:w="34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Actes uniformes OHADA (sociétés commerciales, sûretés)</w:t>
            </w:r>
          </w:p>
        </w:tc>
        <w:tc>
          <w:tcPr>
            <w:tcW w:type="dxa" w:w="38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Forme de la SPV, nantissements, cession de créances</w:t>
            </w:r>
          </w:p>
        </w:tc>
      </w:tr>
      <w:tr>
        <w:trPr>
          <w:cantSplit/>
        </w:trPr>
        <w:tc>
          <w:tcPr>
            <w:tcW w:type="dxa" w:w="2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Secteur minier</w:t>
            </w:r>
          </w:p>
        </w:tc>
        <w:tc>
          <w:tcPr>
            <w:tcW w:type="dxa" w:w="34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Code minier 2011 amendé en 2013</w:t>
            </w:r>
          </w:p>
        </w:tc>
        <w:tc>
          <w:tcPr>
            <w:tcW w:type="dxa" w:w="38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Accès aux sites, contrats avec les titulaires, exigences du donneur d’ordre</w:t>
            </w:r>
          </w:p>
        </w:tc>
      </w:tr>
      <w:tr>
        <w:trPr>
          <w:cantSplit/>
        </w:trPr>
        <w:tc>
          <w:tcPr>
            <w:tcW w:type="dxa" w:w="2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Contenu local</w:t>
            </w:r>
          </w:p>
        </w:tc>
        <w:tc>
          <w:tcPr>
            <w:tcW w:type="dxa" w:w="34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Loi L/2022/0010/CNT</w:t>
            </w:r>
          </w:p>
        </w:tc>
        <w:tc>
          <w:tcPr>
            <w:tcW w:type="dxa" w:w="38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Actionnariat, emploi, achats locaux, reporting</w:t>
            </w:r>
          </w:p>
        </w:tc>
      </w:tr>
      <w:tr>
        <w:trPr>
          <w:cantSplit/>
        </w:trPr>
        <w:tc>
          <w:tcPr>
            <w:tcW w:type="dxa" w:w="2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Fiscalité</w:t>
            </w:r>
          </w:p>
        </w:tc>
        <w:tc>
          <w:tcPr>
            <w:tcW w:type="dxa" w:w="34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Code général des impôts 2021 et lois de finances</w:t>
            </w:r>
          </w:p>
        </w:tc>
        <w:tc>
          <w:tcPr>
            <w:tcW w:type="dxa" w:w="38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Impôt sur les sociétés, TVA, retenues, obligations déclaratives</w:t>
            </w:r>
          </w:p>
        </w:tc>
      </w:tr>
      <w:tr>
        <w:trPr>
          <w:cantSplit/>
        </w:trPr>
        <w:tc>
          <w:tcPr>
            <w:tcW w:type="dxa" w:w="2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Travail et sécurité sociale</w:t>
            </w:r>
          </w:p>
        </w:tc>
        <w:tc>
          <w:tcPr>
            <w:tcW w:type="dxa" w:w="34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Code du travail et textes CNSS</w:t>
            </w:r>
          </w:p>
        </w:tc>
        <w:tc>
          <w:tcPr>
            <w:tcW w:type="dxa" w:w="38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Contrats, temps de travail, paie, santé et sécurité</w:t>
            </w:r>
          </w:p>
        </w:tc>
      </w:tr>
      <w:tr>
        <w:trPr>
          <w:cantSplit/>
        </w:trPr>
        <w:tc>
          <w:tcPr>
            <w:tcW w:type="dxa" w:w="2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Transport et circulation</w:t>
            </w:r>
          </w:p>
        </w:tc>
        <w:tc>
          <w:tcPr>
            <w:tcW w:type="dxa" w:w="34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Textes nationaux et règles du site minier</w:t>
            </w:r>
          </w:p>
        </w:tc>
        <w:tc>
          <w:tcPr>
            <w:tcW w:type="dxa" w:w="38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Immatriculation, assurance, permis, charge et circulation</w:t>
            </w:r>
          </w:p>
        </w:tc>
      </w:tr>
      <w:tr>
        <w:trPr>
          <w:cantSplit/>
        </w:trPr>
        <w:tc>
          <w:tcPr>
            <w:tcW w:type="dxa" w:w="2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Environnement</w:t>
            </w:r>
          </w:p>
        </w:tc>
        <w:tc>
          <w:tcPr>
            <w:tcW w:type="dxa" w:w="34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Code de l’environnement et EIES du client</w:t>
            </w:r>
          </w:p>
        </w:tc>
        <w:tc>
          <w:tcPr>
            <w:tcW w:type="dxa" w:w="38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Déchets, hydrocarbures, poussière, bruit, urgences</w:t>
            </w:r>
          </w:p>
        </w:tc>
      </w:tr>
    </w:tbl>
    <w:p>
      <w:pPr>
        <w:spacing w:after="180"/>
      </w:pPr>
    </w:p>
    <w:p>
      <w:pPr>
        <w:pStyle w:val="Heading2"/>
        <w:keepNext/>
        <w:spacing w:after="100" w:before="240"/>
      </w:pPr>
      <w:r>
        <w:rPr>
          <w:rFonts w:ascii="Calibri" w:cs="Calibri" w:eastAsia="Calibri" w:hAnsi="Calibri"/>
          <w:b/>
          <w:bCs/>
          <w:color w:val="C8962E"/>
          <w:sz w:val="25"/>
          <w:szCs w:val="25"/>
        </w:rPr>
        <w:t xml:space="preserve">8.2  </w:t>
      </w:r>
      <w:r>
        <w:rPr>
          <w:rFonts w:ascii="Calibri" w:cs="Calibri" w:eastAsia="Calibri" w:hAnsi="Calibri"/>
          <w:b/>
          <w:bCs/>
          <w:color w:val="1F4E9E"/>
          <w:sz w:val="25"/>
          <w:szCs w:val="25"/>
        </w:rPr>
        <w:t xml:space="preserve">Fiscalité retenue dans le modèle</w:t>
      </w:r>
    </w:p>
    <w:p>
      <w:pPr>
        <w:spacing w:after="120" w:before="0" w:line="276"/>
        <w:jc w:val="both"/>
      </w:pPr>
      <w:r>
        <w:rPr>
          <w:rFonts w:ascii="Calibri" w:cs="Calibri" w:eastAsia="Calibri" w:hAnsi="Calibri"/>
          <w:color w:val="1F2937"/>
          <w:sz w:val="21"/>
          <w:szCs w:val="21"/>
        </w:rPr>
        <w:t xml:space="preserve">L’article 229 du Code général des impôts 2021 fixe l’impôt sur les sociétés à </w:t>
      </w:r>
      <w:r>
        <w:rPr>
          <w:rFonts w:ascii="Calibri" w:cs="Calibri" w:eastAsia="Calibri" w:hAnsi="Calibri"/>
          <w:b/>
          <w:bCs/>
          <w:color w:val="0B2545"/>
          <w:sz w:val="21"/>
          <w:szCs w:val="21"/>
        </w:rPr>
        <w:t xml:space="preserve">25 %</w:t>
      </w:r>
      <w:r>
        <w:rPr>
          <w:rFonts w:ascii="Calibri" w:cs="Calibri" w:eastAsia="Calibri" w:hAnsi="Calibri"/>
          <w:color w:val="1F2937"/>
          <w:sz w:val="21"/>
          <w:szCs w:val="21"/>
        </w:rPr>
        <w:t xml:space="preserve"> pour les personnes morales autres que celles des secteurs expressément soumis à 30 % ou 35 %. Une société de transport indépendante, non titulaire d’un titre minier, est donc modélisée à 25 %, sous réserve de confirmation écrite du traitement fiscal, des éventuels agréments (Code des investissements) et des lois de finances ultérieures. Les droits et taxes à l’importation des camions sont réputés inclus dans le prix « rendu Guinée » et doivent être confirmés par un avis douanier.</w:t>
      </w:r>
    </w:p>
    <w:p>
      <w:pPr>
        <w:spacing w:after="160"/>
      </w:pPr>
      <w:r>
        <w:rPr>
          <w:rFonts w:ascii="Calibri" w:cs="Calibri" w:eastAsia="Calibri" w:hAnsi="Calibri"/>
          <w:i/>
          <w:iCs/>
          <w:color w:val="6B7280"/>
          <w:sz w:val="16"/>
          <w:szCs w:val="16"/>
        </w:rPr>
        <w:t xml:space="preserve">Source : Direction Générale des Impôts, Code général des impôts 2021, article 229.</w:t>
      </w:r>
    </w:p>
    <w:p>
      <w:pPr>
        <w:pStyle w:val="Heading2"/>
        <w:keepNext/>
        <w:spacing w:after="100" w:before="240"/>
      </w:pPr>
      <w:r>
        <w:rPr>
          <w:rFonts w:ascii="Calibri" w:cs="Calibri" w:eastAsia="Calibri" w:hAnsi="Calibri"/>
          <w:b/>
          <w:bCs/>
          <w:color w:val="C8962E"/>
          <w:sz w:val="25"/>
          <w:szCs w:val="25"/>
        </w:rPr>
        <w:t xml:space="preserve">8.3  </w:t>
      </w:r>
      <w:r>
        <w:rPr>
          <w:rFonts w:ascii="Calibri" w:cs="Calibri" w:eastAsia="Calibri" w:hAnsi="Calibri"/>
          <w:b/>
          <w:bCs/>
          <w:color w:val="1F4E9E"/>
          <w:sz w:val="25"/>
          <w:szCs w:val="25"/>
        </w:rPr>
        <w:t xml:space="preserve">Taux de change</w:t>
      </w:r>
    </w:p>
    <w:p>
      <w:pPr>
        <w:spacing w:after="120" w:before="0" w:line="276"/>
        <w:jc w:val="both"/>
      </w:pPr>
      <w:r>
        <w:rPr>
          <w:rFonts w:ascii="Calibri" w:cs="Calibri" w:eastAsia="Calibri" w:hAnsi="Calibri"/>
          <w:color w:val="1F2937"/>
          <w:sz w:val="21"/>
          <w:szCs w:val="21"/>
        </w:rPr>
        <w:t xml:space="preserve">Le modèle est établi en USD afin d’aligner les investissements importés, la dette et les contrats miniers. À titre de conversion, le fixing BCRG du 31 juillet 2026 est de </w:t>
      </w:r>
      <w:r>
        <w:rPr>
          <w:rFonts w:ascii="Calibri" w:cs="Calibri" w:eastAsia="Calibri" w:hAnsi="Calibri"/>
          <w:b/>
          <w:bCs/>
          <w:color w:val="0B2545"/>
          <w:sz w:val="21"/>
          <w:szCs w:val="21"/>
        </w:rPr>
        <w:t xml:space="preserve">8 762,7692 GNF pour 1 USD</w:t>
      </w:r>
      <w:r>
        <w:rPr>
          <w:rFonts w:ascii="Calibri" w:cs="Calibri" w:eastAsia="Calibri" w:hAnsi="Calibri"/>
          <w:color w:val="1F2937"/>
          <w:sz w:val="21"/>
          <w:szCs w:val="21"/>
        </w:rPr>
        <w:t xml:space="preserve">. La société tiendra une comptabilité conforme aux obligations guinéennes et gérera le risque de conversion des flux payés en GNF (salaires, achats locaux).</w:t>
      </w:r>
    </w:p>
    <w:p>
      <w:pPr>
        <w:spacing w:after="160"/>
      </w:pPr>
      <w:r>
        <w:rPr>
          <w:rFonts w:ascii="Calibri" w:cs="Calibri" w:eastAsia="Calibri" w:hAnsi="Calibri"/>
          <w:i/>
          <w:iCs/>
          <w:color w:val="6B7280"/>
          <w:sz w:val="16"/>
          <w:szCs w:val="16"/>
        </w:rPr>
        <w:t xml:space="preserve">Source : Banque Centrale de la République de Guinée, fixing du 31 juillet 2026.</w:t>
      </w:r>
    </w:p>
    <w:p>
      <w:pPr>
        <w:pStyle w:val="Heading2"/>
        <w:keepNext/>
        <w:spacing w:after="100" w:before="240"/>
      </w:pPr>
      <w:r>
        <w:rPr>
          <w:rFonts w:ascii="Calibri" w:cs="Calibri" w:eastAsia="Calibri" w:hAnsi="Calibri"/>
          <w:b/>
          <w:bCs/>
          <w:color w:val="C8962E"/>
          <w:sz w:val="25"/>
          <w:szCs w:val="25"/>
        </w:rPr>
        <w:t xml:space="preserve">8.4  </w:t>
      </w:r>
      <w:r>
        <w:rPr>
          <w:rFonts w:ascii="Calibri" w:cs="Calibri" w:eastAsia="Calibri" w:hAnsi="Calibri"/>
          <w:b/>
          <w:bCs/>
          <w:color w:val="1F4E9E"/>
          <w:sz w:val="25"/>
          <w:szCs w:val="25"/>
        </w:rPr>
        <w:t xml:space="preserve">Autorisations et conformité préalables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38"/>
        <w:gridCol w:w="3200"/>
        <w:gridCol w:w="1800"/>
      </w:tblGrid>
      <w:tr>
        <w:trPr>
          <w:tblHeader/>
        </w:trPr>
        <w:tc>
          <w:tcPr>
            <w:tcW w:type="dxa" w:w="46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Action</w:t>
            </w:r>
          </w:p>
        </w:tc>
        <w:tc>
          <w:tcPr>
            <w:tcW w:type="dxa" w:w="32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Responsable</w:t>
            </w:r>
          </w:p>
        </w:tc>
        <w:tc>
          <w:tcPr>
            <w:tcW w:type="dxa" w:w="18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Avant mobilisation</w:t>
            </w:r>
          </w:p>
        </w:tc>
      </w:tr>
      <w:tr>
        <w:trPr>
          <w:cantSplit/>
        </w:trPr>
        <w:tc>
          <w:tcPr>
            <w:tcW w:type="dxa" w:w="4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Constitution, RCCM, NIF, comptes bancaires</w:t>
            </w:r>
          </w:p>
        </w:tc>
        <w:tc>
          <w:tcPr>
            <w:tcW w:type="dxa" w:w="3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Promoteurs / conseil juridique</w:t>
            </w:r>
          </w:p>
        </w:tc>
        <w:tc>
          <w:tcPr>
            <w:tcW w:type="dxa" w:w="1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Oui</w:t>
            </w:r>
          </w:p>
        </w:tc>
      </w:tr>
      <w:tr>
        <w:trPr>
          <w:cantSplit/>
        </w:trPr>
        <w:tc>
          <w:tcPr>
            <w:tcW w:type="dxa" w:w="4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Agrément ou enregistrement contenu local</w:t>
            </w:r>
          </w:p>
        </w:tc>
        <w:tc>
          <w:tcPr>
            <w:tcW w:type="dxa" w:w="32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Direction / conseil</w:t>
            </w:r>
          </w:p>
        </w:tc>
        <w:tc>
          <w:tcPr>
            <w:tcW w:type="dxa" w:w="1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À confirmer</w:t>
            </w:r>
          </w:p>
        </w:tc>
      </w:tr>
      <w:tr>
        <w:trPr>
          <w:cantSplit/>
        </w:trPr>
        <w:tc>
          <w:tcPr>
            <w:tcW w:type="dxa" w:w="4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Contrats de travail et affiliation CNSS</w:t>
            </w:r>
          </w:p>
        </w:tc>
        <w:tc>
          <w:tcPr>
            <w:tcW w:type="dxa" w:w="3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RH</w:t>
            </w:r>
          </w:p>
        </w:tc>
        <w:tc>
          <w:tcPr>
            <w:tcW w:type="dxa" w:w="1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Oui</w:t>
            </w:r>
          </w:p>
        </w:tc>
      </w:tr>
      <w:tr>
        <w:trPr>
          <w:cantSplit/>
        </w:trPr>
        <w:tc>
          <w:tcPr>
            <w:tcW w:type="dxa" w:w="4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Immatriculation et assurance de la flotte</w:t>
            </w:r>
          </w:p>
        </w:tc>
        <w:tc>
          <w:tcPr>
            <w:tcW w:type="dxa" w:w="32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Logistique / assureur</w:t>
            </w:r>
          </w:p>
        </w:tc>
        <w:tc>
          <w:tcPr>
            <w:tcW w:type="dxa" w:w="1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Oui</w:t>
            </w:r>
          </w:p>
        </w:tc>
      </w:tr>
      <w:tr>
        <w:trPr>
          <w:cantSplit/>
        </w:trPr>
        <w:tc>
          <w:tcPr>
            <w:tcW w:type="dxa" w:w="4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Permis de conduire et habilitations site</w:t>
            </w:r>
          </w:p>
        </w:tc>
        <w:tc>
          <w:tcPr>
            <w:tcW w:type="dxa" w:w="3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RH / HSE</w:t>
            </w:r>
          </w:p>
        </w:tc>
        <w:tc>
          <w:tcPr>
            <w:tcW w:type="dxa" w:w="1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Oui</w:t>
            </w:r>
          </w:p>
        </w:tc>
      </w:tr>
      <w:tr>
        <w:trPr>
          <w:cantSplit/>
        </w:trPr>
        <w:tc>
          <w:tcPr>
            <w:tcW w:type="dxa" w:w="4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Permis environnementaux du dépôt et de l’atelier</w:t>
            </w:r>
          </w:p>
        </w:tc>
        <w:tc>
          <w:tcPr>
            <w:tcW w:type="dxa" w:w="32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HSE / autorités</w:t>
            </w:r>
          </w:p>
        </w:tc>
        <w:tc>
          <w:tcPr>
            <w:tcW w:type="dxa" w:w="1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Oui</w:t>
            </w:r>
          </w:p>
        </w:tc>
      </w:tr>
      <w:tr>
        <w:trPr>
          <w:cantSplit/>
        </w:trPr>
        <w:tc>
          <w:tcPr>
            <w:tcW w:type="dxa" w:w="4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Conformité fiscale et douanière des importations</w:t>
            </w:r>
          </w:p>
        </w:tc>
        <w:tc>
          <w:tcPr>
            <w:tcW w:type="dxa" w:w="3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DAF / transitaire</w:t>
            </w:r>
          </w:p>
        </w:tc>
        <w:tc>
          <w:tcPr>
            <w:tcW w:type="dxa" w:w="1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Oui</w:t>
            </w:r>
          </w:p>
        </w:tc>
      </w:tr>
      <w:tr>
        <w:trPr>
          <w:cantSplit/>
        </w:trPr>
        <w:tc>
          <w:tcPr>
            <w:tcW w:type="dxa" w:w="4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Accord d’accès au site et plan de circulation</w:t>
            </w:r>
          </w:p>
        </w:tc>
        <w:tc>
          <w:tcPr>
            <w:tcW w:type="dxa" w:w="32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Client minier</w:t>
            </w:r>
          </w:p>
        </w:tc>
        <w:tc>
          <w:tcPr>
            <w:tcW w:type="dxa" w:w="1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Oui</w:t>
            </w:r>
          </w:p>
        </w:tc>
      </w:tr>
    </w:tbl>
    <w:p>
      <w:pPr>
        <w:spacing w:after="180"/>
      </w:pPr>
    </w:p>
    <w:p>
      <w:pPr>
        <w:pStyle w:val="Heading1"/>
        <w:keepNext/>
        <w:pageBreakBefore/>
        <w:pBdr>
          <w:bottom w:val="single" w:color="C8962E" w:sz="12" w:space="6"/>
        </w:pBdr>
        <w:spacing w:after="80" w:before="0"/>
      </w:pPr>
      <w:r>
        <w:rPr>
          <w:rFonts w:ascii="Calibri" w:cs="Calibri" w:eastAsia="Calibri" w:hAnsi="Calibri"/>
          <w:b/>
          <w:bCs/>
          <w:color w:val="C8962E"/>
          <w:sz w:val="40"/>
          <w:szCs w:val="40"/>
        </w:rPr>
        <w:t xml:space="preserve">09  </w:t>
      </w:r>
      <w:r>
        <w:rPr>
          <w:rFonts w:ascii="Calibri" w:cs="Calibri" w:eastAsia="Calibri" w:hAnsi="Calibri"/>
          <w:b/>
          <w:bCs/>
          <w:color w:val="0B2545"/>
          <w:sz w:val="32"/>
          <w:szCs w:val="32"/>
        </w:rPr>
        <w:t xml:space="preserve">COÛT DU PROJET ET PLAN DE FINANCEMENT</w:t>
      </w:r>
    </w:p>
    <w:p>
      <w:pPr>
        <w:spacing w:after="160"/>
      </w:pPr>
    </w:p>
    <w:p>
      <w:pPr>
        <w:pStyle w:val="Heading2"/>
        <w:keepNext/>
        <w:spacing w:after="100" w:before="240"/>
      </w:pPr>
      <w:r>
        <w:rPr>
          <w:rFonts w:ascii="Calibri" w:cs="Calibri" w:eastAsia="Calibri" w:hAnsi="Calibri"/>
          <w:b/>
          <w:bCs/>
          <w:color w:val="C8962E"/>
          <w:sz w:val="25"/>
          <w:szCs w:val="25"/>
        </w:rPr>
        <w:t xml:space="preserve">9.1  </w:t>
      </w:r>
      <w:r>
        <w:rPr>
          <w:rFonts w:ascii="Calibri" w:cs="Calibri" w:eastAsia="Calibri" w:hAnsi="Calibri"/>
          <w:b/>
          <w:bCs/>
          <w:color w:val="1F4E9E"/>
          <w:sz w:val="25"/>
          <w:szCs w:val="25"/>
        </w:rPr>
        <w:t xml:space="preserve">Budget d’investissement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38"/>
        <w:gridCol w:w="1500"/>
        <w:gridCol w:w="1500"/>
      </w:tblGrid>
      <w:tr>
        <w:trPr>
          <w:tblHeader/>
        </w:trPr>
        <w:tc>
          <w:tcPr>
            <w:tcW w:type="dxa" w:w="66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Poste</w:t>
            </w:r>
          </w:p>
        </w:tc>
        <w:tc>
          <w:tcPr>
            <w:tcW w:type="dxa" w:w="15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8"/>
                <w:szCs w:val="18"/>
              </w:rPr>
              <w:t xml:space="preserve">M USD</w:t>
            </w:r>
          </w:p>
        </w:tc>
        <w:tc>
          <w:tcPr>
            <w:tcW w:type="dxa" w:w="15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8"/>
                <w:szCs w:val="18"/>
              </w:rPr>
              <w:t xml:space="preserve">Part</w:t>
            </w:r>
          </w:p>
        </w:tc>
      </w:tr>
      <w:tr>
        <w:trPr>
          <w:cantSplit/>
        </w:trPr>
        <w:tc>
          <w:tcPr>
            <w:tcW w:type="dxa" w:w="6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100 camions-bennes rendus en Guinée</w:t>
            </w:r>
          </w:p>
        </w:tc>
        <w:tc>
          <w:tcPr>
            <w:tcW w:type="dxa" w:w="15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16,50</w:t>
            </w:r>
          </w:p>
        </w:tc>
        <w:tc>
          <w:tcPr>
            <w:tcW w:type="dxa" w:w="15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55,0 %</w:t>
            </w:r>
          </w:p>
        </w:tc>
      </w:tr>
      <w:tr>
        <w:trPr>
          <w:cantSplit/>
        </w:trPr>
        <w:tc>
          <w:tcPr>
            <w:tcW w:type="dxa" w:w="6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Véhicules et équipements de soutien</w:t>
            </w:r>
          </w:p>
        </w:tc>
        <w:tc>
          <w:tcPr>
            <w:tcW w:type="dxa" w:w="15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2,00</w:t>
            </w:r>
          </w:p>
        </w:tc>
        <w:tc>
          <w:tcPr>
            <w:tcW w:type="dxa" w:w="15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6,7 %</w:t>
            </w:r>
          </w:p>
        </w:tc>
      </w:tr>
      <w:tr>
        <w:trPr>
          <w:cantSplit/>
        </w:trPr>
        <w:tc>
          <w:tcPr>
            <w:tcW w:type="dxa" w:w="6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Atelier, dépôt, magasin et aire de lavage</w:t>
            </w:r>
          </w:p>
        </w:tc>
        <w:tc>
          <w:tcPr>
            <w:tcW w:type="dxa" w:w="15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2,20</w:t>
            </w:r>
          </w:p>
        </w:tc>
        <w:tc>
          <w:tcPr>
            <w:tcW w:type="dxa" w:w="15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7,3 %</w:t>
            </w:r>
          </w:p>
        </w:tc>
      </w:tr>
      <w:tr>
        <w:trPr>
          <w:cantSplit/>
        </w:trPr>
        <w:tc>
          <w:tcPr>
            <w:tcW w:type="dxa" w:w="6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Stock initial de pièces stratégiques, pneus et lubrifiants</w:t>
            </w:r>
          </w:p>
        </w:tc>
        <w:tc>
          <w:tcPr>
            <w:tcW w:type="dxa" w:w="15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2,00</w:t>
            </w:r>
          </w:p>
        </w:tc>
        <w:tc>
          <w:tcPr>
            <w:tcW w:type="dxa" w:w="15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6,7 %</w:t>
            </w:r>
          </w:p>
        </w:tc>
      </w:tr>
      <w:tr>
        <w:trPr>
          <w:cantSplit/>
        </w:trPr>
        <w:tc>
          <w:tcPr>
            <w:tcW w:type="dxa" w:w="6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GPS, IVMS, logiciels et informatique</w:t>
            </w:r>
          </w:p>
        </w:tc>
        <w:tc>
          <w:tcPr>
            <w:tcW w:type="dxa" w:w="15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0,50</w:t>
            </w:r>
          </w:p>
        </w:tc>
        <w:tc>
          <w:tcPr>
            <w:tcW w:type="dxa" w:w="15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1,7 %</w:t>
            </w:r>
          </w:p>
        </w:tc>
      </w:tr>
      <w:tr>
        <w:trPr>
          <w:cantSplit/>
        </w:trPr>
        <w:tc>
          <w:tcPr>
            <w:tcW w:type="dxa" w:w="6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Mobilisation, formation, assurance et homologation</w:t>
            </w:r>
          </w:p>
        </w:tc>
        <w:tc>
          <w:tcPr>
            <w:tcW w:type="dxa" w:w="15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1,00</w:t>
            </w:r>
          </w:p>
        </w:tc>
        <w:tc>
          <w:tcPr>
            <w:tcW w:type="dxa" w:w="15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3,3 %</w:t>
            </w:r>
          </w:p>
        </w:tc>
      </w:tr>
      <w:tr>
        <w:trPr>
          <w:cantSplit/>
        </w:trPr>
        <w:tc>
          <w:tcPr>
            <w:tcW w:type="dxa" w:w="6638"/>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0B2545"/>
                <w:sz w:val="18"/>
                <w:szCs w:val="18"/>
              </w:rPr>
              <w:t xml:space="preserve">Sous-total investissements physiques</w:t>
            </w:r>
          </w:p>
        </w:tc>
        <w:tc>
          <w:tcPr>
            <w:tcW w:type="dxa" w:w="15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8"/>
                <w:szCs w:val="18"/>
              </w:rPr>
              <w:t xml:space="preserve">24,20</w:t>
            </w:r>
          </w:p>
        </w:tc>
        <w:tc>
          <w:tcPr>
            <w:tcW w:type="dxa" w:w="15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8"/>
                <w:szCs w:val="18"/>
              </w:rPr>
              <w:t xml:space="preserve">80,7 %</w:t>
            </w:r>
          </w:p>
        </w:tc>
      </w:tr>
      <w:tr>
        <w:trPr>
          <w:cantSplit/>
        </w:trPr>
        <w:tc>
          <w:tcPr>
            <w:tcW w:type="dxa" w:w="6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Provision pour aléas et imprévus (11,6 % des investissements)</w:t>
            </w:r>
          </w:p>
        </w:tc>
        <w:tc>
          <w:tcPr>
            <w:tcW w:type="dxa" w:w="15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2,80</w:t>
            </w:r>
          </w:p>
        </w:tc>
        <w:tc>
          <w:tcPr>
            <w:tcW w:type="dxa" w:w="15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9,3 %</w:t>
            </w:r>
          </w:p>
        </w:tc>
      </w:tr>
      <w:tr>
        <w:trPr>
          <w:cantSplit/>
        </w:trPr>
        <w:tc>
          <w:tcPr>
            <w:tcW w:type="dxa" w:w="6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Fonds de roulement et trésorerie de démarrage</w:t>
            </w:r>
          </w:p>
        </w:tc>
        <w:tc>
          <w:tcPr>
            <w:tcW w:type="dxa" w:w="15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3,00</w:t>
            </w:r>
          </w:p>
        </w:tc>
        <w:tc>
          <w:tcPr>
            <w:tcW w:type="dxa" w:w="15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10,0 %</w:t>
            </w:r>
          </w:p>
        </w:tc>
      </w:tr>
      <w:tr>
        <w:trPr>
          <w:cantSplit/>
        </w:trPr>
        <w:tc>
          <w:tcPr>
            <w:tcW w:type="dxa" w:w="6638"/>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0B2545"/>
                <w:sz w:val="18"/>
                <w:szCs w:val="18"/>
              </w:rPr>
              <w:t xml:space="preserve">Enveloppe d’investissement</w:t>
            </w:r>
          </w:p>
        </w:tc>
        <w:tc>
          <w:tcPr>
            <w:tcW w:type="dxa" w:w="15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8"/>
                <w:szCs w:val="18"/>
              </w:rPr>
              <w:t xml:space="preserve">30,00</w:t>
            </w:r>
          </w:p>
        </w:tc>
        <w:tc>
          <w:tcPr>
            <w:tcW w:type="dxa" w:w="15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8"/>
                <w:szCs w:val="18"/>
              </w:rPr>
              <w:t xml:space="preserve">100,0 %</w:t>
            </w:r>
          </w:p>
        </w:tc>
      </w:tr>
    </w:tbl>
    <w:p>
      <w:pPr>
        <w:spacing w:after="180"/>
      </w:pPr>
    </w:p>
    <w:p>
      <w:pPr>
        <w:spacing w:after="120" w:before="0" w:line="276"/>
        <w:jc w:val="both"/>
      </w:pPr>
      <w:r>
        <w:rPr>
          <w:rFonts w:ascii="Calibri" w:cs="Calibri" w:eastAsia="Calibri" w:hAnsi="Calibri"/>
          <w:color w:val="1F2937"/>
          <w:sz w:val="21"/>
          <w:szCs w:val="21"/>
        </w:rPr>
        <w:t xml:space="preserve">Le prix moyen implicite d’un camion rendu en Guinée est de </w:t>
      </w:r>
      <w:r>
        <w:rPr>
          <w:rFonts w:ascii="Calibri" w:cs="Calibri" w:eastAsia="Calibri" w:hAnsi="Calibri"/>
          <w:b/>
          <w:bCs/>
          <w:color w:val="0B2545"/>
          <w:sz w:val="21"/>
          <w:szCs w:val="21"/>
        </w:rPr>
        <w:t xml:space="preserve">165 000 USD</w:t>
      </w:r>
      <w:r>
        <w:rPr>
          <w:rFonts w:ascii="Calibri" w:cs="Calibri" w:eastAsia="Calibri" w:hAnsi="Calibri"/>
          <w:color w:val="1F2937"/>
          <w:sz w:val="21"/>
          <w:szCs w:val="21"/>
        </w:rPr>
        <w:t xml:space="preserve">. Ce montant sera remplacé par des offres fermes incluant benne, options minières, transport, assurance, droits et mise en service, issues d’une mise en concurrence d’au moins trois constructeurs.</w:t>
      </w:r>
    </w:p>
    <w:p>
      <w:pPr>
        <w:pStyle w:val="Heading2"/>
        <w:keepNext/>
        <w:spacing w:after="100" w:before="240"/>
      </w:pPr>
      <w:r>
        <w:rPr>
          <w:rFonts w:ascii="Calibri" w:cs="Calibri" w:eastAsia="Calibri" w:hAnsi="Calibri"/>
          <w:b/>
          <w:bCs/>
          <w:color w:val="C8962E"/>
          <w:sz w:val="25"/>
          <w:szCs w:val="25"/>
        </w:rPr>
        <w:t xml:space="preserve">9.2  </w:t>
      </w:r>
      <w:r>
        <w:rPr>
          <w:rFonts w:ascii="Calibri" w:cs="Calibri" w:eastAsia="Calibri" w:hAnsi="Calibri"/>
          <w:b/>
          <w:bCs/>
          <w:color w:val="1F4E9E"/>
          <w:sz w:val="25"/>
          <w:szCs w:val="25"/>
        </w:rPr>
        <w:t xml:space="preserve">Tableau des emplois et ressources</w:t>
      </w:r>
    </w:p>
    <w:p>
      <w:pPr>
        <w:spacing w:after="120" w:before="0" w:line="276"/>
        <w:jc w:val="both"/>
      </w:pPr>
      <w:r>
        <w:rPr>
          <w:rFonts w:ascii="Calibri" w:cs="Calibri" w:eastAsia="Calibri" w:hAnsi="Calibri"/>
          <w:color w:val="1F2937"/>
          <w:sz w:val="21"/>
          <w:szCs w:val="21"/>
        </w:rPr>
        <w:t xml:space="preserve">Conformément aux pratiques des prêteurs, le coût total à financer intègre, au-delà de l’enveloppe d’investissement, les </w:t>
      </w:r>
      <w:r>
        <w:rPr>
          <w:rFonts w:ascii="Calibri" w:cs="Calibri" w:eastAsia="Calibri" w:hAnsi="Calibri"/>
          <w:b/>
          <w:bCs/>
          <w:color w:val="0B2545"/>
          <w:sz w:val="21"/>
          <w:szCs w:val="21"/>
        </w:rPr>
        <w:t xml:space="preserve">frais de financement</w:t>
      </w:r>
      <w:r>
        <w:rPr>
          <w:rFonts w:ascii="Calibri" w:cs="Calibri" w:eastAsia="Calibri" w:hAnsi="Calibri"/>
          <w:color w:val="1F2937"/>
          <w:sz w:val="21"/>
          <w:szCs w:val="21"/>
        </w:rPr>
        <w:t xml:space="preserve">, les </w:t>
      </w:r>
      <w:r>
        <w:rPr>
          <w:rFonts w:ascii="Calibri" w:cs="Calibri" w:eastAsia="Calibri" w:hAnsi="Calibri"/>
          <w:b/>
          <w:bCs/>
          <w:color w:val="0B2545"/>
          <w:sz w:val="21"/>
          <w:szCs w:val="21"/>
        </w:rPr>
        <w:t xml:space="preserve">intérêts intercalaires</w:t>
      </w:r>
      <w:r>
        <w:rPr>
          <w:rFonts w:ascii="Calibri" w:cs="Calibri" w:eastAsia="Calibri" w:hAnsi="Calibri"/>
          <w:color w:val="1F2937"/>
          <w:sz w:val="21"/>
          <w:szCs w:val="21"/>
        </w:rPr>
        <w:t xml:space="preserve"> de la période de mobilisation (capitalisés selon IAS 23) et la </w:t>
      </w:r>
      <w:r>
        <w:rPr>
          <w:rFonts w:ascii="Calibri" w:cs="Calibri" w:eastAsia="Calibri" w:hAnsi="Calibri"/>
          <w:b/>
          <w:bCs/>
          <w:color w:val="0B2545"/>
          <w:sz w:val="21"/>
          <w:szCs w:val="21"/>
        </w:rPr>
        <w:t xml:space="preserve">dotation initiale du compte de réserve du service de la dette (DSRA)</w:t>
      </w:r>
      <w:r>
        <w:rPr>
          <w:rFonts w:ascii="Calibri" w:cs="Calibri" w:eastAsia="Calibri" w:hAnsi="Calibri"/>
          <w:color w:val="1F2937"/>
          <w:sz w:val="21"/>
          <w:szCs w:val="21"/>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500"/>
        <w:gridCol w:w="1319"/>
        <w:gridCol w:w="3500"/>
        <w:gridCol w:w="1319"/>
      </w:tblGrid>
      <w:tr>
        <w:trPr>
          <w:tblHeader/>
        </w:trPr>
        <w:tc>
          <w:tcPr>
            <w:tcW w:type="dxa" w:w="35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Emplois</w:t>
            </w:r>
          </w:p>
        </w:tc>
        <w:tc>
          <w:tcPr>
            <w:tcW w:type="dxa" w:w="1319"/>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8"/>
                <w:szCs w:val="18"/>
              </w:rPr>
              <w:t xml:space="preserve">M USD</w:t>
            </w:r>
          </w:p>
        </w:tc>
        <w:tc>
          <w:tcPr>
            <w:tcW w:type="dxa" w:w="35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Ressources</w:t>
            </w:r>
          </w:p>
        </w:tc>
        <w:tc>
          <w:tcPr>
            <w:tcW w:type="dxa" w:w="1319"/>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8"/>
                <w:szCs w:val="18"/>
              </w:rPr>
              <w:t xml:space="preserve">M USD</w:t>
            </w:r>
          </w:p>
        </w:tc>
      </w:tr>
      <w:tr>
        <w:trPr>
          <w:cantSplit/>
        </w:trPr>
        <w:tc>
          <w:tcPr>
            <w:tcW w:type="dxa" w:w="35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Investissements physiques</w:t>
            </w:r>
          </w:p>
        </w:tc>
        <w:tc>
          <w:tcPr>
            <w:tcW w:type="dxa" w:w="13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24,20</w:t>
            </w:r>
          </w:p>
        </w:tc>
        <w:tc>
          <w:tcPr>
            <w:tcW w:type="dxa" w:w="35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Fonds propres (capital et avances d’actionnaires)</w:t>
            </w:r>
          </w:p>
        </w:tc>
        <w:tc>
          <w:tcPr>
            <w:tcW w:type="dxa" w:w="13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11,41</w:t>
            </w:r>
          </w:p>
        </w:tc>
      </w:tr>
      <w:tr>
        <w:trPr>
          <w:cantSplit/>
        </w:trPr>
        <w:tc>
          <w:tcPr>
            <w:tcW w:type="dxa" w:w="35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Provision pour aléas</w:t>
            </w:r>
          </w:p>
        </w:tc>
        <w:tc>
          <w:tcPr>
            <w:tcW w:type="dxa" w:w="13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2,80</w:t>
            </w:r>
          </w:p>
        </w:tc>
        <w:tc>
          <w:tcPr>
            <w:tcW w:type="dxa" w:w="35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Dette senior à terme</w:t>
            </w:r>
          </w:p>
        </w:tc>
        <w:tc>
          <w:tcPr>
            <w:tcW w:type="dxa" w:w="13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21,18</w:t>
            </w:r>
          </w:p>
        </w:tc>
      </w:tr>
      <w:tr>
        <w:trPr>
          <w:cantSplit/>
        </w:trPr>
        <w:tc>
          <w:tcPr>
            <w:tcW w:type="dxa" w:w="35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Fonds de roulement initial</w:t>
            </w:r>
          </w:p>
        </w:tc>
        <w:tc>
          <w:tcPr>
            <w:tcW w:type="dxa" w:w="13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3,00</w:t>
            </w:r>
          </w:p>
        </w:tc>
        <w:tc>
          <w:tcPr>
            <w:tcW w:type="dxa" w:w="35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p>
        </w:tc>
        <w:tc>
          <w:tcPr>
            <w:tcW w:type="dxa" w:w="13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p>
        </w:tc>
      </w:tr>
      <w:tr>
        <w:trPr>
          <w:cantSplit/>
        </w:trPr>
        <w:tc>
          <w:tcPr>
            <w:tcW w:type="dxa" w:w="35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Frais de montage et conseils des prêteurs</w:t>
            </w:r>
          </w:p>
        </w:tc>
        <w:tc>
          <w:tcPr>
            <w:tcW w:type="dxa" w:w="13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0,72</w:t>
            </w:r>
          </w:p>
        </w:tc>
        <w:tc>
          <w:tcPr>
            <w:tcW w:type="dxa" w:w="35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p>
        </w:tc>
        <w:tc>
          <w:tcPr>
            <w:tcW w:type="dxa" w:w="13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p>
        </w:tc>
      </w:tr>
      <w:tr>
        <w:trPr>
          <w:cantSplit/>
        </w:trPr>
        <w:tc>
          <w:tcPr>
            <w:tcW w:type="dxa" w:w="35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Intérêts intercalaires (année 0)</w:t>
            </w:r>
          </w:p>
        </w:tc>
        <w:tc>
          <w:tcPr>
            <w:tcW w:type="dxa" w:w="13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0,67</w:t>
            </w:r>
          </w:p>
        </w:tc>
        <w:tc>
          <w:tcPr>
            <w:tcW w:type="dxa" w:w="35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p>
        </w:tc>
        <w:tc>
          <w:tcPr>
            <w:tcW w:type="dxa" w:w="13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p>
        </w:tc>
      </w:tr>
      <w:tr>
        <w:trPr>
          <w:cantSplit/>
        </w:trPr>
        <w:tc>
          <w:tcPr>
            <w:tcW w:type="dxa" w:w="35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Dotation initiale DSRA</w:t>
            </w:r>
          </w:p>
        </w:tc>
        <w:tc>
          <w:tcPr>
            <w:tcW w:type="dxa" w:w="13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1,20</w:t>
            </w:r>
          </w:p>
        </w:tc>
        <w:tc>
          <w:tcPr>
            <w:tcW w:type="dxa" w:w="35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p>
        </w:tc>
        <w:tc>
          <w:tcPr>
            <w:tcW w:type="dxa" w:w="13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p>
        </w:tc>
      </w:tr>
      <w:tr>
        <w:trPr>
          <w:cantSplit/>
        </w:trPr>
        <w:tc>
          <w:tcPr>
            <w:tcW w:type="dxa" w:w="35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0B2545"/>
                <w:sz w:val="18"/>
                <w:szCs w:val="18"/>
              </w:rPr>
              <w:t xml:space="preserve">Total des emplois</w:t>
            </w:r>
          </w:p>
        </w:tc>
        <w:tc>
          <w:tcPr>
            <w:tcW w:type="dxa" w:w="1319"/>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8"/>
                <w:szCs w:val="18"/>
              </w:rPr>
              <w:t xml:space="preserve">32,59</w:t>
            </w:r>
          </w:p>
        </w:tc>
        <w:tc>
          <w:tcPr>
            <w:tcW w:type="dxa" w:w="35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0B2545"/>
                <w:sz w:val="18"/>
                <w:szCs w:val="18"/>
              </w:rPr>
              <w:t xml:space="preserve">Total des ressources</w:t>
            </w:r>
          </w:p>
        </w:tc>
        <w:tc>
          <w:tcPr>
            <w:tcW w:type="dxa" w:w="1319"/>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8"/>
                <w:szCs w:val="18"/>
              </w:rPr>
              <w:t xml:space="preserve">32,59</w:t>
            </w:r>
          </w:p>
        </w:tc>
      </w:tr>
    </w:tbl>
    <w:p>
      <w:pPr>
        <w:spacing w:after="180"/>
      </w:pPr>
    </w:p>
    <w:p>
      <w:pPr>
        <w:pStyle w:val="Heading2"/>
        <w:keepNext/>
        <w:spacing w:after="100" w:before="240"/>
      </w:pPr>
      <w:r>
        <w:rPr>
          <w:rFonts w:ascii="Calibri" w:cs="Calibri" w:eastAsia="Calibri" w:hAnsi="Calibri"/>
          <w:b/>
          <w:bCs/>
          <w:color w:val="C8962E"/>
          <w:sz w:val="25"/>
          <w:szCs w:val="25"/>
        </w:rPr>
        <w:t xml:space="preserve">9.3  </w:t>
      </w:r>
      <w:r>
        <w:rPr>
          <w:rFonts w:ascii="Calibri" w:cs="Calibri" w:eastAsia="Calibri" w:hAnsi="Calibri"/>
          <w:b/>
          <w:bCs/>
          <w:color w:val="1F4E9E"/>
          <w:sz w:val="25"/>
          <w:szCs w:val="25"/>
        </w:rPr>
        <w:t xml:space="preserve">Structure de financement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1300"/>
        <w:gridCol w:w="1000"/>
        <w:gridCol w:w="4738"/>
      </w:tblGrid>
      <w:tr>
        <w:trPr>
          <w:tblHeader/>
        </w:trPr>
        <w:tc>
          <w:tcPr>
            <w:tcW w:type="dxa" w:w="26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Source</w:t>
            </w:r>
          </w:p>
        </w:tc>
        <w:tc>
          <w:tcPr>
            <w:tcW w:type="dxa" w:w="13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8"/>
                <w:szCs w:val="18"/>
              </w:rPr>
              <w:t xml:space="preserve">M USD</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8"/>
                <w:szCs w:val="18"/>
              </w:rPr>
              <w:t xml:space="preserve">Part</w:t>
            </w:r>
          </w:p>
        </w:tc>
        <w:tc>
          <w:tcPr>
            <w:tcW w:type="dxa" w:w="47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Conditions modélisées</w:t>
            </w:r>
          </w:p>
        </w:tc>
      </w:tr>
      <w:tr>
        <w:trPr>
          <w:cantSplit/>
        </w:trPr>
        <w:tc>
          <w:tcPr>
            <w:tcW w:type="dxa" w:w="2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Fonds propres</w:t>
            </w:r>
          </w:p>
        </w:tc>
        <w:tc>
          <w:tcPr>
            <w:tcW w:type="dxa" w:w="13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11,41</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35 %</w:t>
            </w:r>
          </w:p>
        </w:tc>
        <w:tc>
          <w:tcPr>
            <w:tcW w:type="dxa" w:w="47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Apport intégral avant le premier tirage de la dette</w:t>
            </w:r>
          </w:p>
        </w:tc>
      </w:tr>
      <w:tr>
        <w:trPr>
          <w:cantSplit/>
        </w:trPr>
        <w:tc>
          <w:tcPr>
            <w:tcW w:type="dxa" w:w="26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Dette senior / crédit-bail</w:t>
            </w:r>
          </w:p>
        </w:tc>
        <w:tc>
          <w:tcPr>
            <w:tcW w:type="dxa" w:w="13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21,18</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65 %</w:t>
            </w:r>
          </w:p>
        </w:tc>
        <w:tc>
          <w:tcPr>
            <w:tcW w:type="dxa" w:w="47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10,5 %, 7 ans dont 12 mois de mobilisation, remboursement sculpté</w:t>
            </w:r>
          </w:p>
        </w:tc>
      </w:tr>
      <w:tr>
        <w:trPr>
          <w:cantSplit/>
        </w:trPr>
        <w:tc>
          <w:tcPr>
            <w:tcW w:type="dxa" w:w="26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0B2545"/>
                <w:sz w:val="18"/>
                <w:szCs w:val="18"/>
              </w:rPr>
              <w:t xml:space="preserve">Total</w:t>
            </w:r>
          </w:p>
        </w:tc>
        <w:tc>
          <w:tcPr>
            <w:tcW w:type="dxa" w:w="13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8"/>
                <w:szCs w:val="18"/>
              </w:rPr>
              <w:t xml:space="preserve">32,59</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8"/>
                <w:szCs w:val="18"/>
              </w:rPr>
              <w:t xml:space="preserve">100 %</w:t>
            </w:r>
          </w:p>
        </w:tc>
        <w:tc>
          <w:tcPr>
            <w:tcW w:type="dxa" w:w="4738"/>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left"/>
            </w:pPr>
          </w:p>
        </w:tc>
      </w:tr>
    </w:tbl>
    <w:p>
      <w:pPr>
        <w:spacing w:after="180"/>
      </w:pPr>
    </w:p>
    <w:p>
      <w:pPr>
        <w:spacing w:after="120" w:before="0" w:line="276"/>
        <w:jc w:val="both"/>
      </w:pPr>
      <w:r>
        <w:rPr>
          <w:rFonts w:ascii="Calibri" w:cs="Calibri" w:eastAsia="Calibri" w:hAnsi="Calibri"/>
          <w:b/>
          <w:bCs/>
          <w:color w:val="0B2545"/>
          <w:sz w:val="21"/>
          <w:szCs w:val="21"/>
        </w:rPr>
        <w:t xml:space="preserve">Sources de financement ciblées.</w:t>
      </w:r>
      <w:r>
        <w:rPr>
          <w:rFonts w:ascii="Calibri" w:cs="Calibri" w:eastAsia="Calibri" w:hAnsi="Calibri"/>
          <w:color w:val="1F2937"/>
          <w:sz w:val="21"/>
          <w:szCs w:val="21"/>
        </w:rPr>
        <w:t xml:space="preserve"> Banques commerciales de la place (financement local en USD), institutions de financement du développement actives dans le secteur minier ouest-africain (IFC, Afreximbank, Banque africaine de développement, Proparco, etc.), financements adossés à une agence de crédit à l’exportation du pays du constructeur, crédit-bail fournisseur, et couverture du risque politique (ATI, MIGA) pour améliorer la notation du risque.</w:t>
      </w:r>
    </w:p>
    <w:p>
      <w:pPr>
        <w:pStyle w:val="Heading2"/>
        <w:keepNext/>
        <w:spacing w:after="100" w:before="240"/>
      </w:pPr>
      <w:r>
        <w:rPr>
          <w:rFonts w:ascii="Calibri" w:cs="Calibri" w:eastAsia="Calibri" w:hAnsi="Calibri"/>
          <w:b/>
          <w:bCs/>
          <w:color w:val="C8962E"/>
          <w:sz w:val="25"/>
          <w:szCs w:val="25"/>
        </w:rPr>
        <w:t xml:space="preserve">9.4  </w:t>
      </w:r>
      <w:r>
        <w:rPr>
          <w:rFonts w:ascii="Calibri" w:cs="Calibri" w:eastAsia="Calibri" w:hAnsi="Calibri"/>
          <w:b/>
          <w:bCs/>
          <w:color w:val="1F4E9E"/>
          <w:sz w:val="25"/>
          <w:szCs w:val="25"/>
        </w:rPr>
        <w:t xml:space="preserve">Sûretés et garanties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400"/>
        <w:gridCol w:w="5238"/>
      </w:tblGrid>
      <w:tr>
        <w:trPr>
          <w:tblHeader/>
        </w:trPr>
        <w:tc>
          <w:tcPr>
            <w:tcW w:type="dxa" w:w="44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Instrument</w:t>
            </w:r>
          </w:p>
        </w:tc>
        <w:tc>
          <w:tcPr>
            <w:tcW w:type="dxa" w:w="52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Objet</w:t>
            </w:r>
          </w:p>
        </w:tc>
      </w:tr>
      <w:tr>
        <w:trPr>
          <w:cantSplit/>
        </w:trPr>
        <w:tc>
          <w:tcPr>
            <w:tcW w:type="dxa" w:w="4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Nantissement de la flotte et des équipements</w:t>
            </w:r>
          </w:p>
        </w:tc>
        <w:tc>
          <w:tcPr>
            <w:tcW w:type="dxa" w:w="52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Garantie sur les actifs financés</w:t>
            </w:r>
          </w:p>
        </w:tc>
      </w:tr>
      <w:tr>
        <w:trPr>
          <w:cantSplit/>
        </w:trPr>
        <w:tc>
          <w:tcPr>
            <w:tcW w:type="dxa" w:w="4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Cession des créances du contrat minier</w:t>
            </w:r>
          </w:p>
        </w:tc>
        <w:tc>
          <w:tcPr>
            <w:tcW w:type="dxa" w:w="52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Paiement direct sur un compte séquestre au profit des prêteurs</w:t>
            </w:r>
          </w:p>
        </w:tc>
      </w:tr>
      <w:tr>
        <w:trPr>
          <w:cantSplit/>
        </w:trPr>
        <w:tc>
          <w:tcPr>
            <w:tcW w:type="dxa" w:w="4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Nantissement des comptes et des titres de la SPV</w:t>
            </w:r>
          </w:p>
        </w:tc>
        <w:tc>
          <w:tcPr>
            <w:tcW w:type="dxa" w:w="52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Contrôle des flux et possibilité de substitution (step-in)</w:t>
            </w:r>
          </w:p>
        </w:tc>
      </w:tr>
      <w:tr>
        <w:trPr>
          <w:cantSplit/>
        </w:trPr>
        <w:tc>
          <w:tcPr>
            <w:tcW w:type="dxa" w:w="4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Compte de réserve du service de la dette (DSRA)</w:t>
            </w:r>
          </w:p>
        </w:tc>
        <w:tc>
          <w:tcPr>
            <w:tcW w:type="dxa" w:w="52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6 mois de service de la dette</w:t>
            </w:r>
          </w:p>
        </w:tc>
      </w:tr>
      <w:tr>
        <w:trPr>
          <w:cantSplit/>
        </w:trPr>
        <w:tc>
          <w:tcPr>
            <w:tcW w:type="dxa" w:w="4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Compte de réserve de maintenance (MRA)</w:t>
            </w:r>
          </w:p>
        </w:tc>
        <w:tc>
          <w:tcPr>
            <w:tcW w:type="dxa" w:w="52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Financement des révisions majeures</w:t>
            </w:r>
          </w:p>
        </w:tc>
      </w:tr>
      <w:tr>
        <w:trPr>
          <w:cantSplit/>
        </w:trPr>
        <w:tc>
          <w:tcPr>
            <w:tcW w:type="dxa" w:w="4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Assurances tous risques et perte d’exploitation</w:t>
            </w:r>
          </w:p>
        </w:tc>
        <w:tc>
          <w:tcPr>
            <w:tcW w:type="dxa" w:w="52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Délégation au profit des prêteurs</w:t>
            </w:r>
          </w:p>
        </w:tc>
      </w:tr>
      <w:tr>
        <w:trPr>
          <w:cantSplit/>
        </w:trPr>
        <w:tc>
          <w:tcPr>
            <w:tcW w:type="dxa" w:w="4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Engagement de volume du client (take-or-pay)</w:t>
            </w:r>
          </w:p>
        </w:tc>
        <w:tc>
          <w:tcPr>
            <w:tcW w:type="dxa" w:w="52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Sécurisation du chiffre d’affaires</w:t>
            </w:r>
          </w:p>
        </w:tc>
      </w:tr>
      <w:tr>
        <w:trPr>
          <w:cantSplit/>
        </w:trPr>
        <w:tc>
          <w:tcPr>
            <w:tcW w:type="dxa" w:w="4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Garantie des actionnaires pendant la mobilisation</w:t>
            </w:r>
          </w:p>
        </w:tc>
        <w:tc>
          <w:tcPr>
            <w:tcW w:type="dxa" w:w="52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Couverture du risque de dépassement de coûts et de retard</w:t>
            </w:r>
          </w:p>
        </w:tc>
      </w:tr>
    </w:tbl>
    <w:p>
      <w:pPr>
        <w:spacing w:after="180"/>
      </w:pPr>
    </w:p>
    <w:p>
      <w:pPr>
        <w:pStyle w:val="Heading2"/>
        <w:keepNext/>
        <w:spacing w:after="100" w:before="240"/>
      </w:pPr>
      <w:r>
        <w:rPr>
          <w:rFonts w:ascii="Calibri" w:cs="Calibri" w:eastAsia="Calibri" w:hAnsi="Calibri"/>
          <w:b/>
          <w:bCs/>
          <w:color w:val="C8962E"/>
          <w:sz w:val="25"/>
          <w:szCs w:val="25"/>
        </w:rPr>
        <w:t xml:space="preserve">9.5  </w:t>
      </w:r>
      <w:r>
        <w:rPr>
          <w:rFonts w:ascii="Calibri" w:cs="Calibri" w:eastAsia="Calibri" w:hAnsi="Calibri"/>
          <w:b/>
          <w:bCs/>
          <w:color w:val="1F4E9E"/>
          <w:sz w:val="25"/>
          <w:szCs w:val="25"/>
        </w:rPr>
        <w:t xml:space="preserve">Cascade des paiements (waterfall)</w:t>
      </w:r>
    </w:p>
    <w:p>
      <w:pPr>
        <w:spacing w:after="120" w:before="0" w:line="276"/>
        <w:jc w:val="both"/>
      </w:pPr>
      <w:r>
        <w:rPr>
          <w:rFonts w:ascii="Calibri" w:cs="Calibri" w:eastAsia="Calibri" w:hAnsi="Calibri"/>
          <w:color w:val="1F2937"/>
          <w:sz w:val="21"/>
          <w:szCs w:val="21"/>
        </w:rPr>
        <w:t xml:space="preserve">Toutes les recettes du contrat sont encaissées sur un compte de recettes nanti. Elles sont affectées selon l’ordre de priorité suivant, standard en financement de projet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0"/>
        <w:gridCol w:w="8638"/>
      </w:tblGrid>
      <w:tr>
        <w:trPr>
          <w:tblHeader/>
        </w:trPr>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Rang</w:t>
            </w:r>
          </w:p>
        </w:tc>
        <w:tc>
          <w:tcPr>
            <w:tcW w:type="dxa" w:w="86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Affectation</w:t>
            </w:r>
          </w:p>
        </w:tc>
      </w:tr>
      <w:tr>
        <w:trPr>
          <w:cantSplit/>
        </w:trPr>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1</w:t>
            </w:r>
          </w:p>
        </w:tc>
        <w:tc>
          <w:tcPr>
            <w:tcW w:type="dxa" w:w="8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Charges d’exploitation, impôts et taxes</w:t>
            </w:r>
          </w:p>
        </w:tc>
      </w:tr>
      <w:tr>
        <w:trPr>
          <w:cantSplit/>
        </w:trPr>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2</w:t>
            </w:r>
          </w:p>
        </w:tc>
        <w:tc>
          <w:tcPr>
            <w:tcW w:type="dxa" w:w="8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Frais, commissions et intérêts de la dette senior</w:t>
            </w:r>
          </w:p>
        </w:tc>
      </w:tr>
      <w:tr>
        <w:trPr>
          <w:cantSplit/>
        </w:trPr>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3</w:t>
            </w:r>
          </w:p>
        </w:tc>
        <w:tc>
          <w:tcPr>
            <w:tcW w:type="dxa" w:w="8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Remboursement du principal de la dette senior</w:t>
            </w:r>
          </w:p>
        </w:tc>
      </w:tr>
      <w:tr>
        <w:trPr>
          <w:cantSplit/>
        </w:trPr>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4</w:t>
            </w:r>
          </w:p>
        </w:tc>
        <w:tc>
          <w:tcPr>
            <w:tcW w:type="dxa" w:w="8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Reconstitution du DSRA à son niveau cible</w:t>
            </w:r>
          </w:p>
        </w:tc>
      </w:tr>
      <w:tr>
        <w:trPr>
          <w:cantSplit/>
        </w:trPr>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5</w:t>
            </w:r>
          </w:p>
        </w:tc>
        <w:tc>
          <w:tcPr>
            <w:tcW w:type="dxa" w:w="8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Dotation au compte de réserve de maintenance</w:t>
            </w:r>
          </w:p>
        </w:tc>
      </w:tr>
      <w:tr>
        <w:trPr>
          <w:cantSplit/>
        </w:trPr>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6</w:t>
            </w:r>
          </w:p>
        </w:tc>
        <w:tc>
          <w:tcPr>
            <w:tcW w:type="dxa" w:w="8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Distributions aux actionnaires, si DSCR ≥ 1,20x, réserves pleines et absence de défaut</w:t>
            </w:r>
          </w:p>
        </w:tc>
      </w:tr>
    </w:tbl>
    <w:p>
      <w:pPr>
        <w:spacing w:after="180"/>
      </w:pPr>
    </w:p>
    <w:p>
      <w:pPr>
        <w:pStyle w:val="Heading2"/>
        <w:keepNext/>
        <w:spacing w:after="100" w:before="240"/>
      </w:pPr>
      <w:r>
        <w:rPr>
          <w:rFonts w:ascii="Calibri" w:cs="Calibri" w:eastAsia="Calibri" w:hAnsi="Calibri"/>
          <w:b/>
          <w:bCs/>
          <w:color w:val="C8962E"/>
          <w:sz w:val="25"/>
          <w:szCs w:val="25"/>
        </w:rPr>
        <w:t xml:space="preserve">9.6  </w:t>
      </w:r>
      <w:r>
        <w:rPr>
          <w:rFonts w:ascii="Calibri" w:cs="Calibri" w:eastAsia="Calibri" w:hAnsi="Calibri"/>
          <w:b/>
          <w:bCs/>
          <w:color w:val="1F4E9E"/>
          <w:sz w:val="25"/>
          <w:szCs w:val="25"/>
        </w:rPr>
        <w:t xml:space="preserve">Engagements financiers (covenants)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00"/>
        <w:gridCol w:w="2146"/>
        <w:gridCol w:w="2146"/>
        <w:gridCol w:w="2146"/>
      </w:tblGrid>
      <w:tr>
        <w:trPr>
          <w:tblHeader/>
        </w:trPr>
        <w:tc>
          <w:tcPr>
            <w:tcW w:type="dxa" w:w="32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Ratio</w:t>
            </w:r>
          </w:p>
        </w:tc>
        <w:tc>
          <w:tcPr>
            <w:tcW w:type="dxa" w:w="2146"/>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Seuil de distribution</w:t>
            </w:r>
          </w:p>
        </w:tc>
        <w:tc>
          <w:tcPr>
            <w:tcW w:type="dxa" w:w="2146"/>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Cas de défaut</w:t>
            </w:r>
          </w:p>
        </w:tc>
        <w:tc>
          <w:tcPr>
            <w:tcW w:type="dxa" w:w="2146"/>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Cas de base</w:t>
            </w:r>
          </w:p>
        </w:tc>
      </w:tr>
      <w:tr>
        <w:trPr>
          <w:cantSplit/>
        </w:trPr>
        <w:tc>
          <w:tcPr>
            <w:tcW w:type="dxa" w:w="3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DSCR historique (12 mois glissants)</w:t>
            </w:r>
          </w:p>
        </w:tc>
        <w:tc>
          <w:tcPr>
            <w:tcW w:type="dxa" w:w="2146"/>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 1,20x</w:t>
            </w:r>
          </w:p>
        </w:tc>
        <w:tc>
          <w:tcPr>
            <w:tcW w:type="dxa" w:w="2146"/>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&lt; 1,10x</w:t>
            </w:r>
          </w:p>
        </w:tc>
        <w:tc>
          <w:tcPr>
            <w:tcW w:type="dxa" w:w="2146"/>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1,60x min.</w:t>
            </w:r>
          </w:p>
        </w:tc>
      </w:tr>
      <w:tr>
        <w:trPr>
          <w:cantSplit/>
        </w:trPr>
        <w:tc>
          <w:tcPr>
            <w:tcW w:type="dxa" w:w="32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LLCR</w:t>
            </w:r>
          </w:p>
        </w:tc>
        <w:tc>
          <w:tcPr>
            <w:tcW w:type="dxa" w:w="2146"/>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 1,40x</w:t>
            </w:r>
          </w:p>
        </w:tc>
        <w:tc>
          <w:tcPr>
            <w:tcW w:type="dxa" w:w="2146"/>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&lt; 1,20x</w:t>
            </w:r>
          </w:p>
        </w:tc>
        <w:tc>
          <w:tcPr>
            <w:tcW w:type="dxa" w:w="2146"/>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1,60x min.</w:t>
            </w:r>
          </w:p>
        </w:tc>
      </w:tr>
      <w:tr>
        <w:trPr>
          <w:cantSplit/>
        </w:trPr>
        <w:tc>
          <w:tcPr>
            <w:tcW w:type="dxa" w:w="3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Dette / (dette + fonds propres)</w:t>
            </w:r>
          </w:p>
        </w:tc>
        <w:tc>
          <w:tcPr>
            <w:tcW w:type="dxa" w:w="2146"/>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w:t>
            </w:r>
          </w:p>
        </w:tc>
        <w:tc>
          <w:tcPr>
            <w:tcW w:type="dxa" w:w="2146"/>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&gt; 70 %</w:t>
            </w:r>
          </w:p>
        </w:tc>
        <w:tc>
          <w:tcPr>
            <w:tcW w:type="dxa" w:w="2146"/>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68 % max. (A1)</w:t>
            </w:r>
          </w:p>
        </w:tc>
      </w:tr>
      <w:tr>
        <w:trPr>
          <w:cantSplit/>
        </w:trPr>
        <w:tc>
          <w:tcPr>
            <w:tcW w:type="dxa" w:w="32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DSRA</w:t>
            </w:r>
          </w:p>
        </w:tc>
        <w:tc>
          <w:tcPr>
            <w:tcW w:type="dxa" w:w="2146"/>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Niveau cible atteint</w:t>
            </w:r>
          </w:p>
        </w:tc>
        <w:tc>
          <w:tcPr>
            <w:tcW w:type="dxa" w:w="2146"/>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Non reconstitué sous 60 jours</w:t>
            </w:r>
          </w:p>
        </w:tc>
        <w:tc>
          <w:tcPr>
            <w:tcW w:type="dxa" w:w="2146"/>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6 mois</w:t>
            </w:r>
          </w:p>
        </w:tc>
      </w:tr>
    </w:tbl>
    <w:p>
      <w:pPr>
        <w:spacing w:after="180"/>
      </w:pPr>
    </w:p>
    <w:p>
      <w:pPr>
        <w:pStyle w:val="Heading1"/>
        <w:keepNext/>
        <w:pageBreakBefore/>
        <w:pBdr>
          <w:bottom w:val="single" w:color="C8962E" w:sz="12" w:space="6"/>
        </w:pBdr>
        <w:spacing w:after="80" w:before="0"/>
      </w:pPr>
      <w:r>
        <w:rPr>
          <w:rFonts w:ascii="Calibri" w:cs="Calibri" w:eastAsia="Calibri" w:hAnsi="Calibri"/>
          <w:b/>
          <w:bCs/>
          <w:color w:val="C8962E"/>
          <w:sz w:val="40"/>
          <w:szCs w:val="40"/>
        </w:rPr>
        <w:t xml:space="preserve">10  </w:t>
      </w:r>
      <w:r>
        <w:rPr>
          <w:rFonts w:ascii="Calibri" w:cs="Calibri" w:eastAsia="Calibri" w:hAnsi="Calibri"/>
          <w:b/>
          <w:bCs/>
          <w:color w:val="0B2545"/>
          <w:sz w:val="32"/>
          <w:szCs w:val="32"/>
        </w:rPr>
        <w:t xml:space="preserve">HYPOTHÈSES ET PRÉVISIONS FINANCIÈRES</w:t>
      </w:r>
    </w:p>
    <w:p>
      <w:pPr>
        <w:spacing w:after="160"/>
      </w:pPr>
    </w:p>
    <w:p>
      <w:pPr>
        <w:pStyle w:val="Heading2"/>
        <w:keepNext/>
        <w:spacing w:after="100" w:before="240"/>
      </w:pPr>
      <w:r>
        <w:rPr>
          <w:rFonts w:ascii="Calibri" w:cs="Calibri" w:eastAsia="Calibri" w:hAnsi="Calibri"/>
          <w:b/>
          <w:bCs/>
          <w:color w:val="C8962E"/>
          <w:sz w:val="25"/>
          <w:szCs w:val="25"/>
        </w:rPr>
        <w:t xml:space="preserve">10.1  </w:t>
      </w:r>
      <w:r>
        <w:rPr>
          <w:rFonts w:ascii="Calibri" w:cs="Calibri" w:eastAsia="Calibri" w:hAnsi="Calibri"/>
          <w:b/>
          <w:bCs/>
          <w:color w:val="1F4E9E"/>
          <w:sz w:val="25"/>
          <w:szCs w:val="25"/>
        </w:rPr>
        <w:t xml:space="preserve">Hypothèses économiques centrales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gridCol w:w="6038"/>
      </w:tblGrid>
      <w:tr>
        <w:trPr>
          <w:tblHeader/>
        </w:trPr>
        <w:tc>
          <w:tcPr>
            <w:tcW w:type="dxa" w:w="36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Hypothèse</w:t>
            </w:r>
          </w:p>
        </w:tc>
        <w:tc>
          <w:tcPr>
            <w:tcW w:type="dxa" w:w="60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Valeur</w:t>
            </w:r>
          </w:p>
        </w:tc>
      </w:tr>
      <w:tr>
        <w:trPr>
          <w:cantSplit/>
        </w:trPr>
        <w:tc>
          <w:tcPr>
            <w:tcW w:type="dxa" w:w="3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Calendrier</w:t>
            </w:r>
          </w:p>
        </w:tc>
        <w:tc>
          <w:tcPr>
            <w:tcW w:type="dxa" w:w="60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Année 0 : mobilisation de 12 mois ; années 1 à 7 : exploitation</w:t>
            </w:r>
          </w:p>
        </w:tc>
      </w:tr>
      <w:tr>
        <w:trPr>
          <w:cantSplit/>
        </w:trPr>
        <w:tc>
          <w:tcPr>
            <w:tcW w:type="dxa" w:w="36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Tarif initial</w:t>
            </w:r>
          </w:p>
        </w:tc>
        <w:tc>
          <w:tcPr>
            <w:tcW w:type="dxa" w:w="60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7,10 USD/t, indexé de 2 % par an</w:t>
            </w:r>
          </w:p>
        </w:tc>
      </w:tr>
      <w:tr>
        <w:trPr>
          <w:cantSplit/>
        </w:trPr>
        <w:tc>
          <w:tcPr>
            <w:tcW w:type="dxa" w:w="3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Volumes</w:t>
            </w:r>
          </w:p>
        </w:tc>
        <w:tc>
          <w:tcPr>
            <w:tcW w:type="dxa" w:w="60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2,75 Mt (A1, montée en cadence), 3,55 Mt (A2), 3,85 Mt (A3), 3,90 Mt/an ensuite</w:t>
            </w:r>
          </w:p>
        </w:tc>
      </w:tr>
      <w:tr>
        <w:trPr>
          <w:cantSplit/>
        </w:trPr>
        <w:tc>
          <w:tcPr>
            <w:tcW w:type="dxa" w:w="36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Prix du diesel de référence</w:t>
            </w:r>
          </w:p>
        </w:tc>
        <w:tc>
          <w:tcPr>
            <w:tcW w:type="dxa" w:w="60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1,37 USD/litre (12 000 GNF au fixing retenu), + 1,5 % par an</w:t>
            </w:r>
          </w:p>
        </w:tc>
      </w:tr>
      <w:tr>
        <w:trPr>
          <w:cantSplit/>
        </w:trPr>
        <w:tc>
          <w:tcPr>
            <w:tcW w:type="dxa" w:w="3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Consommation</w:t>
            </w:r>
          </w:p>
        </w:tc>
        <w:tc>
          <w:tcPr>
            <w:tcW w:type="dxa" w:w="60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1,05 litre par tonne</w:t>
            </w:r>
          </w:p>
        </w:tc>
      </w:tr>
      <w:tr>
        <w:trPr>
          <w:cantSplit/>
        </w:trPr>
        <w:tc>
          <w:tcPr>
            <w:tcW w:type="dxa" w:w="36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Autres coûts variables</w:t>
            </w:r>
          </w:p>
        </w:tc>
        <w:tc>
          <w:tcPr>
            <w:tcW w:type="dxa" w:w="60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1,46 USD/t (maintenance 0,82 ; pneus 0,43 ; lubrifiants et divers 0,21), + 3 % par an</w:t>
            </w:r>
          </w:p>
        </w:tc>
      </w:tr>
      <w:tr>
        <w:trPr>
          <w:cantSplit/>
        </w:trPr>
        <w:tc>
          <w:tcPr>
            <w:tcW w:type="dxa" w:w="3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Coûts fixes (personnel, assurances, structure)</w:t>
            </w:r>
          </w:p>
        </w:tc>
        <w:tc>
          <w:tcPr>
            <w:tcW w:type="dxa" w:w="60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4,80 M USD en A1, + 3 % par an</w:t>
            </w:r>
          </w:p>
        </w:tc>
      </w:tr>
      <w:tr>
        <w:trPr>
          <w:cantSplit/>
        </w:trPr>
        <w:tc>
          <w:tcPr>
            <w:tcW w:type="dxa" w:w="36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CAPEX de maintien</w:t>
            </w:r>
          </w:p>
        </w:tc>
        <w:tc>
          <w:tcPr>
            <w:tcW w:type="dxa" w:w="60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0,3 à 1,2 M USD par an (révisions majeures), soit 5,6 M USD sur 7 ans</w:t>
            </w:r>
          </w:p>
        </w:tc>
      </w:tr>
      <w:tr>
        <w:trPr>
          <w:cantSplit/>
        </w:trPr>
        <w:tc>
          <w:tcPr>
            <w:tcW w:type="dxa" w:w="3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Besoin en fonds de roulement</w:t>
            </w:r>
          </w:p>
        </w:tc>
        <w:tc>
          <w:tcPr>
            <w:tcW w:type="dxa" w:w="60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12 % du chiffre d’affaires (≈ 44 jours), récupéré en fin d’horizon</w:t>
            </w:r>
          </w:p>
        </w:tc>
      </w:tr>
      <w:tr>
        <w:trPr>
          <w:cantSplit/>
        </w:trPr>
        <w:tc>
          <w:tcPr>
            <w:tcW w:type="dxa" w:w="36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Amortissements</w:t>
            </w:r>
          </w:p>
        </w:tc>
        <w:tc>
          <w:tcPr>
            <w:tcW w:type="dxa" w:w="60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Linéaire sur 7 ans jusqu’à une valeur résiduelle de 5,0 M USD (IAS 16)</w:t>
            </w:r>
          </w:p>
        </w:tc>
      </w:tr>
      <w:tr>
        <w:trPr>
          <w:cantSplit/>
        </w:trPr>
        <w:tc>
          <w:tcPr>
            <w:tcW w:type="dxa" w:w="36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Impôt sur les sociétés</w:t>
            </w:r>
          </w:p>
        </w:tc>
        <w:tc>
          <w:tcPr>
            <w:tcW w:type="dxa" w:w="60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25 %, avec report des déficits</w:t>
            </w:r>
          </w:p>
        </w:tc>
      </w:tr>
      <w:tr>
        <w:trPr>
          <w:cantSplit/>
        </w:trPr>
        <w:tc>
          <w:tcPr>
            <w:tcW w:type="dxa" w:w="36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Coût des fonds propres (actualisation)</w:t>
            </w:r>
          </w:p>
        </w:tc>
        <w:tc>
          <w:tcPr>
            <w:tcW w:type="dxa" w:w="60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18 % ; coût moyen pondéré du capital ≈ 11,4 %</w:t>
            </w:r>
          </w:p>
        </w:tc>
      </w:tr>
    </w:tbl>
    <w:p>
      <w:pPr>
        <w:spacing w:after="180"/>
      </w:pPr>
    </w:p>
    <w:p>
      <w:pPr>
        <w:pStyle w:val="Heading2"/>
        <w:keepNext/>
        <w:spacing w:after="100" w:before="240"/>
      </w:pPr>
      <w:r>
        <w:rPr>
          <w:rFonts w:ascii="Calibri" w:cs="Calibri" w:eastAsia="Calibri" w:hAnsi="Calibri"/>
          <w:b/>
          <w:bCs/>
          <w:color w:val="C8962E"/>
          <w:sz w:val="25"/>
          <w:szCs w:val="25"/>
        </w:rPr>
        <w:t xml:space="preserve">10.2  </w:t>
      </w:r>
      <w:r>
        <w:rPr>
          <w:rFonts w:ascii="Calibri" w:cs="Calibri" w:eastAsia="Calibri" w:hAnsi="Calibri"/>
          <w:b/>
          <w:bCs/>
          <w:color w:val="1F4E9E"/>
          <w:sz w:val="25"/>
          <w:szCs w:val="25"/>
        </w:rPr>
        <w:t xml:space="preserve">Compte de résultat prévisionnel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38"/>
        <w:gridCol w:w="1000"/>
        <w:gridCol w:w="1000"/>
        <w:gridCol w:w="1000"/>
        <w:gridCol w:w="1000"/>
        <w:gridCol w:w="1000"/>
        <w:gridCol w:w="1000"/>
        <w:gridCol w:w="1000"/>
      </w:tblGrid>
      <w:tr>
        <w:trPr>
          <w:tblHeader/>
        </w:trPr>
        <w:tc>
          <w:tcPr>
            <w:tcW w:type="dxa" w:w="26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7"/>
                <w:szCs w:val="17"/>
              </w:rPr>
              <w:t xml:space="preserve">M USD</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A1</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A2</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A3</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A4</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A5</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A6</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A7</w:t>
            </w:r>
          </w:p>
        </w:tc>
      </w:tr>
      <w:tr>
        <w:trPr>
          <w:cantSplit/>
        </w:trPr>
        <w:tc>
          <w:tcPr>
            <w:tcW w:type="dxa" w:w="2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Volume (Mt)</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2,75</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3,55</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3,85</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3,90</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3,90</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3,90</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3,90</w:t>
            </w:r>
          </w:p>
        </w:tc>
      </w:tr>
      <w:tr>
        <w:trPr>
          <w:cantSplit/>
        </w:trPr>
        <w:tc>
          <w:tcPr>
            <w:tcW w:type="dxa" w:w="2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Tarif (USD/t)</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7,10</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7,24</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7,39</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7,53</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7,69</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7,84</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8,00</w:t>
            </w:r>
          </w:p>
        </w:tc>
      </w:tr>
      <w:tr>
        <w:trPr>
          <w:cantSplit/>
        </w:trPr>
        <w:tc>
          <w:tcPr>
            <w:tcW w:type="dxa" w:w="2638"/>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Chiffre d'affaires</w:t>
            </w:r>
          </w:p>
        </w:tc>
        <w:tc>
          <w:tcPr>
            <w:tcW w:type="dxa" w:w="1000"/>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19,52</w:t>
            </w:r>
          </w:p>
        </w:tc>
        <w:tc>
          <w:tcPr>
            <w:tcW w:type="dxa" w:w="1000"/>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25,71</w:t>
            </w:r>
          </w:p>
        </w:tc>
        <w:tc>
          <w:tcPr>
            <w:tcW w:type="dxa" w:w="1000"/>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28,44</w:t>
            </w:r>
          </w:p>
        </w:tc>
        <w:tc>
          <w:tcPr>
            <w:tcW w:type="dxa" w:w="1000"/>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29,38</w:t>
            </w:r>
          </w:p>
        </w:tc>
        <w:tc>
          <w:tcPr>
            <w:tcW w:type="dxa" w:w="1000"/>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29,97</w:t>
            </w:r>
          </w:p>
        </w:tc>
        <w:tc>
          <w:tcPr>
            <w:tcW w:type="dxa" w:w="1000"/>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30,57</w:t>
            </w:r>
          </w:p>
        </w:tc>
        <w:tc>
          <w:tcPr>
            <w:tcW w:type="dxa" w:w="1000"/>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31,18</w:t>
            </w:r>
          </w:p>
        </w:tc>
      </w:tr>
      <w:tr>
        <w:trPr>
          <w:cantSplit/>
        </w:trPr>
        <w:tc>
          <w:tcPr>
            <w:tcW w:type="dxa" w:w="2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Carburant</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−3,96</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−5,18</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−5,71</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−5,87</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−5,95</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−6,04</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−6,13</w:t>
            </w:r>
          </w:p>
        </w:tc>
      </w:tr>
      <w:tr>
        <w:trPr>
          <w:cantSplit/>
        </w:trPr>
        <w:tc>
          <w:tcPr>
            <w:tcW w:type="dxa" w:w="2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Autres coûts variables</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−4,01</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−5,34</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−5,96</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−6,22</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−6,41</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−6,60</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−6,80</w:t>
            </w:r>
          </w:p>
        </w:tc>
      </w:tr>
      <w:tr>
        <w:trPr>
          <w:cantSplit/>
        </w:trPr>
        <w:tc>
          <w:tcPr>
            <w:tcW w:type="dxa" w:w="2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Coûts fixes</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−4,80</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−4,94</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−5,09</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−5,25</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−5,40</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−5,56</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−5,73</w:t>
            </w:r>
          </w:p>
        </w:tc>
      </w:tr>
      <w:tr>
        <w:trPr>
          <w:cantSplit/>
        </w:trPr>
        <w:tc>
          <w:tcPr>
            <w:tcW w:type="dxa" w:w="2638"/>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0B2545"/>
                <w:sz w:val="17"/>
                <w:szCs w:val="17"/>
              </w:rPr>
              <w:t xml:space="preserve">EBITDA</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6,75</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10,24</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11,68</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12,05</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12,21</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12,36</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12,52</w:t>
            </w:r>
          </w:p>
        </w:tc>
      </w:tr>
      <w:tr>
        <w:trPr>
          <w:cantSplit/>
        </w:trPr>
        <w:tc>
          <w:tcPr>
            <w:tcW w:type="dxa" w:w="2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Marge EBITDA</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35 %</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40 %</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41 %</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41 %</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41 %</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40 %</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40 %</w:t>
            </w:r>
          </w:p>
        </w:tc>
      </w:tr>
      <w:tr>
        <w:trPr>
          <w:cantSplit/>
        </w:trPr>
        <w:tc>
          <w:tcPr>
            <w:tcW w:type="dxa" w:w="2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Amortissements</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−3,38</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−3,47</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−3,63</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−3,83</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−4,16</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−4,66</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−5,86</w:t>
            </w:r>
          </w:p>
        </w:tc>
      </w:tr>
      <w:tr>
        <w:trPr>
          <w:cantSplit/>
        </w:trPr>
        <w:tc>
          <w:tcPr>
            <w:tcW w:type="dxa" w:w="2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Résultat d'exploitation (EBIT)</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3,37</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6,78</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8,05</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8,22</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8,05</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7,70</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6,66</w:t>
            </w:r>
          </w:p>
        </w:tc>
      </w:tr>
      <w:tr>
        <w:trPr>
          <w:cantSplit/>
        </w:trPr>
        <w:tc>
          <w:tcPr>
            <w:tcW w:type="dxa" w:w="2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Charges financières</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−2,22</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−2,21</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−1,92</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−1,53</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−1,07</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−0,57</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0,00</w:t>
            </w:r>
          </w:p>
        </w:tc>
      </w:tr>
      <w:tr>
        <w:trPr>
          <w:cantSplit/>
        </w:trPr>
        <w:tc>
          <w:tcPr>
            <w:tcW w:type="dxa" w:w="2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Impôt sur les sociétés</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−0,29</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−1,14</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−1,53</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−1,67</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−1,74</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−1,78</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−1,66</w:t>
            </w:r>
          </w:p>
        </w:tc>
      </w:tr>
      <w:tr>
        <w:trPr>
          <w:cantSplit/>
        </w:trPr>
        <w:tc>
          <w:tcPr>
            <w:tcW w:type="dxa" w:w="2638"/>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0B2545"/>
                <w:sz w:val="17"/>
                <w:szCs w:val="17"/>
              </w:rPr>
              <w:t xml:space="preserve">Résultat net</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0,86</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3,43</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4,60</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5,02</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5,23</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5,35</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4,99</w:t>
            </w:r>
          </w:p>
        </w:tc>
      </w:tr>
    </w:tbl>
    <w:p>
      <w:pPr>
        <w:spacing w:after="180"/>
      </w:pPr>
    </w:p>
    <w:p>
      <w:pPr>
        <w:keepNext/>
        <w:spacing w:after="40" w:before="80"/>
        <w:jc w:val="center"/>
      </w:pPr>
      <w:r>
        <w:drawing>
          <wp:inline distT="0" distB="0" distL="0" distR="0">
            <wp:extent cx="5905500" cy="2657475"/>
            <wp:effectExtent t="0" r="0" b="0" l="0"/>
            <wp:docPr id="1" name="fig4" descr="Chiffre d'affaires et EBITDA prévisionnels" title="Chiffre d'affaires et EBITDA prévisio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657475"/>
                    </a:xfrm>
                    <a:prstGeom prst="rect">
                      <a:avLst/>
                    </a:prstGeom>
                  </pic:spPr>
                </pic:pic>
              </a:graphicData>
            </a:graphic>
          </wp:inline>
        </w:drawing>
      </w:r>
    </w:p>
    <w:p>
      <w:pPr>
        <w:spacing w:after="180"/>
        <w:jc w:val="left"/>
      </w:pPr>
      <w:r>
        <w:rPr>
          <w:rFonts w:ascii="Calibri" w:cs="Calibri" w:eastAsia="Calibri" w:hAnsi="Calibri"/>
          <w:b/>
          <w:bCs/>
          <w:color w:val="1F4E9E"/>
          <w:sz w:val="17"/>
          <w:szCs w:val="17"/>
        </w:rPr>
        <w:t xml:space="preserve">Figure 4 — </w:t>
      </w:r>
      <w:r>
        <w:rPr>
          <w:rFonts w:ascii="Calibri" w:cs="Calibri" w:eastAsia="Calibri" w:hAnsi="Calibri"/>
          <w:i/>
          <w:iCs/>
          <w:color w:val="6B7280"/>
          <w:sz w:val="17"/>
          <w:szCs w:val="17"/>
        </w:rPr>
        <w:t xml:space="preserve">Chiffre d'affaires et EBITDA prévisionnels</w:t>
      </w:r>
    </w:p>
    <w:p>
      <w:pPr>
        <w:pStyle w:val="Heading2"/>
        <w:keepNext/>
        <w:spacing w:after="100" w:before="240"/>
      </w:pPr>
      <w:r>
        <w:rPr>
          <w:rFonts w:ascii="Calibri" w:cs="Calibri" w:eastAsia="Calibri" w:hAnsi="Calibri"/>
          <w:b/>
          <w:bCs/>
          <w:color w:val="C8962E"/>
          <w:sz w:val="25"/>
          <w:szCs w:val="25"/>
        </w:rPr>
        <w:t xml:space="preserve">10.3  </w:t>
      </w:r>
      <w:r>
        <w:rPr>
          <w:rFonts w:ascii="Calibri" w:cs="Calibri" w:eastAsia="Calibri" w:hAnsi="Calibri"/>
          <w:b/>
          <w:bCs/>
          <w:color w:val="1F4E9E"/>
          <w:sz w:val="25"/>
          <w:szCs w:val="25"/>
        </w:rPr>
        <w:t xml:space="preserve">Structure des coûts</w:t>
      </w:r>
    </w:p>
    <w:p>
      <w:pPr>
        <w:keepNext/>
        <w:spacing w:after="40" w:before="80"/>
        <w:jc w:val="center"/>
      </w:pPr>
      <w:r>
        <w:drawing>
          <wp:inline distT="0" distB="0" distL="0" distR="0">
            <wp:extent cx="5715000" cy="2571750"/>
            <wp:effectExtent t="0" r="0" b="0" l="0"/>
            <wp:docPr id="1" name="fig5" descr="Répartition des coûts d'exploitation de l'année 2" title="Répartition des coûts d'exploitation de l'anné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71750"/>
                    </a:xfrm>
                    <a:prstGeom prst="rect">
                      <a:avLst/>
                    </a:prstGeom>
                  </pic:spPr>
                </pic:pic>
              </a:graphicData>
            </a:graphic>
          </wp:inline>
        </w:drawing>
      </w:r>
    </w:p>
    <w:p>
      <w:pPr>
        <w:spacing w:after="180"/>
        <w:jc w:val="left"/>
      </w:pPr>
      <w:r>
        <w:rPr>
          <w:rFonts w:ascii="Calibri" w:cs="Calibri" w:eastAsia="Calibri" w:hAnsi="Calibri"/>
          <w:b/>
          <w:bCs/>
          <w:color w:val="1F4E9E"/>
          <w:sz w:val="17"/>
          <w:szCs w:val="17"/>
        </w:rPr>
        <w:t xml:space="preserve">Figure 5 — </w:t>
      </w:r>
      <w:r>
        <w:rPr>
          <w:rFonts w:ascii="Calibri" w:cs="Calibri" w:eastAsia="Calibri" w:hAnsi="Calibri"/>
          <w:i/>
          <w:iCs/>
          <w:color w:val="6B7280"/>
          <w:sz w:val="17"/>
          <w:szCs w:val="17"/>
        </w:rPr>
        <w:t xml:space="preserve">Répartition des coûts d'exploitation de l'année 2</w:t>
      </w:r>
    </w:p>
    <w:p>
      <w:pPr>
        <w:pStyle w:val="Heading2"/>
        <w:keepNext/>
        <w:spacing w:after="100" w:before="240"/>
      </w:pPr>
      <w:r>
        <w:rPr>
          <w:rFonts w:ascii="Calibri" w:cs="Calibri" w:eastAsia="Calibri" w:hAnsi="Calibri"/>
          <w:b/>
          <w:bCs/>
          <w:color w:val="C8962E"/>
          <w:sz w:val="25"/>
          <w:szCs w:val="25"/>
        </w:rPr>
        <w:t xml:space="preserve">10.4  </w:t>
      </w:r>
      <w:r>
        <w:rPr>
          <w:rFonts w:ascii="Calibri" w:cs="Calibri" w:eastAsia="Calibri" w:hAnsi="Calibri"/>
          <w:b/>
          <w:bCs/>
          <w:color w:val="1F4E9E"/>
          <w:sz w:val="25"/>
          <w:szCs w:val="25"/>
        </w:rPr>
        <w:t xml:space="preserve">Tableau des flux de trésorerie et service de la dette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38"/>
        <w:gridCol w:w="1000"/>
        <w:gridCol w:w="1000"/>
        <w:gridCol w:w="1000"/>
        <w:gridCol w:w="1000"/>
        <w:gridCol w:w="1000"/>
        <w:gridCol w:w="1000"/>
        <w:gridCol w:w="1000"/>
      </w:tblGrid>
      <w:tr>
        <w:trPr>
          <w:tblHeader/>
        </w:trPr>
        <w:tc>
          <w:tcPr>
            <w:tcW w:type="dxa" w:w="26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7"/>
                <w:szCs w:val="17"/>
              </w:rPr>
              <w:t xml:space="preserve">M USD</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A1</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A2</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A3</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A4</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A5</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A6</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A7</w:t>
            </w:r>
          </w:p>
        </w:tc>
      </w:tr>
      <w:tr>
        <w:trPr>
          <w:cantSplit/>
        </w:trPr>
        <w:tc>
          <w:tcPr>
            <w:tcW w:type="dxa" w:w="2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EBITDA</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6,75</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10,24</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11,68</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12,05</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12,21</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12,36</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12,52</w:t>
            </w:r>
          </w:p>
        </w:tc>
      </w:tr>
      <w:tr>
        <w:trPr>
          <w:cantSplit/>
        </w:trPr>
        <w:tc>
          <w:tcPr>
            <w:tcW w:type="dxa" w:w="2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Impôt payé</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−0,29</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−1,14</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−1,53</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−1,67</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−1,74</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−1,78</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−1,66</w:t>
            </w:r>
          </w:p>
        </w:tc>
      </w:tr>
      <w:tr>
        <w:trPr>
          <w:cantSplit/>
        </w:trPr>
        <w:tc>
          <w:tcPr>
            <w:tcW w:type="dxa" w:w="2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CAPEX de maintien</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−0,30</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−0,50</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−0,80</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−0,80</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−1,00</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−1,00</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−1,20</w:t>
            </w:r>
          </w:p>
        </w:tc>
      </w:tr>
      <w:tr>
        <w:trPr>
          <w:cantSplit/>
        </w:trPr>
        <w:tc>
          <w:tcPr>
            <w:tcW w:type="dxa" w:w="2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Variation du BFR</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−2,34</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−0,74</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−0,33</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−0,11</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−0,07</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−0,07</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3,67</w:t>
            </w:r>
          </w:p>
        </w:tc>
      </w:tr>
      <w:tr>
        <w:trPr>
          <w:cantSplit/>
        </w:trPr>
        <w:tc>
          <w:tcPr>
            <w:tcW w:type="dxa" w:w="2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Cession des actifs (valeur résiduelle)</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0,00</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0,00</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0,00</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0,00</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0,00</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0,00</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5,00</w:t>
            </w:r>
          </w:p>
        </w:tc>
      </w:tr>
      <w:tr>
        <w:trPr>
          <w:cantSplit/>
        </w:trPr>
        <w:tc>
          <w:tcPr>
            <w:tcW w:type="dxa" w:w="2638"/>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0B2545"/>
                <w:sz w:val="17"/>
                <w:szCs w:val="17"/>
              </w:rPr>
              <w:t xml:space="preserve">Flux disponible pour le service de la dette (CFADS)</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3,82</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7,86</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9,02</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9,46</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9,39</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9,51</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18,32</w:t>
            </w:r>
          </w:p>
        </w:tc>
      </w:tr>
      <w:tr>
        <w:trPr>
          <w:cantSplit/>
        </w:trPr>
        <w:tc>
          <w:tcPr>
            <w:tcW w:type="dxa" w:w="2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Intérêts</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−2,22</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−2,21</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−1,92</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−1,53</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−1,07</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−0,57</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0,00</w:t>
            </w:r>
          </w:p>
        </w:tc>
      </w:tr>
      <w:tr>
        <w:trPr>
          <w:cantSplit/>
        </w:trPr>
        <w:tc>
          <w:tcPr>
            <w:tcW w:type="dxa" w:w="2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Principal</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−0,17</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−2,71</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−3,72</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−4,39</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−4,81</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−5,38</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0,00</w:t>
            </w:r>
          </w:p>
        </w:tc>
      </w:tr>
      <w:tr>
        <w:trPr>
          <w:cantSplit/>
        </w:trPr>
        <w:tc>
          <w:tcPr>
            <w:tcW w:type="dxa" w:w="2638"/>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DSCR</w:t>
            </w:r>
          </w:p>
        </w:tc>
        <w:tc>
          <w:tcPr>
            <w:tcW w:type="dxa" w:w="1000"/>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1,60x</w:t>
            </w:r>
          </w:p>
        </w:tc>
        <w:tc>
          <w:tcPr>
            <w:tcW w:type="dxa" w:w="1000"/>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1,60x</w:t>
            </w:r>
          </w:p>
        </w:tc>
        <w:tc>
          <w:tcPr>
            <w:tcW w:type="dxa" w:w="1000"/>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1,60x</w:t>
            </w:r>
          </w:p>
        </w:tc>
        <w:tc>
          <w:tcPr>
            <w:tcW w:type="dxa" w:w="1000"/>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1,60x</w:t>
            </w:r>
          </w:p>
        </w:tc>
        <w:tc>
          <w:tcPr>
            <w:tcW w:type="dxa" w:w="1000"/>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1,60x</w:t>
            </w:r>
          </w:p>
        </w:tc>
        <w:tc>
          <w:tcPr>
            <w:tcW w:type="dxa" w:w="1000"/>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1,60x</w:t>
            </w:r>
          </w:p>
        </w:tc>
        <w:tc>
          <w:tcPr>
            <w:tcW w:type="dxa" w:w="1000"/>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w:t>
            </w:r>
          </w:p>
        </w:tc>
      </w:tr>
      <w:tr>
        <w:trPr>
          <w:cantSplit/>
        </w:trPr>
        <w:tc>
          <w:tcPr>
            <w:tcW w:type="dxa" w:w="2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Mouvement du DSRA</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−1,26</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−0,36</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−0,14</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0,02</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−0,04</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2,97</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0,00</w:t>
            </w:r>
          </w:p>
        </w:tc>
      </w:tr>
      <w:tr>
        <w:trPr>
          <w:cantSplit/>
        </w:trPr>
        <w:tc>
          <w:tcPr>
            <w:tcW w:type="dxa" w:w="2638"/>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0B2545"/>
                <w:sz w:val="17"/>
                <w:szCs w:val="17"/>
              </w:rPr>
              <w:t xml:space="preserve">Flux disponibles pour les actionnaires</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2,17</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2,58</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3,24</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3,57</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3,48</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6,53</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19,32</w:t>
            </w:r>
          </w:p>
        </w:tc>
      </w:tr>
    </w:tbl>
    <w:p>
      <w:pPr>
        <w:spacing w:after="180"/>
      </w:pPr>
    </w:p>
    <w:p>
      <w:pPr>
        <w:spacing w:after="120" w:before="0" w:line="276"/>
        <w:jc w:val="both"/>
      </w:pPr>
      <w:r>
        <w:rPr>
          <w:rFonts w:ascii="Calibri" w:cs="Calibri" w:eastAsia="Calibri" w:hAnsi="Calibri"/>
          <w:color w:val="1F2937"/>
          <w:sz w:val="21"/>
          <w:szCs w:val="21"/>
        </w:rPr>
        <w:t xml:space="preserve">Le fonds de roulement initial (3,0 M USD) finance la constitution du BFR en année 1. Une trésorerie minimale de 1,0 M USD est conservée en permanence ; le solde est distribué sous réserve des tests de distribution. La dernière année intègre la cession de la flotte à sa valeur résiduelle et la récupération du BFR.</w:t>
      </w:r>
    </w:p>
    <w:p>
      <w:pPr>
        <w:pStyle w:val="Heading2"/>
        <w:keepNext/>
        <w:spacing w:after="100" w:before="240"/>
      </w:pPr>
      <w:r>
        <w:rPr>
          <w:rFonts w:ascii="Calibri" w:cs="Calibri" w:eastAsia="Calibri" w:hAnsi="Calibri"/>
          <w:b/>
          <w:bCs/>
          <w:color w:val="C8962E"/>
          <w:sz w:val="25"/>
          <w:szCs w:val="25"/>
        </w:rPr>
        <w:t xml:space="preserve">10.5  </w:t>
      </w:r>
      <w:r>
        <w:rPr>
          <w:rFonts w:ascii="Calibri" w:cs="Calibri" w:eastAsia="Calibri" w:hAnsi="Calibri"/>
          <w:b/>
          <w:bCs/>
          <w:color w:val="1F4E9E"/>
          <w:sz w:val="25"/>
          <w:szCs w:val="25"/>
        </w:rPr>
        <w:t xml:space="preserve">Profil de la dette et couverture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38"/>
        <w:gridCol w:w="1167"/>
        <w:gridCol w:w="1167"/>
        <w:gridCol w:w="1167"/>
        <w:gridCol w:w="1167"/>
        <w:gridCol w:w="1166"/>
        <w:gridCol w:w="1166"/>
      </w:tblGrid>
      <w:tr>
        <w:trPr>
          <w:tblHeader/>
        </w:trPr>
        <w:tc>
          <w:tcPr>
            <w:tcW w:type="dxa" w:w="26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7"/>
                <w:szCs w:val="17"/>
              </w:rPr>
              <w:t xml:space="preserve">M USD</w:t>
            </w:r>
          </w:p>
        </w:tc>
        <w:tc>
          <w:tcPr>
            <w:tcW w:type="dxa" w:w="1167"/>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A1</w:t>
            </w:r>
          </w:p>
        </w:tc>
        <w:tc>
          <w:tcPr>
            <w:tcW w:type="dxa" w:w="1167"/>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A2</w:t>
            </w:r>
          </w:p>
        </w:tc>
        <w:tc>
          <w:tcPr>
            <w:tcW w:type="dxa" w:w="1167"/>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A3</w:t>
            </w:r>
          </w:p>
        </w:tc>
        <w:tc>
          <w:tcPr>
            <w:tcW w:type="dxa" w:w="1167"/>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A4</w:t>
            </w:r>
          </w:p>
        </w:tc>
        <w:tc>
          <w:tcPr>
            <w:tcW w:type="dxa" w:w="1166"/>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A5</w:t>
            </w:r>
          </w:p>
        </w:tc>
        <w:tc>
          <w:tcPr>
            <w:tcW w:type="dxa" w:w="1166"/>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A6</w:t>
            </w:r>
          </w:p>
        </w:tc>
      </w:tr>
      <w:tr>
        <w:trPr>
          <w:cantSplit/>
        </w:trPr>
        <w:tc>
          <w:tcPr>
            <w:tcW w:type="dxa" w:w="2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Encours début</w:t>
            </w:r>
          </w:p>
        </w:tc>
        <w:tc>
          <w:tcPr>
            <w:tcW w:type="dxa" w:w="1167"/>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21,18</w:t>
            </w:r>
          </w:p>
        </w:tc>
        <w:tc>
          <w:tcPr>
            <w:tcW w:type="dxa" w:w="1167"/>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21,01</w:t>
            </w:r>
          </w:p>
        </w:tc>
        <w:tc>
          <w:tcPr>
            <w:tcW w:type="dxa" w:w="1167"/>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18,30</w:t>
            </w:r>
          </w:p>
        </w:tc>
        <w:tc>
          <w:tcPr>
            <w:tcW w:type="dxa" w:w="1167"/>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14,58</w:t>
            </w:r>
          </w:p>
        </w:tc>
        <w:tc>
          <w:tcPr>
            <w:tcW w:type="dxa" w:w="1166"/>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10,19</w:t>
            </w:r>
          </w:p>
        </w:tc>
        <w:tc>
          <w:tcPr>
            <w:tcW w:type="dxa" w:w="1166"/>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5,38</w:t>
            </w:r>
          </w:p>
        </w:tc>
      </w:tr>
      <w:tr>
        <w:trPr>
          <w:cantSplit/>
        </w:trPr>
        <w:tc>
          <w:tcPr>
            <w:tcW w:type="dxa" w:w="2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Intérêts</w:t>
            </w:r>
          </w:p>
        </w:tc>
        <w:tc>
          <w:tcPr>
            <w:tcW w:type="dxa" w:w="1167"/>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2,22</w:t>
            </w:r>
          </w:p>
        </w:tc>
        <w:tc>
          <w:tcPr>
            <w:tcW w:type="dxa" w:w="1167"/>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2,21</w:t>
            </w:r>
          </w:p>
        </w:tc>
        <w:tc>
          <w:tcPr>
            <w:tcW w:type="dxa" w:w="1167"/>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1,92</w:t>
            </w:r>
          </w:p>
        </w:tc>
        <w:tc>
          <w:tcPr>
            <w:tcW w:type="dxa" w:w="1167"/>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1,53</w:t>
            </w:r>
          </w:p>
        </w:tc>
        <w:tc>
          <w:tcPr>
            <w:tcW w:type="dxa" w:w="1166"/>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1,07</w:t>
            </w:r>
          </w:p>
        </w:tc>
        <w:tc>
          <w:tcPr>
            <w:tcW w:type="dxa" w:w="1166"/>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0,57</w:t>
            </w:r>
          </w:p>
        </w:tc>
      </w:tr>
      <w:tr>
        <w:trPr>
          <w:cantSplit/>
        </w:trPr>
        <w:tc>
          <w:tcPr>
            <w:tcW w:type="dxa" w:w="2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Principal</w:t>
            </w:r>
          </w:p>
        </w:tc>
        <w:tc>
          <w:tcPr>
            <w:tcW w:type="dxa" w:w="1167"/>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0,17</w:t>
            </w:r>
          </w:p>
        </w:tc>
        <w:tc>
          <w:tcPr>
            <w:tcW w:type="dxa" w:w="1167"/>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2,71</w:t>
            </w:r>
          </w:p>
        </w:tc>
        <w:tc>
          <w:tcPr>
            <w:tcW w:type="dxa" w:w="1167"/>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3,72</w:t>
            </w:r>
          </w:p>
        </w:tc>
        <w:tc>
          <w:tcPr>
            <w:tcW w:type="dxa" w:w="1167"/>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4,39</w:t>
            </w:r>
          </w:p>
        </w:tc>
        <w:tc>
          <w:tcPr>
            <w:tcW w:type="dxa" w:w="1166"/>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4,81</w:t>
            </w:r>
          </w:p>
        </w:tc>
        <w:tc>
          <w:tcPr>
            <w:tcW w:type="dxa" w:w="1166"/>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5,38</w:t>
            </w:r>
          </w:p>
        </w:tc>
      </w:tr>
      <w:tr>
        <w:trPr>
          <w:cantSplit/>
        </w:trPr>
        <w:tc>
          <w:tcPr>
            <w:tcW w:type="dxa" w:w="2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Encours fin</w:t>
            </w:r>
          </w:p>
        </w:tc>
        <w:tc>
          <w:tcPr>
            <w:tcW w:type="dxa" w:w="1167"/>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21,01</w:t>
            </w:r>
          </w:p>
        </w:tc>
        <w:tc>
          <w:tcPr>
            <w:tcW w:type="dxa" w:w="1167"/>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18,30</w:t>
            </w:r>
          </w:p>
        </w:tc>
        <w:tc>
          <w:tcPr>
            <w:tcW w:type="dxa" w:w="1167"/>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14,58</w:t>
            </w:r>
          </w:p>
        </w:tc>
        <w:tc>
          <w:tcPr>
            <w:tcW w:type="dxa" w:w="1167"/>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10,19</w:t>
            </w:r>
          </w:p>
        </w:tc>
        <w:tc>
          <w:tcPr>
            <w:tcW w:type="dxa" w:w="1166"/>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5,38</w:t>
            </w:r>
          </w:p>
        </w:tc>
        <w:tc>
          <w:tcPr>
            <w:tcW w:type="dxa" w:w="1166"/>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0,00</w:t>
            </w:r>
          </w:p>
        </w:tc>
      </w:tr>
      <w:tr>
        <w:trPr>
          <w:cantSplit/>
        </w:trPr>
        <w:tc>
          <w:tcPr>
            <w:tcW w:type="dxa" w:w="2638"/>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DSCR</w:t>
            </w:r>
          </w:p>
        </w:tc>
        <w:tc>
          <w:tcPr>
            <w:tcW w:type="dxa" w:w="1167"/>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1,60x</w:t>
            </w:r>
          </w:p>
        </w:tc>
        <w:tc>
          <w:tcPr>
            <w:tcW w:type="dxa" w:w="1167"/>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1,60x</w:t>
            </w:r>
          </w:p>
        </w:tc>
        <w:tc>
          <w:tcPr>
            <w:tcW w:type="dxa" w:w="1167"/>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1,60x</w:t>
            </w:r>
          </w:p>
        </w:tc>
        <w:tc>
          <w:tcPr>
            <w:tcW w:type="dxa" w:w="1167"/>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1,60x</w:t>
            </w:r>
          </w:p>
        </w:tc>
        <w:tc>
          <w:tcPr>
            <w:tcW w:type="dxa" w:w="1166"/>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1,60x</w:t>
            </w:r>
          </w:p>
        </w:tc>
        <w:tc>
          <w:tcPr>
            <w:tcW w:type="dxa" w:w="1166"/>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1,60x</w:t>
            </w:r>
          </w:p>
        </w:tc>
      </w:tr>
      <w:tr>
        <w:trPr>
          <w:cantSplit/>
        </w:trPr>
        <w:tc>
          <w:tcPr>
            <w:tcW w:type="dxa" w:w="2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LLCR</w:t>
            </w:r>
          </w:p>
        </w:tc>
        <w:tc>
          <w:tcPr>
            <w:tcW w:type="dxa" w:w="1167"/>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1,60x</w:t>
            </w:r>
          </w:p>
        </w:tc>
        <w:tc>
          <w:tcPr>
            <w:tcW w:type="dxa" w:w="1167"/>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1,60x</w:t>
            </w:r>
          </w:p>
        </w:tc>
        <w:tc>
          <w:tcPr>
            <w:tcW w:type="dxa" w:w="1167"/>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1,60x</w:t>
            </w:r>
          </w:p>
        </w:tc>
        <w:tc>
          <w:tcPr>
            <w:tcW w:type="dxa" w:w="1167"/>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1,60x</w:t>
            </w:r>
          </w:p>
        </w:tc>
        <w:tc>
          <w:tcPr>
            <w:tcW w:type="dxa" w:w="1166"/>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1,60x</w:t>
            </w:r>
          </w:p>
        </w:tc>
        <w:tc>
          <w:tcPr>
            <w:tcW w:type="dxa" w:w="1166"/>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1,60x</w:t>
            </w:r>
          </w:p>
        </w:tc>
      </w:tr>
    </w:tbl>
    <w:p>
      <w:pPr>
        <w:spacing w:after="180"/>
      </w:pPr>
    </w:p>
    <w:p>
      <w:pPr>
        <w:keepNext/>
        <w:spacing w:after="40" w:before="80"/>
        <w:jc w:val="center"/>
      </w:pPr>
      <w:r>
        <w:drawing>
          <wp:inline distT="0" distB="0" distL="0" distR="0">
            <wp:extent cx="5905500" cy="2390775"/>
            <wp:effectExtent t="0" r="0" b="0" l="0"/>
            <wp:docPr id="1" name="fig6" descr="Encours de dette et ratio de couverture du service de la dette" title="Encours de dette et ratio de couverture du service de la d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390775"/>
                    </a:xfrm>
                    <a:prstGeom prst="rect">
                      <a:avLst/>
                    </a:prstGeom>
                  </pic:spPr>
                </pic:pic>
              </a:graphicData>
            </a:graphic>
          </wp:inline>
        </w:drawing>
      </w:r>
    </w:p>
    <w:p>
      <w:pPr>
        <w:spacing w:after="180"/>
        <w:jc w:val="left"/>
      </w:pPr>
      <w:r>
        <w:rPr>
          <w:rFonts w:ascii="Calibri" w:cs="Calibri" w:eastAsia="Calibri" w:hAnsi="Calibri"/>
          <w:b/>
          <w:bCs/>
          <w:color w:val="1F4E9E"/>
          <w:sz w:val="17"/>
          <w:szCs w:val="17"/>
        </w:rPr>
        <w:t xml:space="preserve">Figure 6 — </w:t>
      </w:r>
      <w:r>
        <w:rPr>
          <w:rFonts w:ascii="Calibri" w:cs="Calibri" w:eastAsia="Calibri" w:hAnsi="Calibri"/>
          <w:i/>
          <w:iCs/>
          <w:color w:val="6B7280"/>
          <w:sz w:val="17"/>
          <w:szCs w:val="17"/>
        </w:rPr>
        <w:t xml:space="preserve">Encours de dette et ratio de couverture du service de la dette</w:t>
      </w:r>
    </w:p>
    <w:p>
      <w:pPr>
        <w:pStyle w:val="Heading2"/>
        <w:keepNext/>
        <w:spacing w:after="100" w:before="240"/>
      </w:pPr>
      <w:r>
        <w:rPr>
          <w:rFonts w:ascii="Calibri" w:cs="Calibri" w:eastAsia="Calibri" w:hAnsi="Calibri"/>
          <w:b/>
          <w:bCs/>
          <w:color w:val="C8962E"/>
          <w:sz w:val="25"/>
          <w:szCs w:val="25"/>
        </w:rPr>
        <w:t xml:space="preserve">10.6  </w:t>
      </w:r>
      <w:r>
        <w:rPr>
          <w:rFonts w:ascii="Calibri" w:cs="Calibri" w:eastAsia="Calibri" w:hAnsi="Calibri"/>
          <w:b/>
          <w:bCs/>
          <w:color w:val="1F4E9E"/>
          <w:sz w:val="25"/>
          <w:szCs w:val="25"/>
        </w:rPr>
        <w:t xml:space="preserve">Bilan prévisionnel simplifié</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38"/>
        <w:gridCol w:w="1000"/>
        <w:gridCol w:w="1000"/>
        <w:gridCol w:w="1000"/>
        <w:gridCol w:w="1000"/>
        <w:gridCol w:w="1000"/>
        <w:gridCol w:w="1000"/>
        <w:gridCol w:w="1000"/>
      </w:tblGrid>
      <w:tr>
        <w:trPr>
          <w:tblHeader/>
        </w:trPr>
        <w:tc>
          <w:tcPr>
            <w:tcW w:type="dxa" w:w="26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7"/>
                <w:szCs w:val="17"/>
              </w:rPr>
              <w:t xml:space="preserve">M USD</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A0</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A1</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A2</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A3</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A4</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A5</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A6</w:t>
            </w:r>
          </w:p>
        </w:tc>
      </w:tr>
      <w:tr>
        <w:trPr>
          <w:cantSplit/>
        </w:trPr>
        <w:tc>
          <w:tcPr>
            <w:tcW w:type="dxa" w:w="2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Immobilisations nettes</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28,39</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25,31</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22,34</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19,51</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16,48</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13,32</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9,66</w:t>
            </w:r>
          </w:p>
        </w:tc>
      </w:tr>
      <w:tr>
        <w:trPr>
          <w:cantSplit/>
        </w:trPr>
        <w:tc>
          <w:tcPr>
            <w:tcW w:type="dxa" w:w="2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Besoin en fonds de roulement</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0,00</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2,34</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3,09</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3,41</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3,53</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3,60</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3,67</w:t>
            </w:r>
          </w:p>
        </w:tc>
      </w:tr>
      <w:tr>
        <w:trPr>
          <w:cantSplit/>
        </w:trPr>
        <w:tc>
          <w:tcPr>
            <w:tcW w:type="dxa" w:w="2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Compte DSRA</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1,20</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2,46</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2,82</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2,96</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2,94</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2,97</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0,00</w:t>
            </w:r>
          </w:p>
        </w:tc>
      </w:tr>
      <w:tr>
        <w:trPr>
          <w:cantSplit/>
        </w:trPr>
        <w:tc>
          <w:tcPr>
            <w:tcW w:type="dxa" w:w="2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Trésorerie</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3,00</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1,00</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1,00</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1,00</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1,00</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1,00</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1,00</w:t>
            </w:r>
          </w:p>
        </w:tc>
      </w:tr>
      <w:tr>
        <w:trPr>
          <w:cantSplit/>
        </w:trPr>
        <w:tc>
          <w:tcPr>
            <w:tcW w:type="dxa" w:w="2638"/>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0B2545"/>
                <w:sz w:val="17"/>
                <w:szCs w:val="17"/>
              </w:rPr>
              <w:t xml:space="preserve">Total actif</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32,59</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31,11</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29,25</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26,88</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23,95</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20,89</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14,33</w:t>
            </w:r>
          </w:p>
        </w:tc>
      </w:tr>
      <w:tr>
        <w:trPr>
          <w:cantSplit/>
        </w:trPr>
        <w:tc>
          <w:tcPr>
            <w:tcW w:type="dxa" w:w="2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Fonds propres (y c. avances d’actionnaires)</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11,41</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10,10</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10,94</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12,30</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13,76</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15,51</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14,33</w:t>
            </w:r>
          </w:p>
        </w:tc>
      </w:tr>
      <w:tr>
        <w:trPr>
          <w:cantSplit/>
        </w:trPr>
        <w:tc>
          <w:tcPr>
            <w:tcW w:type="dxa" w:w="2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Dette senior</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21,18</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21,01</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18,30</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14,58</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10,19</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5,38</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0,00</w:t>
            </w:r>
          </w:p>
        </w:tc>
      </w:tr>
      <w:tr>
        <w:trPr>
          <w:cantSplit/>
        </w:trPr>
        <w:tc>
          <w:tcPr>
            <w:tcW w:type="dxa" w:w="2638"/>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0B2545"/>
                <w:sz w:val="17"/>
                <w:szCs w:val="17"/>
              </w:rPr>
              <w:t xml:space="preserve">Total passif</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32,59</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31,11</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29,25</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26,88</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23,95</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20,89</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7"/>
                <w:szCs w:val="17"/>
              </w:rPr>
              <w:t xml:space="preserve">14,33</w:t>
            </w:r>
          </w:p>
        </w:tc>
      </w:tr>
    </w:tbl>
    <w:p>
      <w:pPr>
        <w:spacing w:after="180"/>
      </w:pPr>
    </w:p>
    <w:p>
      <w:pPr>
        <w:pStyle w:val="Heading2"/>
        <w:keepNext/>
        <w:spacing w:after="100" w:before="240"/>
      </w:pPr>
      <w:r>
        <w:rPr>
          <w:rFonts w:ascii="Calibri" w:cs="Calibri" w:eastAsia="Calibri" w:hAnsi="Calibri"/>
          <w:b/>
          <w:bCs/>
          <w:color w:val="C8962E"/>
          <w:sz w:val="25"/>
          <w:szCs w:val="25"/>
        </w:rPr>
        <w:t xml:space="preserve">10.7  </w:t>
      </w:r>
      <w:r>
        <w:rPr>
          <w:rFonts w:ascii="Calibri" w:cs="Calibri" w:eastAsia="Calibri" w:hAnsi="Calibri"/>
          <w:b/>
          <w:bCs/>
          <w:color w:val="1F4E9E"/>
          <w:sz w:val="25"/>
          <w:szCs w:val="25"/>
        </w:rPr>
        <w:t xml:space="preserve">Rentabilité et ratios 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9"/>
        <w:gridCol w:w="2409"/>
        <w:gridCol w:w="2409"/>
        <w:gridCol w:w="2411"/>
      </w:tblGrid>
      <w:tr>
        <w:tc>
          <w:tcPr>
            <w:tcW w:type="dxa" w:w="2409"/>
            <w:tcBorders>
              <w:top w:val="single" w:color="C8962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30"/>
                <w:szCs w:val="30"/>
              </w:rPr>
              <w:t xml:space="preserve">29,7 %</w:t>
            </w:r>
          </w:p>
          <w:p>
            <w:pPr>
              <w:jc w:val="center"/>
            </w:pPr>
            <w:r>
              <w:rPr>
                <w:rFonts w:ascii="Calibri" w:cs="Calibri" w:eastAsia="Calibri" w:hAnsi="Calibri"/>
                <w:color w:val="6B7280"/>
                <w:sz w:val="16"/>
                <w:szCs w:val="16"/>
              </w:rPr>
              <w:t xml:space="preserve">TRI fonds propres</w:t>
            </w:r>
          </w:p>
        </w:tc>
        <w:tc>
          <w:tcPr>
            <w:tcW w:type="dxa" w:w="2409"/>
            <w:tcBorders>
              <w:top w:val="single" w:color="C8962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30"/>
                <w:szCs w:val="30"/>
              </w:rPr>
              <w:t xml:space="preserve">19,9 %</w:t>
            </w:r>
          </w:p>
          <w:p>
            <w:pPr>
              <w:jc w:val="center"/>
            </w:pPr>
            <w:r>
              <w:rPr>
                <w:rFonts w:ascii="Calibri" w:cs="Calibri" w:eastAsia="Calibri" w:hAnsi="Calibri"/>
                <w:color w:val="6B7280"/>
                <w:sz w:val="16"/>
                <w:szCs w:val="16"/>
              </w:rPr>
              <w:t xml:space="preserve">TRI projet après impôt</w:t>
            </w:r>
          </w:p>
        </w:tc>
        <w:tc>
          <w:tcPr>
            <w:tcW w:type="dxa" w:w="2409"/>
            <w:tcBorders>
              <w:top w:val="single" w:color="C8962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30"/>
                <w:szCs w:val="30"/>
              </w:rPr>
              <w:t xml:space="preserve">6,10 M$</w:t>
            </w:r>
          </w:p>
          <w:p>
            <w:pPr>
              <w:jc w:val="center"/>
            </w:pPr>
            <w:r>
              <w:rPr>
                <w:rFonts w:ascii="Calibri" w:cs="Calibri" w:eastAsia="Calibri" w:hAnsi="Calibri"/>
                <w:color w:val="6B7280"/>
                <w:sz w:val="16"/>
                <w:szCs w:val="16"/>
              </w:rPr>
              <w:t xml:space="preserve">VAN fonds propres à 18 %</w:t>
            </w:r>
          </w:p>
        </w:tc>
        <w:tc>
          <w:tcPr>
            <w:tcW w:type="dxa" w:w="2411"/>
            <w:tcBorders>
              <w:top w:val="single" w:color="C8962E" w:sz="18"/>
              <w:left w:val="single" w:color="FFFFFF" w:sz="24"/>
              <w:bottom w:val="single" w:color="FFFFFF" w:sz="24"/>
              <w:right w:val="single" w:color="FFFFFF" w:sz="24"/>
            </w:tcBorders>
            <w:shd w:fill="EEF3FB" w:color="auto" w:val="clear"/>
            <w:tcMar>
              <w:top w:type="dxa" w:w="140"/>
              <w:left w:type="dxa" w:w="80"/>
              <w:bottom w:type="dxa" w:w="140"/>
              <w:right w:type="dxa" w:w="80"/>
            </w:tcMar>
          </w:tcPr>
          <w:p>
            <w:pPr>
              <w:spacing w:after="20"/>
              <w:jc w:val="center"/>
            </w:pPr>
            <w:r>
              <w:rPr>
                <w:rFonts w:ascii="Calibri" w:cs="Calibri" w:eastAsia="Calibri" w:hAnsi="Calibri"/>
                <w:b/>
                <w:bCs/>
                <w:color w:val="0B2545"/>
                <w:sz w:val="30"/>
                <w:szCs w:val="30"/>
              </w:rPr>
              <w:t xml:space="preserve">4,0 ans</w:t>
            </w:r>
          </w:p>
          <w:p>
            <w:pPr>
              <w:jc w:val="center"/>
            </w:pPr>
            <w:r>
              <w:rPr>
                <w:rFonts w:ascii="Calibri" w:cs="Calibri" w:eastAsia="Calibri" w:hAnsi="Calibri"/>
                <w:color w:val="6B7280"/>
                <w:sz w:val="16"/>
                <w:szCs w:val="16"/>
              </w:rPr>
              <w:t xml:space="preserve">retour après mise en service</w:t>
            </w:r>
          </w:p>
        </w:tc>
      </w:tr>
    </w:tbl>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38"/>
        <w:gridCol w:w="1067"/>
        <w:gridCol w:w="1067"/>
        <w:gridCol w:w="1067"/>
        <w:gridCol w:w="1067"/>
        <w:gridCol w:w="1066"/>
        <w:gridCol w:w="1066"/>
      </w:tblGrid>
      <w:tr>
        <w:trPr>
          <w:tblHeader/>
        </w:trPr>
        <w:tc>
          <w:tcPr>
            <w:tcW w:type="dxa" w:w="32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7"/>
                <w:szCs w:val="17"/>
              </w:rPr>
              <w:t xml:space="preserve">Ratio</w:t>
            </w:r>
          </w:p>
        </w:tc>
        <w:tc>
          <w:tcPr>
            <w:tcW w:type="dxa" w:w="1067"/>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A1</w:t>
            </w:r>
          </w:p>
        </w:tc>
        <w:tc>
          <w:tcPr>
            <w:tcW w:type="dxa" w:w="1067"/>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A2</w:t>
            </w:r>
          </w:p>
        </w:tc>
        <w:tc>
          <w:tcPr>
            <w:tcW w:type="dxa" w:w="1067"/>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A3</w:t>
            </w:r>
          </w:p>
        </w:tc>
        <w:tc>
          <w:tcPr>
            <w:tcW w:type="dxa" w:w="1067"/>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A4</w:t>
            </w:r>
          </w:p>
        </w:tc>
        <w:tc>
          <w:tcPr>
            <w:tcW w:type="dxa" w:w="1066"/>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A5</w:t>
            </w:r>
          </w:p>
        </w:tc>
        <w:tc>
          <w:tcPr>
            <w:tcW w:type="dxa" w:w="1066"/>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7"/>
                <w:szCs w:val="17"/>
              </w:rPr>
              <w:t xml:space="preserve">A6</w:t>
            </w:r>
          </w:p>
        </w:tc>
      </w:tr>
      <w:tr>
        <w:trPr>
          <w:cantSplit/>
        </w:trPr>
        <w:tc>
          <w:tcPr>
            <w:tcW w:type="dxa" w:w="32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Dette nette / EBITDA</w:t>
            </w:r>
          </w:p>
        </w:tc>
        <w:tc>
          <w:tcPr>
            <w:tcW w:type="dxa" w:w="1067"/>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2,60x</w:t>
            </w:r>
          </w:p>
        </w:tc>
        <w:tc>
          <w:tcPr>
            <w:tcW w:type="dxa" w:w="1067"/>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1,41x</w:t>
            </w:r>
          </w:p>
        </w:tc>
        <w:tc>
          <w:tcPr>
            <w:tcW w:type="dxa" w:w="1067"/>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0,91x</w:t>
            </w:r>
          </w:p>
        </w:tc>
        <w:tc>
          <w:tcPr>
            <w:tcW w:type="dxa" w:w="1067"/>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0,52x</w:t>
            </w:r>
          </w:p>
        </w:tc>
        <w:tc>
          <w:tcPr>
            <w:tcW w:type="dxa" w:w="1066"/>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0,12x</w:t>
            </w:r>
          </w:p>
        </w:tc>
        <w:tc>
          <w:tcPr>
            <w:tcW w:type="dxa" w:w="1066"/>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−0,08x</w:t>
            </w:r>
          </w:p>
        </w:tc>
      </w:tr>
      <w:tr>
        <w:trPr>
          <w:cantSplit/>
        </w:trPr>
        <w:tc>
          <w:tcPr>
            <w:tcW w:type="dxa" w:w="32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Couverture des intérêts (EBITDA / intérêts)</w:t>
            </w:r>
          </w:p>
        </w:tc>
        <w:tc>
          <w:tcPr>
            <w:tcW w:type="dxa" w:w="1067"/>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3,04x</w:t>
            </w:r>
          </w:p>
        </w:tc>
        <w:tc>
          <w:tcPr>
            <w:tcW w:type="dxa" w:w="1067"/>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4,64x</w:t>
            </w:r>
          </w:p>
        </w:tc>
        <w:tc>
          <w:tcPr>
            <w:tcW w:type="dxa" w:w="1067"/>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6,08x</w:t>
            </w:r>
          </w:p>
        </w:tc>
        <w:tc>
          <w:tcPr>
            <w:tcW w:type="dxa" w:w="1067"/>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7,87x</w:t>
            </w:r>
          </w:p>
        </w:tc>
        <w:tc>
          <w:tcPr>
            <w:tcW w:type="dxa" w:w="1066"/>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11,41x</w:t>
            </w:r>
          </w:p>
        </w:tc>
        <w:tc>
          <w:tcPr>
            <w:tcW w:type="dxa" w:w="1066"/>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21,87x</w:t>
            </w:r>
          </w:p>
        </w:tc>
      </w:tr>
      <w:tr>
        <w:trPr>
          <w:cantSplit/>
        </w:trPr>
        <w:tc>
          <w:tcPr>
            <w:tcW w:type="dxa" w:w="32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Dette / (dette + fonds propres)</w:t>
            </w:r>
          </w:p>
        </w:tc>
        <w:tc>
          <w:tcPr>
            <w:tcW w:type="dxa" w:w="1067"/>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68 %</w:t>
            </w:r>
          </w:p>
        </w:tc>
        <w:tc>
          <w:tcPr>
            <w:tcW w:type="dxa" w:w="1067"/>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63 %</w:t>
            </w:r>
          </w:p>
        </w:tc>
        <w:tc>
          <w:tcPr>
            <w:tcW w:type="dxa" w:w="1067"/>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54 %</w:t>
            </w:r>
          </w:p>
        </w:tc>
        <w:tc>
          <w:tcPr>
            <w:tcW w:type="dxa" w:w="1067"/>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43 %</w:t>
            </w:r>
          </w:p>
        </w:tc>
        <w:tc>
          <w:tcPr>
            <w:tcW w:type="dxa" w:w="1066"/>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26 %</w:t>
            </w:r>
          </w:p>
        </w:tc>
        <w:tc>
          <w:tcPr>
            <w:tcW w:type="dxa" w:w="1066"/>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0 %</w:t>
            </w:r>
          </w:p>
        </w:tc>
      </w:tr>
      <w:tr>
        <w:trPr>
          <w:cantSplit/>
        </w:trPr>
        <w:tc>
          <w:tcPr>
            <w:tcW w:type="dxa" w:w="32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Rentabilité des fonds propres (ROE)</w:t>
            </w:r>
          </w:p>
        </w:tc>
        <w:tc>
          <w:tcPr>
            <w:tcW w:type="dxa" w:w="1067"/>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9 %</w:t>
            </w:r>
          </w:p>
        </w:tc>
        <w:tc>
          <w:tcPr>
            <w:tcW w:type="dxa" w:w="1067"/>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31 %</w:t>
            </w:r>
          </w:p>
        </w:tc>
        <w:tc>
          <w:tcPr>
            <w:tcW w:type="dxa" w:w="1067"/>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37 %</w:t>
            </w:r>
          </w:p>
        </w:tc>
        <w:tc>
          <w:tcPr>
            <w:tcW w:type="dxa" w:w="1067"/>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36 %</w:t>
            </w:r>
          </w:p>
        </w:tc>
        <w:tc>
          <w:tcPr>
            <w:tcW w:type="dxa" w:w="1066"/>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34 %</w:t>
            </w:r>
          </w:p>
        </w:tc>
        <w:tc>
          <w:tcPr>
            <w:tcW w:type="dxa" w:w="1066"/>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37 %</w:t>
            </w:r>
          </w:p>
        </w:tc>
      </w:tr>
      <w:tr>
        <w:trPr>
          <w:cantSplit/>
        </w:trPr>
        <w:tc>
          <w:tcPr>
            <w:tcW w:type="dxa" w:w="32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7"/>
                <w:szCs w:val="17"/>
              </w:rPr>
              <w:t xml:space="preserve">Marge nette</w:t>
            </w:r>
          </w:p>
        </w:tc>
        <w:tc>
          <w:tcPr>
            <w:tcW w:type="dxa" w:w="1067"/>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4 %</w:t>
            </w:r>
          </w:p>
        </w:tc>
        <w:tc>
          <w:tcPr>
            <w:tcW w:type="dxa" w:w="1067"/>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13 %</w:t>
            </w:r>
          </w:p>
        </w:tc>
        <w:tc>
          <w:tcPr>
            <w:tcW w:type="dxa" w:w="1067"/>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16 %</w:t>
            </w:r>
          </w:p>
        </w:tc>
        <w:tc>
          <w:tcPr>
            <w:tcW w:type="dxa" w:w="1067"/>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17 %</w:t>
            </w:r>
          </w:p>
        </w:tc>
        <w:tc>
          <w:tcPr>
            <w:tcW w:type="dxa" w:w="1066"/>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17 %</w:t>
            </w:r>
          </w:p>
        </w:tc>
        <w:tc>
          <w:tcPr>
            <w:tcW w:type="dxa" w:w="1066"/>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7"/>
                <w:szCs w:val="17"/>
              </w:rPr>
              <w:t xml:space="preserve">18 %</w:t>
            </w:r>
          </w:p>
        </w:tc>
      </w:tr>
    </w:tbl>
    <w:p>
      <w:pPr>
        <w:spacing w:after="1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C8962E" w:sz="36"/>
              <w:bottom w:val="none" w:color="FFFFFF" w:sz="0"/>
              <w:right w:val="none" w:color="FFFFFF" w:sz="0"/>
            </w:tcBorders>
            <w:shd w:fill="FBF4E6" w:color="auto" w:val="clear"/>
            <w:tcMar>
              <w:top w:type="dxa" w:w="140"/>
              <w:left w:type="dxa" w:w="240"/>
              <w:bottom w:type="dxa" w:w="140"/>
              <w:right w:type="dxa" w:w="200"/>
            </w:tcMar>
          </w:tcPr>
          <w:p>
            <w:pPr>
              <w:spacing w:after="60"/>
            </w:pPr>
            <w:r>
              <w:rPr>
                <w:rFonts w:ascii="Calibri" w:cs="Calibri" w:eastAsia="Calibri" w:hAnsi="Calibri"/>
                <w:b/>
                <w:bCs/>
                <w:color w:val="0B2545"/>
                <w:spacing w:val="20"/>
                <w:sz w:val="18"/>
                <w:szCs w:val="18"/>
              </w:rPr>
              <w:t xml:space="preserve">LECTURE FINANCIÈRE</w:t>
            </w:r>
          </w:p>
          <w:p>
            <w:pPr>
              <w:spacing w:after="40" w:line="264"/>
              <w:jc w:val="both"/>
            </w:pPr>
            <w:r>
              <w:rPr>
                <w:rFonts w:ascii="Calibri" w:cs="Calibri" w:eastAsia="Calibri" w:hAnsi="Calibri"/>
                <w:color w:val="1F2937"/>
                <w:sz w:val="20"/>
                <w:szCs w:val="20"/>
              </w:rPr>
              <w:t xml:space="preserve">Le rendement du cas de base (TRI fonds propres de 29,7 %, TRI projet de 19,9 % contre un coût moyen pondéré du capital d’environ 11 %) est attractif, mais il dépend fortement du contrat. Le scénario ne doit pas être présenté comme une promesse de performance : il sert à fixer les seuils de négociation, les protections bancaires et les variables à auditer. Sans valeur résiduelle en fin d’horizon, le TRI fonds propres reste de 28,8 %.</w:t>
            </w:r>
          </w:p>
        </w:tc>
      </w:tr>
    </w:tbl>
    <w:p>
      <w:pPr>
        <w:spacing w:after="180"/>
      </w:pPr>
    </w:p>
    <w:p>
      <w:pPr>
        <w:pStyle w:val="Heading1"/>
        <w:keepNext/>
        <w:pageBreakBefore/>
        <w:pBdr>
          <w:bottom w:val="single" w:color="C8962E" w:sz="12" w:space="6"/>
        </w:pBdr>
        <w:spacing w:after="80" w:before="0"/>
      </w:pPr>
      <w:r>
        <w:rPr>
          <w:rFonts w:ascii="Calibri" w:cs="Calibri" w:eastAsia="Calibri" w:hAnsi="Calibri"/>
          <w:b/>
          <w:bCs/>
          <w:color w:val="C8962E"/>
          <w:sz w:val="40"/>
          <w:szCs w:val="40"/>
        </w:rPr>
        <w:t xml:space="preserve">11  </w:t>
      </w:r>
      <w:r>
        <w:rPr>
          <w:rFonts w:ascii="Calibri" w:cs="Calibri" w:eastAsia="Calibri" w:hAnsi="Calibri"/>
          <w:b/>
          <w:bCs/>
          <w:color w:val="0B2545"/>
          <w:sz w:val="32"/>
          <w:szCs w:val="32"/>
        </w:rPr>
        <w:t xml:space="preserve">ANALYSE DE SENSIBILITÉ ET TESTS DE RÉSISTANCE</w:t>
      </w:r>
    </w:p>
    <w:p>
      <w:pPr>
        <w:spacing w:after="160"/>
      </w:pPr>
    </w:p>
    <w:p>
      <w:pPr>
        <w:pStyle w:val="Heading2"/>
        <w:keepNext/>
        <w:spacing w:after="100" w:before="240"/>
      </w:pPr>
      <w:r>
        <w:rPr>
          <w:rFonts w:ascii="Calibri" w:cs="Calibri" w:eastAsia="Calibri" w:hAnsi="Calibri"/>
          <w:b/>
          <w:bCs/>
          <w:color w:val="C8962E"/>
          <w:sz w:val="25"/>
          <w:szCs w:val="25"/>
        </w:rPr>
        <w:t xml:space="preserve">11.1  </w:t>
      </w:r>
      <w:r>
        <w:rPr>
          <w:rFonts w:ascii="Calibri" w:cs="Calibri" w:eastAsia="Calibri" w:hAnsi="Calibri"/>
          <w:b/>
          <w:bCs/>
          <w:color w:val="1F4E9E"/>
          <w:sz w:val="25"/>
          <w:szCs w:val="25"/>
        </w:rPr>
        <w:t xml:space="preserve">Résultats des scénarios</w:t>
      </w:r>
    </w:p>
    <w:p>
      <w:pPr>
        <w:spacing w:after="120" w:before="0" w:line="276"/>
        <w:jc w:val="both"/>
      </w:pPr>
      <w:r>
        <w:rPr>
          <w:rFonts w:ascii="Calibri" w:cs="Calibri" w:eastAsia="Calibri" w:hAnsi="Calibri"/>
          <w:color w:val="1F2937"/>
          <w:sz w:val="21"/>
          <w:szCs w:val="21"/>
        </w:rPr>
        <w:t xml:space="preserve">Chaque scénario est calculé </w:t>
      </w:r>
      <w:r>
        <w:rPr>
          <w:rFonts w:ascii="Calibri" w:cs="Calibri" w:eastAsia="Calibri" w:hAnsi="Calibri"/>
          <w:b/>
          <w:bCs/>
          <w:color w:val="0B2545"/>
          <w:sz w:val="21"/>
          <w:szCs w:val="21"/>
        </w:rPr>
        <w:t xml:space="preserve">à profil de dette constant</w:t>
      </w:r>
      <w:r>
        <w:rPr>
          <w:rFonts w:ascii="Calibri" w:cs="Calibri" w:eastAsia="Calibri" w:hAnsi="Calibri"/>
          <w:color w:val="1F2937"/>
          <w:sz w:val="21"/>
          <w:szCs w:val="21"/>
        </w:rPr>
        <w:t xml:space="preserve"> (celui du cas de base), conformément à la pratique des prêteurs : seul l’impact du choc sur la capacité de remboursement est mesuré.</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838"/>
        <w:gridCol w:w="1450"/>
        <w:gridCol w:w="1450"/>
        <w:gridCol w:w="1450"/>
        <w:gridCol w:w="1450"/>
      </w:tblGrid>
      <w:tr>
        <w:trPr>
          <w:tblHeader/>
        </w:trPr>
        <w:tc>
          <w:tcPr>
            <w:tcW w:type="dxa" w:w="38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Scénario</w:t>
            </w:r>
          </w:p>
        </w:tc>
        <w:tc>
          <w:tcPr>
            <w:tcW w:type="dxa" w:w="145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8"/>
                <w:szCs w:val="18"/>
              </w:rPr>
              <w:t xml:space="preserve">TRI FP</w:t>
            </w:r>
          </w:p>
        </w:tc>
        <w:tc>
          <w:tcPr>
            <w:tcW w:type="dxa" w:w="145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8"/>
                <w:szCs w:val="18"/>
              </w:rPr>
              <w:t xml:space="preserve">VAN M$</w:t>
            </w:r>
          </w:p>
        </w:tc>
        <w:tc>
          <w:tcPr>
            <w:tcW w:type="dxa" w:w="145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8"/>
                <w:szCs w:val="18"/>
              </w:rPr>
              <w:t xml:space="preserve">DSCR min.</w:t>
            </w:r>
          </w:p>
        </w:tc>
        <w:tc>
          <w:tcPr>
            <w:tcW w:type="dxa" w:w="145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8"/>
                <w:szCs w:val="18"/>
              </w:rPr>
              <w:t xml:space="preserve">EBITDA A2</w:t>
            </w:r>
          </w:p>
        </w:tc>
      </w:tr>
      <w:tr>
        <w:trPr>
          <w:cantSplit/>
        </w:trPr>
        <w:tc>
          <w:tcPr>
            <w:tcW w:type="dxa" w:w="3838"/>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0B2545"/>
                <w:sz w:val="18"/>
                <w:szCs w:val="18"/>
              </w:rPr>
              <w:t xml:space="preserve">Cas de base</w:t>
            </w:r>
          </w:p>
        </w:tc>
        <w:tc>
          <w:tcPr>
            <w:tcW w:type="dxa" w:w="145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8"/>
                <w:szCs w:val="18"/>
              </w:rPr>
              <w:t xml:space="preserve">29,7 %</w:t>
            </w:r>
          </w:p>
        </w:tc>
        <w:tc>
          <w:tcPr>
            <w:tcW w:type="dxa" w:w="145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8"/>
                <w:szCs w:val="18"/>
              </w:rPr>
              <w:t xml:space="preserve">6,10</w:t>
            </w:r>
          </w:p>
        </w:tc>
        <w:tc>
          <w:tcPr>
            <w:tcW w:type="dxa" w:w="145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8"/>
                <w:szCs w:val="18"/>
              </w:rPr>
              <w:t xml:space="preserve">1,60x</w:t>
            </w:r>
          </w:p>
        </w:tc>
        <w:tc>
          <w:tcPr>
            <w:tcW w:type="dxa" w:w="145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8"/>
                <w:szCs w:val="18"/>
              </w:rPr>
              <w:t xml:space="preserve">10,24</w:t>
            </w:r>
          </w:p>
        </w:tc>
      </w:tr>
      <w:tr>
        <w:trPr>
          <w:cantSplit/>
        </w:trPr>
        <w:tc>
          <w:tcPr>
            <w:tcW w:type="dxa" w:w="38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Tarif −10 %</w:t>
            </w:r>
          </w:p>
        </w:tc>
        <w:tc>
          <w:tcPr>
            <w:tcW w:type="dxa" w:w="145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15,1 %</w:t>
            </w:r>
          </w:p>
        </w:tc>
        <w:tc>
          <w:tcPr>
            <w:tcW w:type="dxa" w:w="145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−1,48</w:t>
            </w:r>
          </w:p>
        </w:tc>
        <w:tc>
          <w:tcPr>
            <w:tcW w:type="dxa" w:w="145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1,21x</w:t>
            </w:r>
          </w:p>
        </w:tc>
        <w:tc>
          <w:tcPr>
            <w:tcW w:type="dxa" w:w="145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7,67</w:t>
            </w:r>
          </w:p>
        </w:tc>
      </w:tr>
      <w:tr>
        <w:trPr>
          <w:cantSplit/>
        </w:trPr>
        <w:tc>
          <w:tcPr>
            <w:tcW w:type="dxa" w:w="38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Volume −15 %</w:t>
            </w:r>
          </w:p>
        </w:tc>
        <w:tc>
          <w:tcPr>
            <w:tcW w:type="dxa" w:w="145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17,0 %</w:t>
            </w:r>
          </w:p>
        </w:tc>
        <w:tc>
          <w:tcPr>
            <w:tcW w:type="dxa" w:w="145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−0,54</w:t>
            </w:r>
          </w:p>
        </w:tc>
        <w:tc>
          <w:tcPr>
            <w:tcW w:type="dxa" w:w="145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1,26x</w:t>
            </w:r>
          </w:p>
        </w:tc>
        <w:tc>
          <w:tcPr>
            <w:tcW w:type="dxa" w:w="145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7,97</w:t>
            </w:r>
          </w:p>
        </w:tc>
      </w:tr>
      <w:tr>
        <w:trPr>
          <w:cantSplit/>
        </w:trPr>
        <w:tc>
          <w:tcPr>
            <w:tcW w:type="dxa" w:w="38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Diesel +20 %</w:t>
            </w:r>
          </w:p>
        </w:tc>
        <w:tc>
          <w:tcPr>
            <w:tcW w:type="dxa" w:w="145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23,8 %</w:t>
            </w:r>
          </w:p>
        </w:tc>
        <w:tc>
          <w:tcPr>
            <w:tcW w:type="dxa" w:w="145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3,05</w:t>
            </w:r>
          </w:p>
        </w:tc>
        <w:tc>
          <w:tcPr>
            <w:tcW w:type="dxa" w:w="145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1,44x</w:t>
            </w:r>
          </w:p>
        </w:tc>
        <w:tc>
          <w:tcPr>
            <w:tcW w:type="dxa" w:w="145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9,21</w:t>
            </w:r>
          </w:p>
        </w:tc>
      </w:tr>
      <w:tr>
        <w:trPr>
          <w:cantSplit/>
        </w:trPr>
        <w:tc>
          <w:tcPr>
            <w:tcW w:type="dxa" w:w="38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CAPEX +10 %</w:t>
            </w:r>
          </w:p>
        </w:tc>
        <w:tc>
          <w:tcPr>
            <w:tcW w:type="dxa" w:w="145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25,3 %</w:t>
            </w:r>
          </w:p>
        </w:tc>
        <w:tc>
          <w:tcPr>
            <w:tcW w:type="dxa" w:w="145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4,08</w:t>
            </w:r>
          </w:p>
        </w:tc>
        <w:tc>
          <w:tcPr>
            <w:tcW w:type="dxa" w:w="145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1,49x</w:t>
            </w:r>
          </w:p>
        </w:tc>
        <w:tc>
          <w:tcPr>
            <w:tcW w:type="dxa" w:w="145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10,24</w:t>
            </w:r>
          </w:p>
        </w:tc>
      </w:tr>
      <w:tr>
        <w:trPr>
          <w:cantSplit/>
        </w:trPr>
        <w:tc>
          <w:tcPr>
            <w:tcW w:type="dxa" w:w="38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Coûts fixes +15 %</w:t>
            </w:r>
          </w:p>
        </w:tc>
        <w:tc>
          <w:tcPr>
            <w:tcW w:type="dxa" w:w="145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25,4 %</w:t>
            </w:r>
          </w:p>
        </w:tc>
        <w:tc>
          <w:tcPr>
            <w:tcW w:type="dxa" w:w="145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3,89</w:t>
            </w:r>
          </w:p>
        </w:tc>
        <w:tc>
          <w:tcPr>
            <w:tcW w:type="dxa" w:w="145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1,49x</w:t>
            </w:r>
          </w:p>
        </w:tc>
        <w:tc>
          <w:tcPr>
            <w:tcW w:type="dxa" w:w="145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9,50</w:t>
            </w:r>
          </w:p>
        </w:tc>
      </w:tr>
      <w:tr>
        <w:trPr>
          <w:cantSplit/>
        </w:trPr>
        <w:tc>
          <w:tcPr>
            <w:tcW w:type="dxa" w:w="38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Retard de démarrage 6 mois</w:t>
            </w:r>
          </w:p>
        </w:tc>
        <w:tc>
          <w:tcPr>
            <w:tcW w:type="dxa" w:w="145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22,6 %</w:t>
            </w:r>
          </w:p>
        </w:tc>
        <w:tc>
          <w:tcPr>
            <w:tcW w:type="dxa" w:w="145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2,71</w:t>
            </w:r>
          </w:p>
        </w:tc>
        <w:tc>
          <w:tcPr>
            <w:tcW w:type="dxa" w:w="145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1,59x</w:t>
            </w:r>
          </w:p>
        </w:tc>
        <w:tc>
          <w:tcPr>
            <w:tcW w:type="dxa" w:w="145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10,24</w:t>
            </w:r>
          </w:p>
        </w:tc>
      </w:tr>
      <w:tr>
        <w:trPr>
          <w:cantSplit/>
        </w:trPr>
        <w:tc>
          <w:tcPr>
            <w:tcW w:type="dxa" w:w="38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Taux d’intérêt +200 pb</w:t>
            </w:r>
          </w:p>
        </w:tc>
        <w:tc>
          <w:tcPr>
            <w:tcW w:type="dxa" w:w="145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27,4 %</w:t>
            </w:r>
          </w:p>
        </w:tc>
        <w:tc>
          <w:tcPr>
            <w:tcW w:type="dxa" w:w="145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5,06</w:t>
            </w:r>
          </w:p>
        </w:tc>
        <w:tc>
          <w:tcPr>
            <w:tcW w:type="dxa" w:w="145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1,49x</w:t>
            </w:r>
          </w:p>
        </w:tc>
        <w:tc>
          <w:tcPr>
            <w:tcW w:type="dxa" w:w="145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10,24</w:t>
            </w:r>
          </w:p>
        </w:tc>
      </w:tr>
      <w:tr>
        <w:trPr>
          <w:cantSplit/>
        </w:trPr>
        <w:tc>
          <w:tcPr>
            <w:tcW w:type="dxa" w:w="3838"/>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Cas bas prêteur (combiné modéré)</w:t>
            </w:r>
          </w:p>
        </w:tc>
        <w:tc>
          <w:tcPr>
            <w:tcW w:type="dxa" w:w="1450"/>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8,4 %</w:t>
            </w:r>
          </w:p>
        </w:tc>
        <w:tc>
          <w:tcPr>
            <w:tcW w:type="dxa" w:w="1450"/>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−5,33</w:t>
            </w:r>
          </w:p>
        </w:tc>
        <w:tc>
          <w:tcPr>
            <w:tcW w:type="dxa" w:w="1450"/>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1,06x</w:t>
            </w:r>
          </w:p>
        </w:tc>
        <w:tc>
          <w:tcPr>
            <w:tcW w:type="dxa" w:w="1450"/>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6,87</w:t>
            </w:r>
          </w:p>
        </w:tc>
      </w:tr>
      <w:tr>
        <w:trPr>
          <w:cantSplit/>
        </w:trPr>
        <w:tc>
          <w:tcPr>
            <w:tcW w:type="dxa" w:w="3838"/>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Stress combiné sévère</w:t>
            </w:r>
          </w:p>
        </w:tc>
        <w:tc>
          <w:tcPr>
            <w:tcW w:type="dxa" w:w="1450"/>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−6,5 %</w:t>
            </w:r>
          </w:p>
        </w:tc>
        <w:tc>
          <w:tcPr>
            <w:tcW w:type="dxa" w:w="1450"/>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−9,96</w:t>
            </w:r>
          </w:p>
        </w:tc>
        <w:tc>
          <w:tcPr>
            <w:tcW w:type="dxa" w:w="1450"/>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0,72x</w:t>
            </w:r>
          </w:p>
        </w:tc>
        <w:tc>
          <w:tcPr>
            <w:tcW w:type="dxa" w:w="1450"/>
            <w:tcBorders>
              <w:top w:val="single" w:color="D5DCE6" w:sz="4"/>
              <w:left w:val="none" w:color="FFFFFF" w:sz="0"/>
              <w:bottom w:val="single" w:color="D5DCE6" w:sz="4"/>
              <w:right w:val="none" w:color="FFFFFF" w:sz="0"/>
            </w:tcBorders>
            <w:shd w:fill="FBF4E6"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4,90</w:t>
            </w:r>
          </w:p>
        </w:tc>
      </w:tr>
      <w:tr>
        <w:trPr>
          <w:cantSplit/>
        </w:trPr>
        <w:tc>
          <w:tcPr>
            <w:tcW w:type="dxa" w:w="38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Cas bas avec protections contractuelles*</w:t>
            </w:r>
          </w:p>
        </w:tc>
        <w:tc>
          <w:tcPr>
            <w:tcW w:type="dxa" w:w="145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11,7 %</w:t>
            </w:r>
          </w:p>
        </w:tc>
        <w:tc>
          <w:tcPr>
            <w:tcW w:type="dxa" w:w="145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−3,54</w:t>
            </w:r>
          </w:p>
        </w:tc>
        <w:tc>
          <w:tcPr>
            <w:tcW w:type="dxa" w:w="145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1,16x</w:t>
            </w:r>
          </w:p>
        </w:tc>
        <w:tc>
          <w:tcPr>
            <w:tcW w:type="dxa" w:w="145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8"/>
                <w:szCs w:val="18"/>
              </w:rPr>
              <w:t xml:space="preserve">–</w:t>
            </w:r>
          </w:p>
        </w:tc>
      </w:tr>
    </w:tbl>
    <w:p>
      <w:pPr>
        <w:spacing w:after="180"/>
      </w:pPr>
    </w:p>
    <w:p>
      <w:pPr>
        <w:spacing w:after="160"/>
      </w:pPr>
      <w:r>
        <w:rPr>
          <w:rFonts w:ascii="Calibri" w:cs="Calibri" w:eastAsia="Calibri" w:hAnsi="Calibri"/>
          <w:i/>
          <w:iCs/>
          <w:color w:val="6B7280"/>
          <w:sz w:val="16"/>
          <w:szCs w:val="16"/>
        </w:rPr>
        <w:t xml:space="preserve">Cas bas prêteur : tarif −5 %, volume −10 %, diesel +15 %, CAPEX +5 %. Stress sévère : tarif −10 %, volume −15 %, diesel +20 %, CAPEX +10 %. * Cas bas avec indexation carburant effective (diesel neutralisé).</w:t>
      </w:r>
    </w:p>
    <w:p>
      <w:pPr>
        <w:keepNext/>
        <w:spacing w:after="40" w:before="80"/>
        <w:jc w:val="center"/>
      </w:pPr>
      <w:r>
        <w:drawing>
          <wp:inline distT="0" distB="0" distL="0" distR="0">
            <wp:extent cx="5905500" cy="2514600"/>
            <wp:effectExtent t="0" r="0" b="0" l="0"/>
            <wp:docPr id="1" name="fig7" descr="Sensibilité du TRI fonds propres aux chocs unitaires" title="Sensibilité du TRI fonds propres aux chocs unit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514600"/>
                    </a:xfrm>
                    <a:prstGeom prst="rect">
                      <a:avLst/>
                    </a:prstGeom>
                  </pic:spPr>
                </pic:pic>
              </a:graphicData>
            </a:graphic>
          </wp:inline>
        </w:drawing>
      </w:r>
    </w:p>
    <w:p>
      <w:pPr>
        <w:spacing w:after="180"/>
        <w:jc w:val="left"/>
      </w:pPr>
      <w:r>
        <w:rPr>
          <w:rFonts w:ascii="Calibri" w:cs="Calibri" w:eastAsia="Calibri" w:hAnsi="Calibri"/>
          <w:b/>
          <w:bCs/>
          <w:color w:val="1F4E9E"/>
          <w:sz w:val="17"/>
          <w:szCs w:val="17"/>
        </w:rPr>
        <w:t xml:space="preserve">Figure 7 — </w:t>
      </w:r>
      <w:r>
        <w:rPr>
          <w:rFonts w:ascii="Calibri" w:cs="Calibri" w:eastAsia="Calibri" w:hAnsi="Calibri"/>
          <w:i/>
          <w:iCs/>
          <w:color w:val="6B7280"/>
          <w:sz w:val="17"/>
          <w:szCs w:val="17"/>
        </w:rPr>
        <w:t xml:space="preserve">Sensibilité du TRI fonds propres aux chocs unitaires</w:t>
      </w:r>
    </w:p>
    <w:p>
      <w:pPr>
        <w:pStyle w:val="Heading2"/>
        <w:keepNext/>
        <w:spacing w:after="100" w:before="240"/>
      </w:pPr>
      <w:r>
        <w:rPr>
          <w:rFonts w:ascii="Calibri" w:cs="Calibri" w:eastAsia="Calibri" w:hAnsi="Calibri"/>
          <w:b/>
          <w:bCs/>
          <w:color w:val="C8962E"/>
          <w:sz w:val="25"/>
          <w:szCs w:val="25"/>
        </w:rPr>
        <w:t xml:space="preserve">11.2  </w:t>
      </w:r>
      <w:r>
        <w:rPr>
          <w:rFonts w:ascii="Calibri" w:cs="Calibri" w:eastAsia="Calibri" w:hAnsi="Calibri"/>
          <w:b/>
          <w:bCs/>
          <w:color w:val="1F4E9E"/>
          <w:sz w:val="25"/>
          <w:szCs w:val="25"/>
        </w:rPr>
        <w:t xml:space="preserve">Points morts et seuils critiques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3000"/>
        <w:gridCol w:w="3638"/>
      </w:tblGrid>
      <w:tr>
        <w:trPr>
          <w:tblHeader/>
        </w:trPr>
        <w:tc>
          <w:tcPr>
            <w:tcW w:type="dxa" w:w="3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Seuil</w:t>
            </w:r>
          </w:p>
        </w:tc>
        <w:tc>
          <w:tcPr>
            <w:tcW w:type="dxa" w:w="3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Valeur</w:t>
            </w:r>
          </w:p>
        </w:tc>
        <w:tc>
          <w:tcPr>
            <w:tcW w:type="dxa" w:w="36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Interprétation</w:t>
            </w:r>
          </w:p>
        </w:tc>
      </w:tr>
      <w:tr>
        <w:trPr>
          <w:cantSplit/>
        </w:trPr>
        <w:tc>
          <w:tcPr>
            <w:tcW w:type="dxa" w:w="3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Point mort d’exploitation (A2)</w:t>
            </w:r>
          </w:p>
        </w:tc>
        <w:tc>
          <w:tcPr>
            <w:tcW w:type="dxa" w:w="3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1,16 Mt/an</w:t>
            </w:r>
          </w:p>
        </w:tc>
        <w:tc>
          <w:tcPr>
            <w:tcW w:type="dxa" w:w="3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Volume couvrant les coûts d’exploitation, avant dette et impôt</w:t>
            </w:r>
          </w:p>
        </w:tc>
      </w:tr>
      <w:tr>
        <w:trPr>
          <w:cantSplit/>
        </w:trPr>
        <w:tc>
          <w:tcPr>
            <w:tcW w:type="dxa" w:w="3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Volume pour DSCR 1,30x</w:t>
            </w:r>
          </w:p>
        </w:tc>
        <w:tc>
          <w:tcPr>
            <w:tcW w:type="dxa" w:w="3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87 % du plan (3,38 Mt en régime)</w:t>
            </w:r>
          </w:p>
        </w:tc>
        <w:tc>
          <w:tcPr>
            <w:tcW w:type="dxa" w:w="3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Minimum de sécurité bancaire au tarif central</w:t>
            </w:r>
          </w:p>
        </w:tc>
      </w:tr>
      <w:tr>
        <w:trPr>
          <w:cantSplit/>
        </w:trPr>
        <w:tc>
          <w:tcPr>
            <w:tcW w:type="dxa" w:w="3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Volume pour DSCR 1,00x</w:t>
            </w:r>
          </w:p>
        </w:tc>
        <w:tc>
          <w:tcPr>
            <w:tcW w:type="dxa" w:w="3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73 % du plan (2,86 Mt en régime)</w:t>
            </w:r>
          </w:p>
        </w:tc>
        <w:tc>
          <w:tcPr>
            <w:tcW w:type="dxa" w:w="3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Seuil de défaut de paiement hors réserves</w:t>
            </w:r>
          </w:p>
        </w:tc>
      </w:tr>
      <w:tr>
        <w:trPr>
          <w:cantSplit/>
        </w:trPr>
        <w:tc>
          <w:tcPr>
            <w:tcW w:type="dxa" w:w="3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Tarif pour DSCR 1,30x</w:t>
            </w:r>
          </w:p>
        </w:tc>
        <w:tc>
          <w:tcPr>
            <w:tcW w:type="dxa" w:w="3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6,55 USD/t (A1)</w:t>
            </w:r>
          </w:p>
        </w:tc>
        <w:tc>
          <w:tcPr>
            <w:tcW w:type="dxa" w:w="3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Tarif plancher de négociation au volume central</w:t>
            </w:r>
          </w:p>
        </w:tc>
      </w:tr>
      <w:tr>
        <w:trPr>
          <w:cantSplit/>
        </w:trPr>
        <w:tc>
          <w:tcPr>
            <w:tcW w:type="dxa" w:w="3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Tarif pour DSCR 1,00x</w:t>
            </w:r>
          </w:p>
        </w:tc>
        <w:tc>
          <w:tcPr>
            <w:tcW w:type="dxa" w:w="3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5,99 USD/t (A1)</w:t>
            </w:r>
          </w:p>
        </w:tc>
        <w:tc>
          <w:tcPr>
            <w:tcW w:type="dxa" w:w="3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Seuil de défaut de paiement hors réserves</w:t>
            </w:r>
          </w:p>
        </w:tc>
      </w:tr>
      <w:tr>
        <w:trPr>
          <w:cantSplit/>
        </w:trPr>
        <w:tc>
          <w:tcPr>
            <w:tcW w:type="dxa" w:w="3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Diesel pour DSCR 1,30x</w:t>
            </w:r>
          </w:p>
        </w:tc>
        <w:tc>
          <w:tcPr>
            <w:tcW w:type="dxa" w:w="3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1,91 USD/l</w:t>
            </w:r>
          </w:p>
        </w:tc>
        <w:tc>
          <w:tcPr>
            <w:tcW w:type="dxa" w:w="3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Hausse tolérable de 39 % sans indexation</w:t>
            </w:r>
          </w:p>
        </w:tc>
      </w:tr>
    </w:tbl>
    <w:p>
      <w:pPr>
        <w:spacing w:after="1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B42318" w:sz="36"/>
              <w:bottom w:val="none" w:color="FFFFFF" w:sz="0"/>
              <w:right w:val="none" w:color="FFFFFF" w:sz="0"/>
            </w:tcBorders>
            <w:shd w:fill="FDECEA" w:color="auto" w:val="clear"/>
            <w:tcMar>
              <w:top w:type="dxa" w:w="140"/>
              <w:left w:type="dxa" w:w="240"/>
              <w:bottom w:type="dxa" w:w="140"/>
              <w:right w:type="dxa" w:w="200"/>
            </w:tcMar>
          </w:tcPr>
          <w:p>
            <w:pPr>
              <w:spacing w:after="60"/>
            </w:pPr>
            <w:r>
              <w:rPr>
                <w:rFonts w:ascii="Calibri" w:cs="Calibri" w:eastAsia="Calibri" w:hAnsi="Calibri"/>
                <w:b/>
                <w:bCs/>
                <w:color w:val="0B2545"/>
                <w:spacing w:val="20"/>
                <w:sz w:val="18"/>
                <w:szCs w:val="18"/>
              </w:rPr>
              <w:t xml:space="preserve">ENSEIGNEMENT POUR LA NÉGOCIATION</w:t>
            </w:r>
          </w:p>
          <w:p>
            <w:pPr>
              <w:spacing w:after="40" w:line="264"/>
              <w:jc w:val="both"/>
            </w:pPr>
            <w:r>
              <w:rPr>
                <w:rFonts w:ascii="Calibri" w:cs="Calibri" w:eastAsia="Calibri" w:hAnsi="Calibri"/>
                <w:color w:val="1F2937"/>
                <w:sz w:val="20"/>
                <w:szCs w:val="20"/>
              </w:rPr>
              <w:t xml:space="preserve">Le projet est </w:t>
            </w:r>
            <w:r>
              <w:rPr>
                <w:rFonts w:ascii="Calibri" w:cs="Calibri" w:eastAsia="Calibri" w:hAnsi="Calibri"/>
                <w:b/>
                <w:bCs/>
                <w:color w:val="0B2545"/>
                <w:sz w:val="20"/>
                <w:szCs w:val="20"/>
              </w:rPr>
              <w:t xml:space="preserve">plus sensible au tarif et au volume qu’au coût d’investissement</w:t>
            </w:r>
            <w:r>
              <w:rPr>
                <w:rFonts w:ascii="Calibri" w:cs="Calibri" w:eastAsia="Calibri" w:hAnsi="Calibri"/>
                <w:color w:val="1F2937"/>
                <w:sz w:val="20"/>
                <w:szCs w:val="20"/>
              </w:rPr>
              <w:t xml:space="preserve">. Une baisse de 10 % du tarif ou de 15 % du volume ramène le DSCR sous 1,30x ; le stress combiné sévère ne permet pas de servir la dette (DSCR 0,72x). Le take-or-pay, l’indexation carburant et le compte séquestre ne sont donc pas des options : ce sont des </w:t>
            </w:r>
            <w:r>
              <w:rPr>
                <w:rFonts w:ascii="Calibri" w:cs="Calibri" w:eastAsia="Calibri" w:hAnsi="Calibri"/>
                <w:b/>
                <w:bCs/>
                <w:color w:val="0B2545"/>
                <w:sz w:val="20"/>
                <w:szCs w:val="20"/>
              </w:rPr>
              <w:t xml:space="preserve">conditions de bancabilité</w:t>
            </w:r>
            <w:r>
              <w:rPr>
                <w:rFonts w:ascii="Calibri" w:cs="Calibri" w:eastAsia="Calibri" w:hAnsi="Calibri"/>
                <w:color w:val="1F2937"/>
                <w:sz w:val="20"/>
                <w:szCs w:val="20"/>
              </w:rPr>
              <w:t xml:space="preserve">.</w:t>
            </w:r>
          </w:p>
        </w:tc>
      </w:tr>
    </w:tbl>
    <w:p>
      <w:pPr>
        <w:spacing w:after="180"/>
      </w:pPr>
    </w:p>
    <w:p>
      <w:pPr>
        <w:pStyle w:val="Heading2"/>
        <w:keepNext/>
        <w:spacing w:after="100" w:before="240"/>
      </w:pPr>
      <w:r>
        <w:rPr>
          <w:rFonts w:ascii="Calibri" w:cs="Calibri" w:eastAsia="Calibri" w:hAnsi="Calibri"/>
          <w:b/>
          <w:bCs/>
          <w:color w:val="C8962E"/>
          <w:sz w:val="25"/>
          <w:szCs w:val="25"/>
        </w:rPr>
        <w:t xml:space="preserve">11.3  </w:t>
      </w:r>
      <w:r>
        <w:rPr>
          <w:rFonts w:ascii="Calibri" w:cs="Calibri" w:eastAsia="Calibri" w:hAnsi="Calibri"/>
          <w:b/>
          <w:bCs/>
          <w:color w:val="1F4E9E"/>
          <w:sz w:val="25"/>
          <w:szCs w:val="25"/>
        </w:rPr>
        <w:t xml:space="preserve">Priorité des leviers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2800"/>
        <w:gridCol w:w="5938"/>
      </w:tblGrid>
      <w:tr>
        <w:trPr>
          <w:tblHeader/>
        </w:trPr>
        <w:tc>
          <w:tcPr>
            <w:tcW w:type="dxa" w:w="9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Rang</w:t>
            </w:r>
          </w:p>
        </w:tc>
        <w:tc>
          <w:tcPr>
            <w:tcW w:type="dxa" w:w="28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Levier</w:t>
            </w:r>
          </w:p>
        </w:tc>
        <w:tc>
          <w:tcPr>
            <w:tcW w:type="dxa" w:w="59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Action</w:t>
            </w:r>
          </w:p>
        </w:tc>
      </w:tr>
      <w:tr>
        <w:trPr>
          <w:cantSplit/>
        </w:trPr>
        <w:tc>
          <w:tcPr>
            <w:tcW w:type="dxa" w:w="9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1</w:t>
            </w:r>
          </w:p>
        </w:tc>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Tarif et indexation</w:t>
            </w:r>
          </w:p>
        </w:tc>
        <w:tc>
          <w:tcPr>
            <w:tcW w:type="dxa" w:w="59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Refuser un tarif non indexé ou inférieur au plancher bancaire</w:t>
            </w:r>
          </w:p>
        </w:tc>
      </w:tr>
      <w:tr>
        <w:trPr>
          <w:cantSplit/>
        </w:trPr>
        <w:tc>
          <w:tcPr>
            <w:tcW w:type="dxa" w:w="9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2</w:t>
            </w:r>
          </w:p>
        </w:tc>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Volume garanti</w:t>
            </w:r>
          </w:p>
        </w:tc>
        <w:tc>
          <w:tcPr>
            <w:tcW w:type="dxa" w:w="59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Introduire un take-or-pay et un calendrier mensuel</w:t>
            </w:r>
          </w:p>
        </w:tc>
      </w:tr>
      <w:tr>
        <w:trPr>
          <w:cantSplit/>
        </w:trPr>
        <w:tc>
          <w:tcPr>
            <w:tcW w:type="dxa" w:w="9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3</w:t>
            </w:r>
          </w:p>
        </w:tc>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Productivité réelle</w:t>
            </w:r>
          </w:p>
        </w:tc>
        <w:tc>
          <w:tcPr>
            <w:tcW w:type="dxa" w:w="59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Chronométrer le cycle avant tout engagement</w:t>
            </w:r>
          </w:p>
        </w:tc>
      </w:tr>
      <w:tr>
        <w:trPr>
          <w:cantSplit/>
        </w:trPr>
        <w:tc>
          <w:tcPr>
            <w:tcW w:type="dxa" w:w="9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4</w:t>
            </w:r>
          </w:p>
        </w:tc>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Prix d’acquisition</w:t>
            </w:r>
          </w:p>
        </w:tc>
        <w:tc>
          <w:tcPr>
            <w:tcW w:type="dxa" w:w="59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Mettre en concurrence au moins trois constructeurs</w:t>
            </w:r>
          </w:p>
        </w:tc>
      </w:tr>
      <w:tr>
        <w:trPr>
          <w:cantSplit/>
        </w:trPr>
        <w:tc>
          <w:tcPr>
            <w:tcW w:type="dxa" w:w="9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5</w:t>
            </w:r>
          </w:p>
        </w:tc>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Disponibilité mécanique</w:t>
            </w:r>
          </w:p>
        </w:tc>
        <w:tc>
          <w:tcPr>
            <w:tcW w:type="dxa" w:w="59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Garantie, pièces, techniciens constructeur et stock critique</w:t>
            </w:r>
          </w:p>
        </w:tc>
      </w:tr>
      <w:tr>
        <w:trPr>
          <w:cantSplit/>
        </w:trPr>
        <w:tc>
          <w:tcPr>
            <w:tcW w:type="dxa" w:w="9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8"/>
                <w:szCs w:val="18"/>
              </w:rPr>
              <w:t xml:space="preserve">6</w:t>
            </w:r>
          </w:p>
        </w:tc>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Délai de paiement</w:t>
            </w:r>
          </w:p>
        </w:tc>
        <w:tc>
          <w:tcPr>
            <w:tcW w:type="dxa" w:w="59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Compte séquestre ou garantie bancaire de paiement</w:t>
            </w:r>
          </w:p>
        </w:tc>
      </w:tr>
    </w:tbl>
    <w:p>
      <w:pPr>
        <w:spacing w:after="180"/>
      </w:pPr>
    </w:p>
    <w:p>
      <w:pPr>
        <w:pStyle w:val="Heading1"/>
        <w:keepNext/>
        <w:pageBreakBefore/>
        <w:pBdr>
          <w:bottom w:val="single" w:color="C8962E" w:sz="12" w:space="6"/>
        </w:pBdr>
        <w:spacing w:after="80" w:before="0"/>
      </w:pPr>
      <w:r>
        <w:rPr>
          <w:rFonts w:ascii="Calibri" w:cs="Calibri" w:eastAsia="Calibri" w:hAnsi="Calibri"/>
          <w:b/>
          <w:bCs/>
          <w:color w:val="C8962E"/>
          <w:sz w:val="40"/>
          <w:szCs w:val="40"/>
        </w:rPr>
        <w:t xml:space="preserve">12  </w:t>
      </w:r>
      <w:r>
        <w:rPr>
          <w:rFonts w:ascii="Calibri" w:cs="Calibri" w:eastAsia="Calibri" w:hAnsi="Calibri"/>
          <w:b/>
          <w:bCs/>
          <w:color w:val="0B2545"/>
          <w:sz w:val="32"/>
          <w:szCs w:val="32"/>
        </w:rPr>
        <w:t xml:space="preserve">ANALYSE DU RISQUE DE CRÉDIT</w:t>
      </w:r>
    </w:p>
    <w:p>
      <w:pPr>
        <w:spacing w:after="160"/>
      </w:pPr>
    </w:p>
    <w:p>
      <w:pPr>
        <w:spacing w:after="120" w:before="0" w:line="276"/>
        <w:jc w:val="both"/>
      </w:pPr>
      <w:r>
        <w:rPr>
          <w:rFonts w:ascii="Calibri" w:cs="Calibri" w:eastAsia="Calibri" w:hAnsi="Calibri"/>
          <w:color w:val="1F2937"/>
          <w:sz w:val="21"/>
          <w:szCs w:val="21"/>
        </w:rPr>
        <w:t xml:space="preserve">La grille ci-dessous reprend l’analyse des « 5 C » utilisée par les comités de crédit. Elle identifie les points forts du dossier et les conditions à remplir pour obtenir une décision favorable.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3719"/>
        <w:gridCol w:w="3719"/>
      </w:tblGrid>
      <w:tr>
        <w:trPr>
          <w:tblHeader/>
        </w:trPr>
        <w:tc>
          <w:tcPr>
            <w:tcW w:type="dxa" w:w="22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Critère</w:t>
            </w:r>
          </w:p>
        </w:tc>
        <w:tc>
          <w:tcPr>
            <w:tcW w:type="dxa" w:w="3719"/>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Appréciation</w:t>
            </w:r>
          </w:p>
        </w:tc>
        <w:tc>
          <w:tcPr>
            <w:tcW w:type="dxa" w:w="3719"/>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Mesures d’atténuation</w:t>
            </w:r>
          </w:p>
        </w:tc>
      </w:tr>
      <w:tr>
        <w:trPr>
          <w:cantSplit/>
        </w:trPr>
        <w:tc>
          <w:tcPr>
            <w:tcW w:type="dxa" w:w="2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Capacité de remboursement</w:t>
            </w:r>
          </w:p>
        </w:tc>
        <w:tc>
          <w:tcPr>
            <w:tcW w:type="dxa" w:w="37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DSCR de base 1,60x, LLCR 1,60x ; sensibilité forte au tarif et au volume</w:t>
            </w:r>
          </w:p>
        </w:tc>
        <w:tc>
          <w:tcPr>
            <w:tcW w:type="dxa" w:w="37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Take-or-pay, indexation, DSRA 6 mois, remboursement sculpté</w:t>
            </w:r>
          </w:p>
        </w:tc>
      </w:tr>
      <w:tr>
        <w:trPr>
          <w:cantSplit/>
        </w:trPr>
        <w:tc>
          <w:tcPr>
            <w:tcW w:type="dxa" w:w="22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Caractère du sponsor</w:t>
            </w:r>
          </w:p>
        </w:tc>
        <w:tc>
          <w:tcPr>
            <w:tcW w:type="dxa" w:w="37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Promoteur local diversifié ; expérience en transport minier à démontrer</w:t>
            </w:r>
          </w:p>
        </w:tc>
        <w:tc>
          <w:tcPr>
            <w:tcW w:type="dxa" w:w="37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Management expérimenté, assistance technique constructeur, partenaire technique, KYC complet</w:t>
            </w:r>
          </w:p>
        </w:tc>
      </w:tr>
      <w:tr>
        <w:trPr>
          <w:cantSplit/>
        </w:trPr>
        <w:tc>
          <w:tcPr>
            <w:tcW w:type="dxa" w:w="2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Capital</w:t>
            </w:r>
          </w:p>
        </w:tc>
        <w:tc>
          <w:tcPr>
            <w:tcW w:type="dxa" w:w="37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35 % de fonds propres, apportés avant la dette</w:t>
            </w:r>
          </w:p>
        </w:tc>
        <w:tc>
          <w:tcPr>
            <w:tcW w:type="dxa" w:w="37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Garantie de dépassement de coûts pendant la mobilisation</w:t>
            </w:r>
          </w:p>
        </w:tc>
      </w:tr>
      <w:tr>
        <w:trPr>
          <w:cantSplit/>
        </w:trPr>
        <w:tc>
          <w:tcPr>
            <w:tcW w:type="dxa" w:w="22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Collatéral</w:t>
            </w:r>
          </w:p>
        </w:tc>
        <w:tc>
          <w:tcPr>
            <w:tcW w:type="dxa" w:w="37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Flotte et équipements ≈ 18,5 M USD à neuf ; valeur de réalisation forcée estimée à 60–70 %, soit une couverture inférieure à l’encours initial</w:t>
            </w:r>
          </w:p>
        </w:tc>
        <w:tc>
          <w:tcPr>
            <w:tcW w:type="dxa" w:w="37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La sûreté principale est la cession de créances du contrat minier ; assurances déléguées</w:t>
            </w:r>
          </w:p>
        </w:tc>
      </w:tr>
      <w:tr>
        <w:trPr>
          <w:cantSplit/>
        </w:trPr>
        <w:tc>
          <w:tcPr>
            <w:tcW w:type="dxa" w:w="2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Conditions de marché</w:t>
            </w:r>
          </w:p>
        </w:tc>
        <w:tc>
          <w:tcPr>
            <w:tcW w:type="dxa" w:w="37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Marché bauxitique en croissance mais concentré ; risque pays Guinée</w:t>
            </w:r>
          </w:p>
        </w:tc>
        <w:tc>
          <w:tcPr>
            <w:tcW w:type="dxa" w:w="37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Contrat en USD, clients de premier rang, assurance risque politique (ATI, MIGA)</w:t>
            </w:r>
          </w:p>
        </w:tc>
      </w:tr>
    </w:tbl>
    <w:p>
      <w:pPr>
        <w:spacing w:after="1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1F4E9E" w:sz="36"/>
              <w:bottom w:val="none" w:color="FFFFFF" w:sz="0"/>
              <w:right w:val="none" w:color="FFFFFF" w:sz="0"/>
            </w:tcBorders>
            <w:shd w:fill="EEF3FB" w:color="auto" w:val="clear"/>
            <w:tcMar>
              <w:top w:type="dxa" w:w="140"/>
              <w:left w:type="dxa" w:w="240"/>
              <w:bottom w:type="dxa" w:w="140"/>
              <w:right w:type="dxa" w:w="200"/>
            </w:tcMar>
          </w:tcPr>
          <w:p>
            <w:pPr>
              <w:spacing w:after="60"/>
            </w:pPr>
            <w:r>
              <w:rPr>
                <w:rFonts w:ascii="Calibri" w:cs="Calibri" w:eastAsia="Calibri" w:hAnsi="Calibri"/>
                <w:b/>
                <w:bCs/>
                <w:color w:val="0B2545"/>
                <w:spacing w:val="20"/>
                <w:sz w:val="18"/>
                <w:szCs w:val="18"/>
              </w:rPr>
              <w:t xml:space="preserve">POINT DE VIGILANCE DES PRÊTEURS</w:t>
            </w:r>
          </w:p>
          <w:p>
            <w:pPr>
              <w:spacing w:after="40" w:line="264"/>
              <w:jc w:val="both"/>
            </w:pPr>
            <w:r>
              <w:rPr>
                <w:rFonts w:ascii="Calibri" w:cs="Calibri" w:eastAsia="Calibri" w:hAnsi="Calibri"/>
                <w:color w:val="1F2937"/>
                <w:sz w:val="20"/>
                <w:szCs w:val="20"/>
              </w:rPr>
              <w:t xml:space="preserve">Au démarrage, la valeur de revente de la flotte ne couvre pas à elle seule l’encours de la dette. Le crédit repose donc sur la </w:t>
            </w:r>
            <w:r>
              <w:rPr>
                <w:rFonts w:ascii="Calibri" w:cs="Calibri" w:eastAsia="Calibri" w:hAnsi="Calibri"/>
                <w:b/>
                <w:bCs/>
                <w:color w:val="0B2545"/>
                <w:sz w:val="20"/>
                <w:szCs w:val="20"/>
              </w:rPr>
              <w:t xml:space="preserve">qualité du contrat et du client minier</w:t>
            </w:r>
            <w:r>
              <w:rPr>
                <w:rFonts w:ascii="Calibri" w:cs="Calibri" w:eastAsia="Calibri" w:hAnsi="Calibri"/>
                <w:color w:val="1F2937"/>
                <w:sz w:val="20"/>
                <w:szCs w:val="20"/>
              </w:rPr>
              <w:t xml:space="preserve"> (financement adossé aux flux). La solidité financière du donneur d’ordre, sa notation et son historique de paiement seront au cœur de la due diligence.</w:t>
            </w:r>
          </w:p>
        </w:tc>
      </w:tr>
    </w:tbl>
    <w:p>
      <w:pPr>
        <w:spacing w:after="180"/>
      </w:pPr>
    </w:p>
    <w:p>
      <w:pPr>
        <w:pStyle w:val="Heading1"/>
        <w:keepNext/>
        <w:pageBreakBefore/>
        <w:pBdr>
          <w:bottom w:val="single" w:color="C8962E" w:sz="12" w:space="6"/>
        </w:pBdr>
        <w:spacing w:after="80" w:before="0"/>
      </w:pPr>
      <w:r>
        <w:rPr>
          <w:rFonts w:ascii="Calibri" w:cs="Calibri" w:eastAsia="Calibri" w:hAnsi="Calibri"/>
          <w:b/>
          <w:bCs/>
          <w:color w:val="C8962E"/>
          <w:sz w:val="40"/>
          <w:szCs w:val="40"/>
        </w:rPr>
        <w:t xml:space="preserve">13  </w:t>
      </w:r>
      <w:r>
        <w:rPr>
          <w:rFonts w:ascii="Calibri" w:cs="Calibri" w:eastAsia="Calibri" w:hAnsi="Calibri"/>
          <w:b/>
          <w:bCs/>
          <w:color w:val="0B2545"/>
          <w:sz w:val="32"/>
          <w:szCs w:val="32"/>
        </w:rPr>
        <w:t xml:space="preserve">GOUVERNANCE, CONFORMITÉ ET REPORTING</w:t>
      </w:r>
    </w:p>
    <w:p>
      <w:pPr>
        <w:spacing w:after="160"/>
      </w:pPr>
    </w:p>
    <w:p>
      <w:pPr>
        <w:pStyle w:val="Heading2"/>
        <w:keepNext/>
        <w:spacing w:after="100" w:before="240"/>
      </w:pPr>
      <w:r>
        <w:rPr>
          <w:rFonts w:ascii="Calibri" w:cs="Calibri" w:eastAsia="Calibri" w:hAnsi="Calibri"/>
          <w:b/>
          <w:bCs/>
          <w:color w:val="C8962E"/>
          <w:sz w:val="25"/>
          <w:szCs w:val="25"/>
        </w:rPr>
        <w:t xml:space="preserve">13.1  </w:t>
      </w:r>
      <w:r>
        <w:rPr>
          <w:rFonts w:ascii="Calibri" w:cs="Calibri" w:eastAsia="Calibri" w:hAnsi="Calibri"/>
          <w:b/>
          <w:bCs/>
          <w:color w:val="1F4E9E"/>
          <w:sz w:val="25"/>
          <w:szCs w:val="25"/>
        </w:rPr>
        <w:t xml:space="preserve">Gouvernance d’entreprise</w:t>
      </w:r>
    </w:p>
    <w:p>
      <w:pPr>
        <w:pStyle w:val="ListParagraph"/>
        <w:numPr>
          <w:ilvl w:val="0"/>
          <w:numId w:val="2"/>
        </w:numPr>
        <w:spacing w:after="60" w:line="264"/>
        <w:jc w:val="left"/>
      </w:pPr>
      <w:r>
        <w:rPr>
          <w:rFonts w:ascii="Calibri" w:cs="Calibri" w:eastAsia="Calibri" w:hAnsi="Calibri"/>
          <w:color w:val="1F2937"/>
          <w:sz w:val="21"/>
          <w:szCs w:val="21"/>
        </w:rPr>
        <w:t xml:space="preserve">Conseil d’administration comprenant au moins un administrateur indépendant ; comité d’audit et des risques.</w:t>
      </w:r>
    </w:p>
    <w:p>
      <w:pPr>
        <w:pStyle w:val="ListParagraph"/>
        <w:numPr>
          <w:ilvl w:val="0"/>
          <w:numId w:val="2"/>
        </w:numPr>
        <w:spacing w:after="60" w:line="264"/>
        <w:jc w:val="left"/>
      </w:pPr>
      <w:r>
        <w:rPr>
          <w:rFonts w:ascii="Calibri" w:cs="Calibri" w:eastAsia="Calibri" w:hAnsi="Calibri"/>
          <w:color w:val="1F2937"/>
          <w:sz w:val="21"/>
          <w:szCs w:val="21"/>
        </w:rPr>
        <w:t xml:space="preserve">Séparation des fonctions d’engagement, de paiement et de contrôle ; double signature au-delà de seuils définis.</w:t>
      </w:r>
    </w:p>
    <w:p>
      <w:pPr>
        <w:pStyle w:val="ListParagraph"/>
        <w:numPr>
          <w:ilvl w:val="0"/>
          <w:numId w:val="2"/>
        </w:numPr>
        <w:spacing w:after="60" w:line="264"/>
        <w:jc w:val="left"/>
      </w:pPr>
      <w:r>
        <w:rPr>
          <w:rFonts w:ascii="Calibri" w:cs="Calibri" w:eastAsia="Calibri" w:hAnsi="Calibri"/>
          <w:color w:val="1F2937"/>
          <w:sz w:val="21"/>
          <w:szCs w:val="21"/>
        </w:rPr>
        <w:t xml:space="preserve">Politique d’achats avec mise en concurrence documentée et registre des conflits d’intérêts.</w:t>
      </w:r>
    </w:p>
    <w:p>
      <w:pPr>
        <w:pStyle w:val="Heading2"/>
        <w:keepNext/>
        <w:spacing w:after="100" w:before="240"/>
      </w:pPr>
      <w:r>
        <w:rPr>
          <w:rFonts w:ascii="Calibri" w:cs="Calibri" w:eastAsia="Calibri" w:hAnsi="Calibri"/>
          <w:b/>
          <w:bCs/>
          <w:color w:val="C8962E"/>
          <w:sz w:val="25"/>
          <w:szCs w:val="25"/>
        </w:rPr>
        <w:t xml:space="preserve">13.2  </w:t>
      </w:r>
      <w:r>
        <w:rPr>
          <w:rFonts w:ascii="Calibri" w:cs="Calibri" w:eastAsia="Calibri" w:hAnsi="Calibri"/>
          <w:b/>
          <w:bCs/>
          <w:color w:val="1F4E9E"/>
          <w:sz w:val="25"/>
          <w:szCs w:val="25"/>
        </w:rPr>
        <w:t xml:space="preserve">Conformité et intégrité</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00"/>
        <w:gridCol w:w="6438"/>
      </w:tblGrid>
      <w:tr>
        <w:trPr>
          <w:tblHeader/>
        </w:trPr>
        <w:tc>
          <w:tcPr>
            <w:tcW w:type="dxa" w:w="32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Domaine</w:t>
            </w:r>
          </w:p>
        </w:tc>
        <w:tc>
          <w:tcPr>
            <w:tcW w:type="dxa" w:w="64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Exigence</w:t>
            </w:r>
          </w:p>
        </w:tc>
      </w:tr>
      <w:tr>
        <w:trPr>
          <w:cantSplit/>
        </w:trPr>
        <w:tc>
          <w:tcPr>
            <w:tcW w:type="dxa" w:w="3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Connaissance du client (KYC)</w:t>
            </w:r>
          </w:p>
        </w:tc>
        <w:tc>
          <w:tcPr>
            <w:tcW w:type="dxa" w:w="64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Identification des actionnaires et bénéficiaires effectifs, vérification des personnes politiquement exposées</w:t>
            </w:r>
          </w:p>
        </w:tc>
      </w:tr>
      <w:tr>
        <w:trPr>
          <w:cantSplit/>
        </w:trPr>
        <w:tc>
          <w:tcPr>
            <w:tcW w:type="dxa" w:w="32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Lutte contre le blanchiment (LBC/FT)</w:t>
            </w:r>
          </w:p>
        </w:tc>
        <w:tc>
          <w:tcPr>
            <w:tcW w:type="dxa" w:w="64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Procédures alignées sur les recommandations du GAFI et la réglementation BCRG</w:t>
            </w:r>
          </w:p>
        </w:tc>
      </w:tr>
      <w:tr>
        <w:trPr>
          <w:cantSplit/>
        </w:trPr>
        <w:tc>
          <w:tcPr>
            <w:tcW w:type="dxa" w:w="3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Anti-corruption</w:t>
            </w:r>
          </w:p>
        </w:tc>
        <w:tc>
          <w:tcPr>
            <w:tcW w:type="dxa" w:w="64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Code de conduite, politique cadeaux et paiements de facilitation, clauses anti-corruption dans tous les contrats ; conformité aux conventions OCDE et ONU</w:t>
            </w:r>
          </w:p>
        </w:tc>
      </w:tr>
      <w:tr>
        <w:trPr>
          <w:cantSplit/>
        </w:trPr>
        <w:tc>
          <w:tcPr>
            <w:tcW w:type="dxa" w:w="32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Sanctions internationales</w:t>
            </w:r>
          </w:p>
        </w:tc>
        <w:tc>
          <w:tcPr>
            <w:tcW w:type="dxa" w:w="64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Filtrage des contreparties et fournisseurs (listes ONU, UE, OFAC)</w:t>
            </w:r>
          </w:p>
        </w:tc>
      </w:tr>
      <w:tr>
        <w:trPr>
          <w:cantSplit/>
        </w:trPr>
        <w:tc>
          <w:tcPr>
            <w:tcW w:type="dxa" w:w="3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Transparence</w:t>
            </w:r>
          </w:p>
        </w:tc>
        <w:tc>
          <w:tcPr>
            <w:tcW w:type="dxa" w:w="64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Déclaration des paiements au secteur extractif conforme aux exigences ITIE</w:t>
            </w:r>
          </w:p>
        </w:tc>
      </w:tr>
    </w:tbl>
    <w:p>
      <w:pPr>
        <w:spacing w:after="180"/>
      </w:pPr>
    </w:p>
    <w:p>
      <w:pPr>
        <w:pStyle w:val="Heading2"/>
        <w:keepNext/>
        <w:spacing w:after="100" w:before="240"/>
      </w:pPr>
      <w:r>
        <w:rPr>
          <w:rFonts w:ascii="Calibri" w:cs="Calibri" w:eastAsia="Calibri" w:hAnsi="Calibri"/>
          <w:b/>
          <w:bCs/>
          <w:color w:val="C8962E"/>
          <w:sz w:val="25"/>
          <w:szCs w:val="25"/>
        </w:rPr>
        <w:t xml:space="preserve">13.3  </w:t>
      </w:r>
      <w:r>
        <w:rPr>
          <w:rFonts w:ascii="Calibri" w:cs="Calibri" w:eastAsia="Calibri" w:hAnsi="Calibri"/>
          <w:b/>
          <w:bCs/>
          <w:color w:val="1F4E9E"/>
          <w:sz w:val="25"/>
          <w:szCs w:val="25"/>
        </w:rPr>
        <w:t xml:space="preserve">Reporting aux prêteurs et investisseurs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38"/>
        <w:gridCol w:w="2400"/>
        <w:gridCol w:w="2400"/>
      </w:tblGrid>
      <w:tr>
        <w:trPr>
          <w:tblHeader/>
        </w:trPr>
        <w:tc>
          <w:tcPr>
            <w:tcW w:type="dxa" w:w="48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Document</w:t>
            </w:r>
          </w:p>
        </w:tc>
        <w:tc>
          <w:tcPr>
            <w:tcW w:type="dxa" w:w="24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Fréquence</w:t>
            </w:r>
          </w:p>
        </w:tc>
        <w:tc>
          <w:tcPr>
            <w:tcW w:type="dxa" w:w="24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Délai</w:t>
            </w:r>
          </w:p>
        </w:tc>
      </w:tr>
      <w:tr>
        <w:trPr>
          <w:cantSplit/>
        </w:trPr>
        <w:tc>
          <w:tcPr>
            <w:tcW w:type="dxa" w:w="48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Rapport opérationnel (tonnages, disponibilité, HSE)</w:t>
            </w:r>
          </w:p>
        </w:tc>
        <w:tc>
          <w:tcPr>
            <w:tcW w:type="dxa" w:w="2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Mensuel</w:t>
            </w:r>
          </w:p>
        </w:tc>
        <w:tc>
          <w:tcPr>
            <w:tcW w:type="dxa" w:w="2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15 jours</w:t>
            </w:r>
          </w:p>
        </w:tc>
      </w:tr>
      <w:tr>
        <w:trPr>
          <w:cantSplit/>
        </w:trPr>
        <w:tc>
          <w:tcPr>
            <w:tcW w:type="dxa" w:w="48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Comptes de gestion et suivi budgétaire</w:t>
            </w:r>
          </w:p>
        </w:tc>
        <w:tc>
          <w:tcPr>
            <w:tcW w:type="dxa" w:w="2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Trimestriel</w:t>
            </w:r>
          </w:p>
        </w:tc>
        <w:tc>
          <w:tcPr>
            <w:tcW w:type="dxa" w:w="2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45 jours</w:t>
            </w:r>
          </w:p>
        </w:tc>
      </w:tr>
      <w:tr>
        <w:trPr>
          <w:cantSplit/>
        </w:trPr>
        <w:tc>
          <w:tcPr>
            <w:tcW w:type="dxa" w:w="48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Certificat de conformité aux ratios</w:t>
            </w:r>
          </w:p>
        </w:tc>
        <w:tc>
          <w:tcPr>
            <w:tcW w:type="dxa" w:w="2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Semestriel</w:t>
            </w:r>
          </w:p>
        </w:tc>
        <w:tc>
          <w:tcPr>
            <w:tcW w:type="dxa" w:w="2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60 jours</w:t>
            </w:r>
          </w:p>
        </w:tc>
      </w:tr>
      <w:tr>
        <w:trPr>
          <w:cantSplit/>
        </w:trPr>
        <w:tc>
          <w:tcPr>
            <w:tcW w:type="dxa" w:w="48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États financiers audités (IFRS et SYSCOHADA)</w:t>
            </w:r>
          </w:p>
        </w:tc>
        <w:tc>
          <w:tcPr>
            <w:tcW w:type="dxa" w:w="2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Annuel</w:t>
            </w:r>
          </w:p>
        </w:tc>
        <w:tc>
          <w:tcPr>
            <w:tcW w:type="dxa" w:w="2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120 jours</w:t>
            </w:r>
          </w:p>
        </w:tc>
      </w:tr>
      <w:tr>
        <w:trPr>
          <w:cantSplit/>
        </w:trPr>
        <w:tc>
          <w:tcPr>
            <w:tcW w:type="dxa" w:w="48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Rapport de suivi environnemental et social</w:t>
            </w:r>
          </w:p>
        </w:tc>
        <w:tc>
          <w:tcPr>
            <w:tcW w:type="dxa" w:w="2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Annuel</w:t>
            </w:r>
          </w:p>
        </w:tc>
        <w:tc>
          <w:tcPr>
            <w:tcW w:type="dxa" w:w="2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90 jours</w:t>
            </w:r>
          </w:p>
        </w:tc>
      </w:tr>
      <w:tr>
        <w:trPr>
          <w:cantSplit/>
        </w:trPr>
        <w:tc>
          <w:tcPr>
            <w:tcW w:type="dxa" w:w="48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Modèle financier mis à jour et budget</w:t>
            </w:r>
          </w:p>
        </w:tc>
        <w:tc>
          <w:tcPr>
            <w:tcW w:type="dxa" w:w="2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Annuel</w:t>
            </w:r>
          </w:p>
        </w:tc>
        <w:tc>
          <w:tcPr>
            <w:tcW w:type="dxa" w:w="2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Avant le début de l’exercice</w:t>
            </w:r>
          </w:p>
        </w:tc>
      </w:tr>
    </w:tbl>
    <w:p>
      <w:pPr>
        <w:spacing w:after="180"/>
      </w:pPr>
    </w:p>
    <w:p>
      <w:pPr>
        <w:spacing w:after="120" w:before="0" w:line="276"/>
        <w:jc w:val="both"/>
      </w:pPr>
      <w:r>
        <w:rPr>
          <w:rFonts w:ascii="Calibri" w:cs="Calibri" w:eastAsia="Calibri" w:hAnsi="Calibri"/>
          <w:color w:val="1F2937"/>
          <w:sz w:val="21"/>
          <w:szCs w:val="21"/>
        </w:rPr>
        <w:t xml:space="preserve">Les comptes seront audités par un cabinet d’audit de réputation internationale. Un ingénieur indépendant des prêteurs pourra être mandaté pour valider les hypothèses techniques et suivre la mobilisation.</w:t>
      </w:r>
    </w:p>
    <w:p>
      <w:pPr>
        <w:pStyle w:val="Heading1"/>
        <w:keepNext/>
        <w:pageBreakBefore/>
        <w:pBdr>
          <w:bottom w:val="single" w:color="C8962E" w:sz="12" w:space="6"/>
        </w:pBdr>
        <w:spacing w:after="80" w:before="0"/>
      </w:pPr>
      <w:r>
        <w:rPr>
          <w:rFonts w:ascii="Calibri" w:cs="Calibri" w:eastAsia="Calibri" w:hAnsi="Calibri"/>
          <w:b/>
          <w:bCs/>
          <w:color w:val="C8962E"/>
          <w:sz w:val="40"/>
          <w:szCs w:val="40"/>
        </w:rPr>
        <w:t xml:space="preserve">14  </w:t>
      </w:r>
      <w:r>
        <w:rPr>
          <w:rFonts w:ascii="Calibri" w:cs="Calibri" w:eastAsia="Calibri" w:hAnsi="Calibri"/>
          <w:b/>
          <w:bCs/>
          <w:color w:val="0B2545"/>
          <w:sz w:val="32"/>
          <w:szCs w:val="32"/>
        </w:rPr>
        <w:t xml:space="preserve">PLAN DE MISE EN ŒUVRE</w:t>
      </w:r>
    </w:p>
    <w:p>
      <w:pPr>
        <w:spacing w:after="160"/>
      </w:pPr>
    </w:p>
    <w:p>
      <w:pPr>
        <w:pStyle w:val="Heading2"/>
        <w:keepNext/>
        <w:spacing w:after="100" w:before="240"/>
      </w:pPr>
      <w:r>
        <w:rPr>
          <w:rFonts w:ascii="Calibri" w:cs="Calibri" w:eastAsia="Calibri" w:hAnsi="Calibri"/>
          <w:b/>
          <w:bCs/>
          <w:color w:val="C8962E"/>
          <w:sz w:val="25"/>
          <w:szCs w:val="25"/>
        </w:rPr>
        <w:t xml:space="preserve">14.1  </w:t>
      </w:r>
      <w:r>
        <w:rPr>
          <w:rFonts w:ascii="Calibri" w:cs="Calibri" w:eastAsia="Calibri" w:hAnsi="Calibri"/>
          <w:b/>
          <w:bCs/>
          <w:color w:val="1F4E9E"/>
          <w:sz w:val="25"/>
          <w:szCs w:val="25"/>
        </w:rPr>
        <w:t xml:space="preserve">Phasage</w:t>
      </w:r>
    </w:p>
    <w:p>
      <w:pPr>
        <w:keepNext/>
        <w:spacing w:after="40" w:before="80"/>
        <w:jc w:val="center"/>
      </w:pPr>
      <w:r>
        <w:drawing>
          <wp:inline distT="0" distB="0" distL="0" distR="0">
            <wp:extent cx="5905500" cy="2667000"/>
            <wp:effectExtent t="0" r="0" b="0" l="0"/>
            <wp:docPr id="1" name="fig8" descr="Calendrier indicatif de mobilisation sur 12 mois (année 0)" title="Calendrier indicatif de mobilisation sur 12 mois (anné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667000"/>
                    </a:xfrm>
                    <a:prstGeom prst="rect">
                      <a:avLst/>
                    </a:prstGeom>
                  </pic:spPr>
                </pic:pic>
              </a:graphicData>
            </a:graphic>
          </wp:inline>
        </w:drawing>
      </w:r>
    </w:p>
    <w:p>
      <w:pPr>
        <w:spacing w:after="180"/>
        <w:jc w:val="left"/>
      </w:pPr>
      <w:r>
        <w:rPr>
          <w:rFonts w:ascii="Calibri" w:cs="Calibri" w:eastAsia="Calibri" w:hAnsi="Calibri"/>
          <w:b/>
          <w:bCs/>
          <w:color w:val="1F4E9E"/>
          <w:sz w:val="17"/>
          <w:szCs w:val="17"/>
        </w:rPr>
        <w:t xml:space="preserve">Figure 8 — </w:t>
      </w:r>
      <w:r>
        <w:rPr>
          <w:rFonts w:ascii="Calibri" w:cs="Calibri" w:eastAsia="Calibri" w:hAnsi="Calibri"/>
          <w:i/>
          <w:iCs/>
          <w:color w:val="6B7280"/>
          <w:sz w:val="17"/>
          <w:szCs w:val="17"/>
        </w:rPr>
        <w:t xml:space="preserve">Calendrier indicatif de mobilisation sur 12 mois (année 0)</w:t>
      </w:r>
    </w:p>
    <w:p>
      <w:pPr>
        <w:pStyle w:val="Heading2"/>
        <w:keepNext/>
        <w:spacing w:after="100" w:before="240"/>
      </w:pPr>
      <w:r>
        <w:rPr>
          <w:rFonts w:ascii="Calibri" w:cs="Calibri" w:eastAsia="Calibri" w:hAnsi="Calibri"/>
          <w:b/>
          <w:bCs/>
          <w:color w:val="C8962E"/>
          <w:sz w:val="25"/>
          <w:szCs w:val="25"/>
        </w:rPr>
        <w:t xml:space="preserve">14.2  </w:t>
      </w:r>
      <w:r>
        <w:rPr>
          <w:rFonts w:ascii="Calibri" w:cs="Calibri" w:eastAsia="Calibri" w:hAnsi="Calibri"/>
          <w:b/>
          <w:bCs/>
          <w:color w:val="1F4E9E"/>
          <w:sz w:val="25"/>
          <w:szCs w:val="25"/>
        </w:rPr>
        <w:t xml:space="preserve">Jalons de décision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4038"/>
        <w:gridCol w:w="2800"/>
      </w:tblGrid>
      <w:tr>
        <w:trPr>
          <w:tblHeader/>
        </w:trPr>
        <w:tc>
          <w:tcPr>
            <w:tcW w:type="dxa" w:w="28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Jalon</w:t>
            </w:r>
          </w:p>
        </w:tc>
        <w:tc>
          <w:tcPr>
            <w:tcW w:type="dxa" w:w="40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Livrable</w:t>
            </w:r>
          </w:p>
        </w:tc>
        <w:tc>
          <w:tcPr>
            <w:tcW w:type="dxa" w:w="28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Décision</w:t>
            </w:r>
          </w:p>
        </w:tc>
      </w:tr>
      <w:tr>
        <w:trPr>
          <w:cantSplit/>
        </w:trPr>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J1 — Préfaisabilité</w:t>
            </w:r>
          </w:p>
        </w:tc>
        <w:tc>
          <w:tcPr>
            <w:tcW w:type="dxa" w:w="40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Étude de corridor, besoin client, modèle économique</w:t>
            </w:r>
          </w:p>
        </w:tc>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Poursuivre ou arrêter</w:t>
            </w:r>
          </w:p>
        </w:tc>
      </w:tr>
      <w:tr>
        <w:trPr>
          <w:cantSplit/>
        </w:trPr>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J2 — Offre commerciale</w:t>
            </w:r>
          </w:p>
        </w:tc>
        <w:tc>
          <w:tcPr>
            <w:tcW w:type="dxa" w:w="40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Tarif, SLA, volume, projet de contrat</w:t>
            </w:r>
          </w:p>
        </w:tc>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Entrer en négociation finale</w:t>
            </w:r>
          </w:p>
        </w:tc>
      </w:tr>
      <w:tr>
        <w:trPr>
          <w:cantSplit/>
        </w:trPr>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J3 — Due diligence</w:t>
            </w:r>
          </w:p>
        </w:tc>
        <w:tc>
          <w:tcPr>
            <w:tcW w:type="dxa" w:w="40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Juridique, fiscale, technique, E&amp;S, contrepartie</w:t>
            </w:r>
          </w:p>
        </w:tc>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Approuver l’investissement</w:t>
            </w:r>
          </w:p>
        </w:tc>
      </w:tr>
      <w:tr>
        <w:trPr>
          <w:cantSplit/>
        </w:trPr>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J4 — Bouclage financier</w:t>
            </w:r>
          </w:p>
        </w:tc>
        <w:tc>
          <w:tcPr>
            <w:tcW w:type="dxa" w:w="40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Documentation de crédit signée, conditions préalables levées</w:t>
            </w:r>
          </w:p>
        </w:tc>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Commande ferme</w:t>
            </w:r>
          </w:p>
        </w:tc>
      </w:tr>
      <w:tr>
        <w:trPr>
          <w:cantSplit/>
        </w:trPr>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J5 — Réception usine</w:t>
            </w:r>
          </w:p>
        </w:tc>
        <w:tc>
          <w:tcPr>
            <w:tcW w:type="dxa" w:w="40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Inspection des véhicules</w:t>
            </w:r>
          </w:p>
        </w:tc>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Autoriser l’expédition</w:t>
            </w:r>
          </w:p>
        </w:tc>
      </w:tr>
      <w:tr>
        <w:trPr>
          <w:cantSplit/>
        </w:trPr>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J6 — Pilote 20 camions</w:t>
            </w:r>
          </w:p>
        </w:tc>
        <w:tc>
          <w:tcPr>
            <w:tcW w:type="dxa" w:w="40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Productivité et sécurité validées</w:t>
            </w:r>
          </w:p>
        </w:tc>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Monter à 100 camions</w:t>
            </w:r>
          </w:p>
        </w:tc>
      </w:tr>
      <w:tr>
        <w:trPr>
          <w:cantSplit/>
        </w:trPr>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J7 — Réception définitive</w:t>
            </w:r>
          </w:p>
        </w:tc>
        <w:tc>
          <w:tcPr>
            <w:tcW w:type="dxa" w:w="40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Performance sur 90 jours</w:t>
            </w:r>
          </w:p>
        </w:tc>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Clôturer la mobilisation</w:t>
            </w:r>
          </w:p>
        </w:tc>
      </w:tr>
    </w:tbl>
    <w:p>
      <w:pPr>
        <w:spacing w:after="180"/>
      </w:pPr>
    </w:p>
    <w:p>
      <w:pPr>
        <w:pStyle w:val="Heading2"/>
        <w:keepNext/>
        <w:spacing w:after="100" w:before="240"/>
      </w:pPr>
      <w:r>
        <w:rPr>
          <w:rFonts w:ascii="Calibri" w:cs="Calibri" w:eastAsia="Calibri" w:hAnsi="Calibri"/>
          <w:b/>
          <w:bCs/>
          <w:color w:val="C8962E"/>
          <w:sz w:val="25"/>
          <w:szCs w:val="25"/>
        </w:rPr>
        <w:t xml:space="preserve">14.3  </w:t>
      </w:r>
      <w:r>
        <w:rPr>
          <w:rFonts w:ascii="Calibri" w:cs="Calibri" w:eastAsia="Calibri" w:hAnsi="Calibri"/>
          <w:b/>
          <w:bCs/>
          <w:color w:val="1F4E9E"/>
          <w:sz w:val="25"/>
          <w:szCs w:val="25"/>
        </w:rPr>
        <w:t xml:space="preserve">Plan des 100 premiers jours d’exploitation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7638"/>
      </w:tblGrid>
      <w:tr>
        <w:trPr>
          <w:tblHeader/>
        </w:trPr>
        <w:tc>
          <w:tcPr>
            <w:tcW w:type="dxa" w:w="2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Période</w:t>
            </w:r>
          </w:p>
        </w:tc>
        <w:tc>
          <w:tcPr>
            <w:tcW w:type="dxa" w:w="76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Priorités</w:t>
            </w:r>
          </w:p>
        </w:tc>
      </w:tr>
      <w:tr>
        <w:trPr>
          <w:cantSplit/>
        </w:trPr>
        <w:tc>
          <w:tcPr>
            <w:tcW w:type="dxa" w:w="2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Jours 1–30</w:t>
            </w:r>
          </w:p>
        </w:tc>
        <w:tc>
          <w:tcPr>
            <w:tcW w:type="dxa" w:w="7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Stabiliser inspections, carburant, dispatch, pesage, maintenance et reporting</w:t>
            </w:r>
          </w:p>
        </w:tc>
      </w:tr>
      <w:tr>
        <w:trPr>
          <w:cantSplit/>
        </w:trPr>
        <w:tc>
          <w:tcPr>
            <w:tcW w:type="dxa" w:w="2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Jours 31–60</w:t>
            </w:r>
          </w:p>
        </w:tc>
        <w:tc>
          <w:tcPr>
            <w:tcW w:type="dxa" w:w="7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Réduire les temps d’attente, analyser les pannes récurrentes, ajuster stocks et roster</w:t>
            </w:r>
          </w:p>
        </w:tc>
      </w:tr>
      <w:tr>
        <w:trPr>
          <w:cantSplit/>
        </w:trPr>
        <w:tc>
          <w:tcPr>
            <w:tcW w:type="dxa" w:w="2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Jours 61–100</w:t>
            </w:r>
          </w:p>
        </w:tc>
        <w:tc>
          <w:tcPr>
            <w:tcW w:type="dxa" w:w="7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Valider les coûts unitaires, la performance contractuelle, le bonus/malus et le plan d’amélioration</w:t>
            </w:r>
          </w:p>
        </w:tc>
      </w:tr>
    </w:tbl>
    <w:p>
      <w:pPr>
        <w:spacing w:after="180"/>
      </w:pPr>
    </w:p>
    <w:p>
      <w:pPr>
        <w:pStyle w:val="Heading1"/>
        <w:keepNext/>
        <w:pageBreakBefore/>
        <w:pBdr>
          <w:bottom w:val="single" w:color="C8962E" w:sz="12" w:space="6"/>
        </w:pBdr>
        <w:spacing w:after="80" w:before="0"/>
      </w:pPr>
      <w:r>
        <w:rPr>
          <w:rFonts w:ascii="Calibri" w:cs="Calibri" w:eastAsia="Calibri" w:hAnsi="Calibri"/>
          <w:b/>
          <w:bCs/>
          <w:color w:val="C8962E"/>
          <w:sz w:val="40"/>
          <w:szCs w:val="40"/>
        </w:rPr>
        <w:t xml:space="preserve">15  </w:t>
      </w:r>
      <w:r>
        <w:rPr>
          <w:rFonts w:ascii="Calibri" w:cs="Calibri" w:eastAsia="Calibri" w:hAnsi="Calibri"/>
          <w:b/>
          <w:bCs/>
          <w:color w:val="0B2545"/>
          <w:sz w:val="32"/>
          <w:szCs w:val="32"/>
        </w:rPr>
        <w:t xml:space="preserve">RISQUES STRATÉGIQUES ET MESURES DE MAÎTRISE</w:t>
      </w:r>
    </w:p>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1300"/>
        <w:gridCol w:w="1500"/>
        <w:gridCol w:w="4038"/>
      </w:tblGrid>
      <w:tr>
        <w:trPr>
          <w:tblHeader/>
        </w:trPr>
        <w:tc>
          <w:tcPr>
            <w:tcW w:type="dxa" w:w="28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Risque</w:t>
            </w:r>
          </w:p>
        </w:tc>
        <w:tc>
          <w:tcPr>
            <w:tcW w:type="dxa" w:w="13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Impact</w:t>
            </w:r>
          </w:p>
        </w:tc>
        <w:tc>
          <w:tcPr>
            <w:tcW w:type="dxa" w:w="15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Probabilité</w:t>
            </w:r>
          </w:p>
        </w:tc>
        <w:tc>
          <w:tcPr>
            <w:tcW w:type="dxa" w:w="40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Mesure principale</w:t>
            </w:r>
          </w:p>
        </w:tc>
      </w:tr>
      <w:tr>
        <w:trPr>
          <w:cantSplit/>
        </w:trPr>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Absence de contrat ferme</w:t>
            </w:r>
          </w:p>
        </w:tc>
        <w:tc>
          <w:tcPr>
            <w:tcW w:type="dxa" w:w="13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Très élevé</w:t>
            </w:r>
          </w:p>
        </w:tc>
        <w:tc>
          <w:tcPr>
            <w:tcW w:type="dxa" w:w="15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Élevée</w:t>
            </w:r>
          </w:p>
        </w:tc>
        <w:tc>
          <w:tcPr>
            <w:tcW w:type="dxa" w:w="40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Ne pas commander avant contrat et garanties</w:t>
            </w:r>
          </w:p>
        </w:tc>
      </w:tr>
      <w:tr>
        <w:trPr>
          <w:cantSplit/>
        </w:trPr>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Volume insuffisant</w:t>
            </w:r>
          </w:p>
        </w:tc>
        <w:tc>
          <w:tcPr>
            <w:tcW w:type="dxa" w:w="13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Élevé</w:t>
            </w:r>
          </w:p>
        </w:tc>
        <w:tc>
          <w:tcPr>
            <w:tcW w:type="dxa" w:w="15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Moyenne</w:t>
            </w:r>
          </w:p>
        </w:tc>
        <w:tc>
          <w:tcPr>
            <w:tcW w:type="dxa" w:w="40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Take-or-pay et diversification client</w:t>
            </w:r>
          </w:p>
        </w:tc>
      </w:tr>
      <w:tr>
        <w:trPr>
          <w:cantSplit/>
        </w:trPr>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Hausse du diesel</w:t>
            </w:r>
          </w:p>
        </w:tc>
        <w:tc>
          <w:tcPr>
            <w:tcW w:type="dxa" w:w="13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Très élevé</w:t>
            </w:r>
          </w:p>
        </w:tc>
        <w:tc>
          <w:tcPr>
            <w:tcW w:type="dxa" w:w="15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Élevée</w:t>
            </w:r>
          </w:p>
        </w:tc>
        <w:tc>
          <w:tcPr>
            <w:tcW w:type="dxa" w:w="40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Indexation ou fourniture par le client</w:t>
            </w:r>
          </w:p>
        </w:tc>
      </w:tr>
      <w:tr>
        <w:trPr>
          <w:cantSplit/>
        </w:trPr>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Dégradation de la route</w:t>
            </w:r>
          </w:p>
        </w:tc>
        <w:tc>
          <w:tcPr>
            <w:tcW w:type="dxa" w:w="13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Très élevé</w:t>
            </w:r>
          </w:p>
        </w:tc>
        <w:tc>
          <w:tcPr>
            <w:tcW w:type="dxa" w:w="15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Élevée</w:t>
            </w:r>
          </w:p>
        </w:tc>
        <w:tc>
          <w:tcPr>
            <w:tcW w:type="dxa" w:w="40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SLA route, audit et pénalités</w:t>
            </w:r>
          </w:p>
        </w:tc>
      </w:tr>
      <w:tr>
        <w:trPr>
          <w:cantSplit/>
        </w:trPr>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Retard de paiement</w:t>
            </w:r>
          </w:p>
        </w:tc>
        <w:tc>
          <w:tcPr>
            <w:tcW w:type="dxa" w:w="13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Très élevé</w:t>
            </w:r>
          </w:p>
        </w:tc>
        <w:tc>
          <w:tcPr>
            <w:tcW w:type="dxa" w:w="15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Moyenne</w:t>
            </w:r>
          </w:p>
        </w:tc>
        <w:tc>
          <w:tcPr>
            <w:tcW w:type="dxa" w:w="40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Séquestre, garantie bancaire, facturation fréquente</w:t>
            </w:r>
          </w:p>
        </w:tc>
      </w:tr>
      <w:tr>
        <w:trPr>
          <w:cantSplit/>
        </w:trPr>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Pannes et pièces</w:t>
            </w:r>
          </w:p>
        </w:tc>
        <w:tc>
          <w:tcPr>
            <w:tcW w:type="dxa" w:w="13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Élevé</w:t>
            </w:r>
          </w:p>
        </w:tc>
        <w:tc>
          <w:tcPr>
            <w:tcW w:type="dxa" w:w="15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Moyenne</w:t>
            </w:r>
          </w:p>
        </w:tc>
        <w:tc>
          <w:tcPr>
            <w:tcW w:type="dxa" w:w="40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Garantie constructeur, stock critique, atelier, MRA</w:t>
            </w:r>
          </w:p>
        </w:tc>
      </w:tr>
      <w:tr>
        <w:trPr>
          <w:cantSplit/>
        </w:trPr>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Accident grave</w:t>
            </w:r>
          </w:p>
        </w:tc>
        <w:tc>
          <w:tcPr>
            <w:tcW w:type="dxa" w:w="13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Critique</w:t>
            </w:r>
          </w:p>
        </w:tc>
        <w:tc>
          <w:tcPr>
            <w:tcW w:type="dxa" w:w="15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Moyenne</w:t>
            </w:r>
          </w:p>
        </w:tc>
        <w:tc>
          <w:tcPr>
            <w:tcW w:type="dxa" w:w="40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Système HSE, fatigue, vitesse, formation</w:t>
            </w:r>
          </w:p>
        </w:tc>
      </w:tr>
      <w:tr>
        <w:trPr>
          <w:cantSplit/>
        </w:trPr>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Risque de change</w:t>
            </w:r>
          </w:p>
        </w:tc>
        <w:tc>
          <w:tcPr>
            <w:tcW w:type="dxa" w:w="13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Élevé</w:t>
            </w:r>
          </w:p>
        </w:tc>
        <w:tc>
          <w:tcPr>
            <w:tcW w:type="dxa" w:w="15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Moyenne</w:t>
            </w:r>
          </w:p>
        </w:tc>
        <w:tc>
          <w:tcPr>
            <w:tcW w:type="dxa" w:w="40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Tarif en USD ou indexation FX</w:t>
            </w:r>
          </w:p>
        </w:tc>
      </w:tr>
      <w:tr>
        <w:trPr>
          <w:cantSplit/>
        </w:trPr>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Retard de mobilisation</w:t>
            </w:r>
          </w:p>
        </w:tc>
        <w:tc>
          <w:tcPr>
            <w:tcW w:type="dxa" w:w="13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Élevé</w:t>
            </w:r>
          </w:p>
        </w:tc>
        <w:tc>
          <w:tcPr>
            <w:tcW w:type="dxa" w:w="15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Moyenne</w:t>
            </w:r>
          </w:p>
        </w:tc>
        <w:tc>
          <w:tcPr>
            <w:tcW w:type="dxa" w:w="40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Garantie de dépassement des sponsors, pénalités constructeur</w:t>
            </w:r>
          </w:p>
        </w:tc>
      </w:tr>
      <w:tr>
        <w:trPr>
          <w:cantSplit/>
        </w:trPr>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Douane / importation</w:t>
            </w:r>
          </w:p>
        </w:tc>
        <w:tc>
          <w:tcPr>
            <w:tcW w:type="dxa" w:w="13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Moyen</w:t>
            </w:r>
          </w:p>
        </w:tc>
        <w:tc>
          <w:tcPr>
            <w:tcW w:type="dxa" w:w="15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Moyenne</w:t>
            </w:r>
          </w:p>
        </w:tc>
        <w:tc>
          <w:tcPr>
            <w:tcW w:type="dxa" w:w="40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Transitaire expérimenté et provision</w:t>
            </w:r>
          </w:p>
        </w:tc>
      </w:tr>
      <w:tr>
        <w:trPr>
          <w:cantSplit/>
        </w:trPr>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Conflit communautaire</w:t>
            </w:r>
          </w:p>
        </w:tc>
        <w:tc>
          <w:tcPr>
            <w:tcW w:type="dxa" w:w="13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Élevé</w:t>
            </w:r>
          </w:p>
        </w:tc>
        <w:tc>
          <w:tcPr>
            <w:tcW w:type="dxa" w:w="15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Moyenne</w:t>
            </w:r>
          </w:p>
        </w:tc>
        <w:tc>
          <w:tcPr>
            <w:tcW w:type="dxa" w:w="40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Engagement, recrutement local, gestion des plaintes</w:t>
            </w:r>
          </w:p>
        </w:tc>
      </w:tr>
      <w:tr>
        <w:trPr>
          <w:cantSplit/>
        </w:trPr>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Substitution par rail ou convoyeur</w:t>
            </w:r>
          </w:p>
        </w:tc>
        <w:tc>
          <w:tcPr>
            <w:tcW w:type="dxa" w:w="13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Élevé</w:t>
            </w:r>
          </w:p>
        </w:tc>
        <w:tc>
          <w:tcPr>
            <w:tcW w:type="dxa" w:w="15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Faible à moyenne</w:t>
            </w:r>
          </w:p>
        </w:tc>
        <w:tc>
          <w:tcPr>
            <w:tcW w:type="dxa" w:w="40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Durée ferme et diversification des services</w:t>
            </w:r>
          </w:p>
        </w:tc>
      </w:tr>
      <w:tr>
        <w:trPr>
          <w:cantSplit/>
        </w:trPr>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Résiliation anticipée</w:t>
            </w:r>
          </w:p>
        </w:tc>
        <w:tc>
          <w:tcPr>
            <w:tcW w:type="dxa" w:w="13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Critique</w:t>
            </w:r>
          </w:p>
        </w:tc>
        <w:tc>
          <w:tcPr>
            <w:tcW w:type="dxa" w:w="15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Faible à moyenne</w:t>
            </w:r>
          </w:p>
        </w:tc>
        <w:tc>
          <w:tcPr>
            <w:tcW w:type="dxa" w:w="40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Indemnité, reprise de dette et valeur résiduelle</w:t>
            </w:r>
          </w:p>
        </w:tc>
      </w:tr>
      <w:tr>
        <w:trPr>
          <w:cantSplit/>
        </w:trPr>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Risque pays et réglementaire</w:t>
            </w:r>
          </w:p>
        </w:tc>
        <w:tc>
          <w:tcPr>
            <w:tcW w:type="dxa" w:w="13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Élevé</w:t>
            </w:r>
          </w:p>
        </w:tc>
        <w:tc>
          <w:tcPr>
            <w:tcW w:type="dxa" w:w="15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Moyenne</w:t>
            </w:r>
          </w:p>
        </w:tc>
        <w:tc>
          <w:tcPr>
            <w:tcW w:type="dxa" w:w="40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Assurance risque politique, clauses de stabilisation</w:t>
            </w:r>
          </w:p>
        </w:tc>
      </w:tr>
    </w:tbl>
    <w:p>
      <w:pPr>
        <w:spacing w:after="1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C8962E" w:sz="36"/>
              <w:bottom w:val="none" w:color="FFFFFF" w:sz="0"/>
              <w:right w:val="none" w:color="FFFFFF" w:sz="0"/>
            </w:tcBorders>
            <w:shd w:fill="FBF4E6" w:color="auto" w:val="clear"/>
            <w:tcMar>
              <w:top w:type="dxa" w:w="140"/>
              <w:left w:type="dxa" w:w="240"/>
              <w:bottom w:type="dxa" w:w="140"/>
              <w:right w:type="dxa" w:w="200"/>
            </w:tcMar>
          </w:tcPr>
          <w:p>
            <w:pPr>
              <w:spacing w:after="60"/>
            </w:pPr>
            <w:r>
              <w:rPr>
                <w:rFonts w:ascii="Calibri" w:cs="Calibri" w:eastAsia="Calibri" w:hAnsi="Calibri"/>
                <w:b/>
                <w:bCs/>
                <w:color w:val="0B2545"/>
                <w:spacing w:val="20"/>
                <w:sz w:val="18"/>
                <w:szCs w:val="18"/>
              </w:rPr>
              <w:t xml:space="preserve">PRINCIPE DE MAÎTRISE</w:t>
            </w:r>
          </w:p>
          <w:p>
            <w:pPr>
              <w:spacing w:after="40" w:line="264"/>
              <w:jc w:val="both"/>
            </w:pPr>
            <w:r>
              <w:rPr>
                <w:rFonts w:ascii="Calibri" w:cs="Calibri" w:eastAsia="Calibri" w:hAnsi="Calibri"/>
                <w:color w:val="1F2937"/>
                <w:sz w:val="20"/>
                <w:szCs w:val="20"/>
              </w:rPr>
              <w:t xml:space="preserve">Tout risque non transférable au client doit être tarifé, assuré, couvert par une réserve ou absorbé par des fonds propres suffisants. Un risque ignoré ne disparaît pas : il se transforme en besoin de trésorerie.</w:t>
            </w:r>
          </w:p>
        </w:tc>
      </w:tr>
    </w:tbl>
    <w:p>
      <w:pPr>
        <w:spacing w:after="180"/>
      </w:pPr>
    </w:p>
    <w:p>
      <w:pPr>
        <w:pStyle w:val="Heading1"/>
        <w:keepNext/>
        <w:pageBreakBefore/>
        <w:pBdr>
          <w:bottom w:val="single" w:color="C8962E" w:sz="12" w:space="6"/>
        </w:pBdr>
        <w:spacing w:after="80" w:before="0"/>
      </w:pPr>
      <w:r>
        <w:rPr>
          <w:rFonts w:ascii="Calibri" w:cs="Calibri" w:eastAsia="Calibri" w:hAnsi="Calibri"/>
          <w:b/>
          <w:bCs/>
          <w:color w:val="C8962E"/>
          <w:sz w:val="40"/>
          <w:szCs w:val="40"/>
        </w:rPr>
        <w:t xml:space="preserve">16  </w:t>
      </w:r>
      <w:r>
        <w:rPr>
          <w:rFonts w:ascii="Calibri" w:cs="Calibri" w:eastAsia="Calibri" w:hAnsi="Calibri"/>
          <w:b/>
          <w:bCs/>
          <w:color w:val="0B2545"/>
          <w:sz w:val="32"/>
          <w:szCs w:val="32"/>
        </w:rPr>
        <w:t xml:space="preserve">CONCLUSION ET RECOMMANDATION D’INVESTISSEMENT</w:t>
      </w:r>
    </w:p>
    <w:p>
      <w:pPr>
        <w:spacing w:after="160"/>
      </w:pPr>
    </w:p>
    <w:p>
      <w:pPr>
        <w:spacing w:after="120" w:before="0" w:line="276"/>
        <w:jc w:val="both"/>
      </w:pPr>
      <w:r>
        <w:rPr>
          <w:rFonts w:ascii="Calibri" w:cs="Calibri" w:eastAsia="Calibri" w:hAnsi="Calibri"/>
          <w:color w:val="1F2937"/>
          <w:sz w:val="21"/>
          <w:szCs w:val="21"/>
        </w:rPr>
        <w:t xml:space="preserve">Le marché guinéen de la bauxite est suffisamment profond pour soutenir un opérateur de 100 camions. La croissance récente des volumes, la concentration des activités dans les corridors côtiers et les exigences de contenu local créent une opportunité réelle pour un prestataire local professionnel.</w:t>
      </w:r>
    </w:p>
    <w:p>
      <w:pPr>
        <w:spacing w:after="120" w:before="0" w:line="276"/>
        <w:jc w:val="both"/>
      </w:pPr>
      <w:r>
        <w:rPr>
          <w:rFonts w:ascii="Calibri" w:cs="Calibri" w:eastAsia="Calibri" w:hAnsi="Calibri"/>
          <w:color w:val="1F2937"/>
          <w:sz w:val="21"/>
          <w:szCs w:val="21"/>
        </w:rPr>
        <w:t xml:space="preserve">Le projet est </w:t>
      </w:r>
      <w:r>
        <w:rPr>
          <w:rFonts w:ascii="Calibri" w:cs="Calibri" w:eastAsia="Calibri" w:hAnsi="Calibri"/>
          <w:b/>
          <w:bCs/>
          <w:color w:val="0B2545"/>
          <w:sz w:val="21"/>
          <w:szCs w:val="21"/>
        </w:rPr>
        <w:t xml:space="preserve">recommandé sous conditions</w:t>
      </w:r>
      <w:r>
        <w:rPr>
          <w:rFonts w:ascii="Calibri" w:cs="Calibri" w:eastAsia="Calibri" w:hAnsi="Calibri"/>
          <w:color w:val="1F2937"/>
          <w:sz w:val="21"/>
          <w:szCs w:val="21"/>
        </w:rPr>
        <w:t xml:space="preserve">. Le coût total de 32,6 M USD ne doit être engagé qu’après validation simultanée du contrat, du corridor, des devis fournisseurs, de la fiscalité, du financement et du système HSE. Le cas de base produit un TRI fonds propres de 29,7 % et un DSCR minimum de 1,60x, mais le stress combiné sévère détruit de la valeur et ne couvre pas la dette.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7238"/>
      </w:tblGrid>
      <w:tr>
        <w:trPr>
          <w:tblHeader/>
        </w:trPr>
        <w:tc>
          <w:tcPr>
            <w:tcW w:type="dxa" w:w="24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Décision</w:t>
            </w:r>
          </w:p>
        </w:tc>
        <w:tc>
          <w:tcPr>
            <w:tcW w:type="dxa" w:w="72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Condition</w:t>
            </w:r>
          </w:p>
        </w:tc>
      </w:tr>
      <w:tr>
        <w:trPr>
          <w:cantSplit/>
        </w:trPr>
        <w:tc>
          <w:tcPr>
            <w:tcW w:type="dxa" w:w="2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GO conditionnel</w:t>
            </w:r>
          </w:p>
        </w:tc>
        <w:tc>
          <w:tcPr>
            <w:tcW w:type="dxa" w:w="72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Contrat ≥ 5 ans (idéalement 7), volume garanti ≥ 3,38 Mt/an, tarif ≥ 6,55 USD/t, indexation diesel, paiement sécurisé, fonds propres apportés</w:t>
            </w:r>
          </w:p>
        </w:tc>
      </w:tr>
      <w:tr>
        <w:trPr>
          <w:cantSplit/>
        </w:trPr>
        <w:tc>
          <w:tcPr>
            <w:tcW w:type="dxa" w:w="2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NO-GO</w:t>
            </w:r>
          </w:p>
        </w:tc>
        <w:tc>
          <w:tcPr>
            <w:tcW w:type="dxa" w:w="72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Commande sans contrat, route non auditée, absence de garantie de paiement, dette sans différé</w:t>
            </w:r>
          </w:p>
        </w:tc>
      </w:tr>
      <w:tr>
        <w:trPr>
          <w:cantSplit/>
        </w:trPr>
        <w:tc>
          <w:tcPr>
            <w:tcW w:type="dxa" w:w="2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Option prudente</w:t>
            </w:r>
          </w:p>
        </w:tc>
        <w:tc>
          <w:tcPr>
            <w:tcW w:type="dxa" w:w="72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Démarrage avec 20 à 30 camions et option ferme d’extension après validation du pilote</w:t>
            </w:r>
          </w:p>
        </w:tc>
      </w:tr>
    </w:tbl>
    <w:p>
      <w:pPr>
        <w:spacing w:after="1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1B7F5A" w:sz="36"/>
              <w:bottom w:val="none" w:color="FFFFFF" w:sz="0"/>
              <w:right w:val="none" w:color="FFFFFF" w:sz="0"/>
            </w:tcBorders>
            <w:shd w:fill="E7F5EE" w:color="auto" w:val="clear"/>
            <w:tcMar>
              <w:top w:type="dxa" w:w="140"/>
              <w:left w:type="dxa" w:w="240"/>
              <w:bottom w:type="dxa" w:w="140"/>
              <w:right w:type="dxa" w:w="200"/>
            </w:tcMar>
          </w:tcPr>
          <w:p>
            <w:pPr>
              <w:spacing w:after="60"/>
            </w:pPr>
            <w:r>
              <w:rPr>
                <w:rFonts w:ascii="Calibri" w:cs="Calibri" w:eastAsia="Calibri" w:hAnsi="Calibri"/>
                <w:b/>
                <w:bCs/>
                <w:color w:val="0B2545"/>
                <w:spacing w:val="20"/>
                <w:sz w:val="18"/>
                <w:szCs w:val="18"/>
              </w:rPr>
              <w:t xml:space="preserve">RECOMMANDATION FINALE</w:t>
            </w:r>
          </w:p>
          <w:p>
            <w:pPr>
              <w:spacing w:after="40" w:line="264"/>
              <w:jc w:val="both"/>
            </w:pPr>
            <w:r>
              <w:rPr>
                <w:rFonts w:ascii="Calibri" w:cs="Calibri" w:eastAsia="Calibri" w:hAnsi="Calibri"/>
                <w:color w:val="1F2937"/>
                <w:sz w:val="20"/>
                <w:szCs w:val="20"/>
              </w:rPr>
              <w:t xml:space="preserve">Négocier et financer le projet comme un </w:t>
            </w:r>
            <w:r>
              <w:rPr>
                <w:rFonts w:ascii="Calibri" w:cs="Calibri" w:eastAsia="Calibri" w:hAnsi="Calibri"/>
                <w:b/>
                <w:bCs/>
                <w:color w:val="0B2545"/>
                <w:sz w:val="20"/>
                <w:szCs w:val="20"/>
              </w:rPr>
              <w:t xml:space="preserve">contrat d’infrastructure logistique</w:t>
            </w:r>
            <w:r>
              <w:rPr>
                <w:rFonts w:ascii="Calibri" w:cs="Calibri" w:eastAsia="Calibri" w:hAnsi="Calibri"/>
                <w:color w:val="1F2937"/>
                <w:sz w:val="20"/>
                <w:szCs w:val="20"/>
              </w:rPr>
              <w:t xml:space="preserve">, et non comme un simple achat de véhicules. La valeur réside dans le droit contractuel de transporter un volume rentable pendant une durée suffisante, sécurisé par des flux cédés aux prêteurs.</w:t>
            </w:r>
          </w:p>
        </w:tc>
      </w:tr>
    </w:tbl>
    <w:p>
      <w:pPr>
        <w:spacing w:after="180"/>
      </w:pPr>
    </w:p>
    <w:p>
      <w:pPr>
        <w:pStyle w:val="Heading1"/>
        <w:keepNext/>
        <w:pageBreakBefore/>
        <w:pBdr>
          <w:bottom w:val="single" w:color="C8962E" w:sz="12" w:space="6"/>
        </w:pBdr>
        <w:spacing w:after="80" w:before="0"/>
      </w:pPr>
      <w:r>
        <w:rPr>
          <w:rFonts w:ascii="Calibri" w:cs="Calibri" w:eastAsia="Calibri" w:hAnsi="Calibri"/>
          <w:b/>
          <w:bCs/>
          <w:color w:val="C8962E"/>
          <w:sz w:val="40"/>
          <w:szCs w:val="40"/>
        </w:rPr>
        <w:t xml:space="preserve">17  </w:t>
      </w:r>
      <w:r>
        <w:rPr>
          <w:rFonts w:ascii="Calibri" w:cs="Calibri" w:eastAsia="Calibri" w:hAnsi="Calibri"/>
          <w:b/>
          <w:bCs/>
          <w:color w:val="0B2545"/>
          <w:sz w:val="32"/>
          <w:szCs w:val="32"/>
        </w:rPr>
        <w:t xml:space="preserve">SOURCES DOCUMENTAIRES</w:t>
      </w:r>
    </w:p>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3400"/>
        <w:gridCol w:w="5538"/>
      </w:tblGrid>
      <w:tr>
        <w:trPr>
          <w:tblHeader/>
        </w:trPr>
        <w:tc>
          <w:tcPr>
            <w:tcW w:type="dxa" w:w="7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Réf.</w:t>
            </w:r>
          </w:p>
        </w:tc>
        <w:tc>
          <w:tcPr>
            <w:tcW w:type="dxa" w:w="34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Institution</w:t>
            </w:r>
          </w:p>
        </w:tc>
        <w:tc>
          <w:tcPr>
            <w:tcW w:type="dxa" w:w="55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Document et lien</w:t>
            </w:r>
          </w:p>
        </w:tc>
      </w:tr>
      <w:tr>
        <w:trPr>
          <w:cantSplit/>
        </w:trPr>
        <w:tc>
          <w:tcPr>
            <w:tcW w:type="dxa" w:w="7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S1</w:t>
            </w:r>
          </w:p>
        </w:tc>
        <w:tc>
          <w:tcPr>
            <w:tcW w:type="dxa" w:w="3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Ministère des Mines et de la Géologie / ITIE-Guinée</w:t>
            </w:r>
          </w:p>
        </w:tc>
        <w:tc>
          <w:tcPr>
            <w:tcW w:type="dxa" w:w="55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Bulletin des Statistiques Minières et Carrières n°30, janvier–décembre 2025, publié le 11 avril 2026. itie-guinee.org</w:t>
            </w:r>
          </w:p>
        </w:tc>
      </w:tr>
      <w:tr>
        <w:trPr>
          <w:cantSplit/>
        </w:trPr>
        <w:tc>
          <w:tcPr>
            <w:tcW w:type="dxa" w:w="7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S2</w:t>
            </w:r>
          </w:p>
        </w:tc>
        <w:tc>
          <w:tcPr>
            <w:tcW w:type="dxa" w:w="3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Initiative pour la Transparence dans les Industries Extractives</w:t>
            </w:r>
          </w:p>
        </w:tc>
        <w:tc>
          <w:tcPr>
            <w:tcW w:type="dxa" w:w="55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Fiche pays Guinée : contribution du secteur extractif à l’économie. eiti.org/countries/guinea</w:t>
            </w:r>
          </w:p>
        </w:tc>
      </w:tr>
      <w:tr>
        <w:trPr>
          <w:cantSplit/>
        </w:trPr>
        <w:tc>
          <w:tcPr>
            <w:tcW w:type="dxa" w:w="7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S3</w:t>
            </w:r>
          </w:p>
        </w:tc>
        <w:tc>
          <w:tcPr>
            <w:tcW w:type="dxa" w:w="3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ITIE internationale</w:t>
            </w:r>
          </w:p>
        </w:tc>
        <w:tc>
          <w:tcPr>
            <w:tcW w:type="dxa" w:w="55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Guinea achieves a good score in EITI implementation, 15 mai 2026. eiti.org/news</w:t>
            </w:r>
          </w:p>
        </w:tc>
      </w:tr>
      <w:tr>
        <w:trPr>
          <w:cantSplit/>
        </w:trPr>
        <w:tc>
          <w:tcPr>
            <w:tcW w:type="dxa" w:w="7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S4</w:t>
            </w:r>
          </w:p>
        </w:tc>
        <w:tc>
          <w:tcPr>
            <w:tcW w:type="dxa" w:w="3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Conseil National de la Transition</w:t>
            </w:r>
          </w:p>
        </w:tc>
        <w:tc>
          <w:tcPr>
            <w:tcW w:type="dxa" w:w="55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Loi L/2022/0010/CNT portant contenu local en République de Guinée. cnt.gov.gn</w:t>
            </w:r>
          </w:p>
        </w:tc>
      </w:tr>
      <w:tr>
        <w:trPr>
          <w:cantSplit/>
        </w:trPr>
        <w:tc>
          <w:tcPr>
            <w:tcW w:type="dxa" w:w="7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S5</w:t>
            </w:r>
          </w:p>
        </w:tc>
        <w:tc>
          <w:tcPr>
            <w:tcW w:type="dxa" w:w="3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Ministère des Mines et de la Géologie / CPDM</w:t>
            </w:r>
          </w:p>
        </w:tc>
        <w:tc>
          <w:tcPr>
            <w:tcW w:type="dxa" w:w="55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Code minier 2011 amendé en 2013. cpdm.mines.gov.gn</w:t>
            </w:r>
          </w:p>
        </w:tc>
      </w:tr>
      <w:tr>
        <w:trPr>
          <w:cantSplit/>
        </w:trPr>
        <w:tc>
          <w:tcPr>
            <w:tcW w:type="dxa" w:w="7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S6</w:t>
            </w:r>
          </w:p>
        </w:tc>
        <w:tc>
          <w:tcPr>
            <w:tcW w:type="dxa" w:w="3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Direction Générale des Impôts</w:t>
            </w:r>
          </w:p>
        </w:tc>
        <w:tc>
          <w:tcPr>
            <w:tcW w:type="dxa" w:w="55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Code général des impôts 2021, notamment article 229. dgi.gov.gn</w:t>
            </w:r>
          </w:p>
        </w:tc>
      </w:tr>
      <w:tr>
        <w:trPr>
          <w:cantSplit/>
        </w:trPr>
        <w:tc>
          <w:tcPr>
            <w:tcW w:type="dxa" w:w="7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S7</w:t>
            </w:r>
          </w:p>
        </w:tc>
        <w:tc>
          <w:tcPr>
            <w:tcW w:type="dxa" w:w="3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Banque Centrale de la République de Guinée</w:t>
            </w:r>
          </w:p>
        </w:tc>
        <w:tc>
          <w:tcPr>
            <w:tcW w:type="dxa" w:w="55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Fixing du 31 juillet 2026 : USD/GNF 8 762,7692. bcrg-guinee.org</w:t>
            </w:r>
          </w:p>
        </w:tc>
      </w:tr>
      <w:tr>
        <w:trPr>
          <w:cantSplit/>
        </w:trPr>
        <w:tc>
          <w:tcPr>
            <w:tcW w:type="dxa" w:w="7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S8</w:t>
            </w:r>
          </w:p>
        </w:tc>
        <w:tc>
          <w:tcPr>
            <w:tcW w:type="dxa" w:w="3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Equator Principles Association / IFC</w:t>
            </w:r>
          </w:p>
        </w:tc>
        <w:tc>
          <w:tcPr>
            <w:tcW w:type="dxa" w:w="55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Principes de l’Équateur IV (2020) ; Normes de performance environnementale et sociale de l’IFC (2012)</w:t>
            </w:r>
          </w:p>
        </w:tc>
      </w:tr>
    </w:tbl>
    <w:p>
      <w:pPr>
        <w:spacing w:after="1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1F4E9E" w:sz="36"/>
              <w:bottom w:val="none" w:color="FFFFFF" w:sz="0"/>
              <w:right w:val="none" w:color="FFFFFF" w:sz="0"/>
            </w:tcBorders>
            <w:shd w:fill="EEF3FB" w:color="auto" w:val="clear"/>
            <w:tcMar>
              <w:top w:type="dxa" w:w="140"/>
              <w:left w:type="dxa" w:w="240"/>
              <w:bottom w:type="dxa" w:w="140"/>
              <w:right w:type="dxa" w:w="200"/>
            </w:tcMar>
          </w:tcPr>
          <w:p>
            <w:pPr>
              <w:spacing w:after="60"/>
            </w:pPr>
            <w:r>
              <w:rPr>
                <w:rFonts w:ascii="Calibri" w:cs="Calibri" w:eastAsia="Calibri" w:hAnsi="Calibri"/>
                <w:b/>
                <w:bCs/>
                <w:color w:val="0B2545"/>
                <w:spacing w:val="20"/>
                <w:sz w:val="18"/>
                <w:szCs w:val="18"/>
              </w:rPr>
              <w:t xml:space="preserve">TRAÇABILITÉ</w:t>
            </w:r>
          </w:p>
          <w:p>
            <w:pPr>
              <w:spacing w:after="40" w:line="264"/>
              <w:jc w:val="both"/>
            </w:pPr>
            <w:r>
              <w:rPr>
                <w:rFonts w:ascii="Calibri" w:cs="Calibri" w:eastAsia="Calibri" w:hAnsi="Calibri"/>
                <w:color w:val="1F2937"/>
                <w:sz w:val="20"/>
                <w:szCs w:val="20"/>
              </w:rPr>
              <w:t xml:space="preserve">Les chiffres officiels repris dans le document renvoient à ces sources. Les hypothèses de projet sont identifiées comme telles et seront remplacées par les données issues du contrat et de la due diligence.</w:t>
            </w:r>
          </w:p>
        </w:tc>
      </w:tr>
    </w:tbl>
    <w:p>
      <w:pPr>
        <w:spacing w:after="180"/>
      </w:pPr>
    </w:p>
    <w:p>
      <w:pPr>
        <w:pStyle w:val="Heading1"/>
        <w:keepNext/>
        <w:pageBreakBefore/>
        <w:pBdr>
          <w:bottom w:val="single" w:color="C8962E" w:sz="12" w:space="6"/>
        </w:pBdr>
        <w:spacing w:after="80"/>
      </w:pPr>
      <w:r>
        <w:rPr>
          <w:rFonts w:ascii="Calibri" w:cs="Calibri" w:eastAsia="Calibri" w:hAnsi="Calibri"/>
          <w:b/>
          <w:bCs/>
          <w:color w:val="0B2545"/>
          <w:sz w:val="32"/>
          <w:szCs w:val="32"/>
        </w:rPr>
        <w:t xml:space="preserve">ANNEXE A — MATRICE COMPLÈTE DES HYPOTHÈSES</w:t>
      </w:r>
    </w:p>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3919"/>
        <w:gridCol w:w="2919"/>
      </w:tblGrid>
      <w:tr>
        <w:trPr>
          <w:tblHeader/>
        </w:trPr>
        <w:tc>
          <w:tcPr>
            <w:tcW w:type="dxa" w:w="28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Famille</w:t>
            </w:r>
          </w:p>
        </w:tc>
        <w:tc>
          <w:tcPr>
            <w:tcW w:type="dxa" w:w="3919"/>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Hypothèse</w:t>
            </w:r>
          </w:p>
        </w:tc>
        <w:tc>
          <w:tcPr>
            <w:tcW w:type="dxa" w:w="2919"/>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Statut</w:t>
            </w:r>
          </w:p>
        </w:tc>
      </w:tr>
      <w:tr>
        <w:trPr>
          <w:cantSplit/>
        </w:trPr>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Marché</w:t>
            </w:r>
          </w:p>
        </w:tc>
        <w:tc>
          <w:tcPr>
            <w:tcW w:type="dxa" w:w="39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Bauxite, corridor Boké–Boffa</w:t>
            </w:r>
          </w:p>
        </w:tc>
        <w:tc>
          <w:tcPr>
            <w:tcW w:type="dxa" w:w="29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Choix stratégique</w:t>
            </w:r>
          </w:p>
        </w:tc>
      </w:tr>
      <w:tr>
        <w:trPr>
          <w:cantSplit/>
        </w:trPr>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Flotte</w:t>
            </w:r>
          </w:p>
        </w:tc>
        <w:tc>
          <w:tcPr>
            <w:tcW w:type="dxa" w:w="39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100 camions (90 programmés)</w:t>
            </w:r>
          </w:p>
        </w:tc>
        <w:tc>
          <w:tcPr>
            <w:tcW w:type="dxa" w:w="29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Projet</w:t>
            </w:r>
          </w:p>
        </w:tc>
      </w:tr>
      <w:tr>
        <w:trPr>
          <w:cantSplit/>
        </w:trPr>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Charge utile</w:t>
            </w:r>
          </w:p>
        </w:tc>
        <w:tc>
          <w:tcPr>
            <w:tcW w:type="dxa" w:w="39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45 t</w:t>
            </w:r>
          </w:p>
        </w:tc>
        <w:tc>
          <w:tcPr>
            <w:tcW w:type="dxa" w:w="29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À confirmer</w:t>
            </w:r>
          </w:p>
        </w:tc>
      </w:tr>
      <w:tr>
        <w:trPr>
          <w:cantSplit/>
        </w:trPr>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Distance aller</w:t>
            </w:r>
          </w:p>
        </w:tc>
        <w:tc>
          <w:tcPr>
            <w:tcW w:type="dxa" w:w="39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35 km</w:t>
            </w:r>
          </w:p>
        </w:tc>
        <w:tc>
          <w:tcPr>
            <w:tcW w:type="dxa" w:w="29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À remplacer par la route réelle</w:t>
            </w:r>
          </w:p>
        </w:tc>
      </w:tr>
      <w:tr>
        <w:trPr>
          <w:cantSplit/>
        </w:trPr>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Rotations/jour</w:t>
            </w:r>
          </w:p>
        </w:tc>
        <w:tc>
          <w:tcPr>
            <w:tcW w:type="dxa" w:w="39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3</w:t>
            </w:r>
          </w:p>
        </w:tc>
        <w:tc>
          <w:tcPr>
            <w:tcW w:type="dxa" w:w="29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À chronométrer</w:t>
            </w:r>
          </w:p>
        </w:tc>
      </w:tr>
      <w:tr>
        <w:trPr>
          <w:cantSplit/>
        </w:trPr>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Jours productifs</w:t>
            </w:r>
          </w:p>
        </w:tc>
        <w:tc>
          <w:tcPr>
            <w:tcW w:type="dxa" w:w="39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321</w:t>
            </w:r>
          </w:p>
        </w:tc>
        <w:tc>
          <w:tcPr>
            <w:tcW w:type="dxa" w:w="29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Hypothèse</w:t>
            </w:r>
          </w:p>
        </w:tc>
      </w:tr>
      <w:tr>
        <w:trPr>
          <w:cantSplit/>
        </w:trPr>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Tarif initial</w:t>
            </w:r>
          </w:p>
        </w:tc>
        <w:tc>
          <w:tcPr>
            <w:tcW w:type="dxa" w:w="39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7,10 USD/t</w:t>
            </w:r>
          </w:p>
        </w:tc>
        <w:tc>
          <w:tcPr>
            <w:tcW w:type="dxa" w:w="29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À négocier</w:t>
            </w:r>
          </w:p>
        </w:tc>
      </w:tr>
      <w:tr>
        <w:trPr>
          <w:cantSplit/>
        </w:trPr>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Indexation</w:t>
            </w:r>
          </w:p>
        </w:tc>
        <w:tc>
          <w:tcPr>
            <w:tcW w:type="dxa" w:w="39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2 %/an + formule diesel/FX</w:t>
            </w:r>
          </w:p>
        </w:tc>
        <w:tc>
          <w:tcPr>
            <w:tcW w:type="dxa" w:w="29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À contractualiser</w:t>
            </w:r>
          </w:p>
        </w:tc>
      </w:tr>
      <w:tr>
        <w:trPr>
          <w:cantSplit/>
        </w:trPr>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Diesel</w:t>
            </w:r>
          </w:p>
        </w:tc>
        <w:tc>
          <w:tcPr>
            <w:tcW w:type="dxa" w:w="39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1,37 USD/l, + 1,5 %/an</w:t>
            </w:r>
          </w:p>
        </w:tc>
        <w:tc>
          <w:tcPr>
            <w:tcW w:type="dxa" w:w="29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Référence budgétaire</w:t>
            </w:r>
          </w:p>
        </w:tc>
      </w:tr>
      <w:tr>
        <w:trPr>
          <w:cantSplit/>
        </w:trPr>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Consommation</w:t>
            </w:r>
          </w:p>
        </w:tc>
        <w:tc>
          <w:tcPr>
            <w:tcW w:type="dxa" w:w="39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1,05 l/t</w:t>
            </w:r>
          </w:p>
        </w:tc>
        <w:tc>
          <w:tcPr>
            <w:tcW w:type="dxa" w:w="29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À mesurer</w:t>
            </w:r>
          </w:p>
        </w:tc>
      </w:tr>
      <w:tr>
        <w:trPr>
          <w:cantSplit/>
        </w:trPr>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Autres coûts variables</w:t>
            </w:r>
          </w:p>
        </w:tc>
        <w:tc>
          <w:tcPr>
            <w:tcW w:type="dxa" w:w="39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1,46 USD/t, + 3 %/an</w:t>
            </w:r>
          </w:p>
        </w:tc>
        <w:tc>
          <w:tcPr>
            <w:tcW w:type="dxa" w:w="29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À valider par devis</w:t>
            </w:r>
          </w:p>
        </w:tc>
      </w:tr>
      <w:tr>
        <w:trPr>
          <w:cantSplit/>
        </w:trPr>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Coûts fixes</w:t>
            </w:r>
          </w:p>
        </w:tc>
        <w:tc>
          <w:tcPr>
            <w:tcW w:type="dxa" w:w="39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4,80 M USD, + 3 %/an</w:t>
            </w:r>
          </w:p>
        </w:tc>
        <w:tc>
          <w:tcPr>
            <w:tcW w:type="dxa" w:w="29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Budget</w:t>
            </w:r>
          </w:p>
        </w:tc>
      </w:tr>
      <w:tr>
        <w:trPr>
          <w:cantSplit/>
        </w:trPr>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Enveloppe d’investissement</w:t>
            </w:r>
          </w:p>
        </w:tc>
        <w:tc>
          <w:tcPr>
            <w:tcW w:type="dxa" w:w="39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30,0 M USD</w:t>
            </w:r>
          </w:p>
        </w:tc>
        <w:tc>
          <w:tcPr>
            <w:tcW w:type="dxa" w:w="29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Budget</w:t>
            </w:r>
          </w:p>
        </w:tc>
      </w:tr>
      <w:tr>
        <w:trPr>
          <w:cantSplit/>
        </w:trPr>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Coût total du projet</w:t>
            </w:r>
          </w:p>
        </w:tc>
        <w:tc>
          <w:tcPr>
            <w:tcW w:type="dxa" w:w="39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32,6 M USD</w:t>
            </w:r>
          </w:p>
        </w:tc>
        <w:tc>
          <w:tcPr>
            <w:tcW w:type="dxa" w:w="29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Calculé</w:t>
            </w:r>
          </w:p>
        </w:tc>
      </w:tr>
      <w:tr>
        <w:trPr>
          <w:cantSplit/>
        </w:trPr>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Dette</w:t>
            </w:r>
          </w:p>
        </w:tc>
        <w:tc>
          <w:tcPr>
            <w:tcW w:type="dxa" w:w="39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21,2 M USD, 10,5 %, 7 ans</w:t>
            </w:r>
          </w:p>
        </w:tc>
        <w:tc>
          <w:tcPr>
            <w:tcW w:type="dxa" w:w="29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Hypothèse</w:t>
            </w:r>
          </w:p>
        </w:tc>
      </w:tr>
      <w:tr>
        <w:trPr>
          <w:cantSplit/>
        </w:trPr>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Profil de remboursement</w:t>
            </w:r>
          </w:p>
        </w:tc>
        <w:tc>
          <w:tcPr>
            <w:tcW w:type="dxa" w:w="39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Sculpté, DSCR cible 1,60x</w:t>
            </w:r>
          </w:p>
        </w:tc>
        <w:tc>
          <w:tcPr>
            <w:tcW w:type="dxa" w:w="29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Hypothèse</w:t>
            </w:r>
          </w:p>
        </w:tc>
      </w:tr>
      <w:tr>
        <w:trPr>
          <w:cantSplit/>
        </w:trPr>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DSRA</w:t>
            </w:r>
          </w:p>
        </w:tc>
        <w:tc>
          <w:tcPr>
            <w:tcW w:type="dxa" w:w="39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6 mois de service</w:t>
            </w:r>
          </w:p>
        </w:tc>
        <w:tc>
          <w:tcPr>
            <w:tcW w:type="dxa" w:w="29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Standard prêteurs</w:t>
            </w:r>
          </w:p>
        </w:tc>
      </w:tr>
      <w:tr>
        <w:trPr>
          <w:cantSplit/>
        </w:trPr>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BFR</w:t>
            </w:r>
          </w:p>
        </w:tc>
        <w:tc>
          <w:tcPr>
            <w:tcW w:type="dxa" w:w="39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12 % du CA</w:t>
            </w:r>
          </w:p>
        </w:tc>
        <w:tc>
          <w:tcPr>
            <w:tcW w:type="dxa" w:w="29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Hypothèse</w:t>
            </w:r>
          </w:p>
        </w:tc>
      </w:tr>
      <w:tr>
        <w:trPr>
          <w:cantSplit/>
        </w:trPr>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IS</w:t>
            </w:r>
          </w:p>
        </w:tc>
        <w:tc>
          <w:tcPr>
            <w:tcW w:type="dxa" w:w="39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25 %</w:t>
            </w:r>
          </w:p>
        </w:tc>
        <w:tc>
          <w:tcPr>
            <w:tcW w:type="dxa" w:w="29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Référence fiscale à confirmer</w:t>
            </w:r>
          </w:p>
        </w:tc>
      </w:tr>
      <w:tr>
        <w:trPr>
          <w:cantSplit/>
        </w:trPr>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Valeur résiduelle</w:t>
            </w:r>
          </w:p>
        </w:tc>
        <w:tc>
          <w:tcPr>
            <w:tcW w:type="dxa" w:w="39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5,0 M USD en A7</w:t>
            </w:r>
          </w:p>
        </w:tc>
        <w:tc>
          <w:tcPr>
            <w:tcW w:type="dxa" w:w="29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Hypothèse prudente</w:t>
            </w:r>
          </w:p>
        </w:tc>
      </w:tr>
    </w:tbl>
    <w:p>
      <w:pPr>
        <w:spacing w:after="180"/>
      </w:pPr>
    </w:p>
    <w:p>
      <w:pPr>
        <w:pStyle w:val="Heading1"/>
        <w:keepNext/>
        <w:pageBreakBefore/>
        <w:pBdr>
          <w:bottom w:val="single" w:color="C8962E" w:sz="12" w:space="6"/>
        </w:pBdr>
        <w:spacing w:after="80"/>
      </w:pPr>
      <w:r>
        <w:rPr>
          <w:rFonts w:ascii="Calibri" w:cs="Calibri" w:eastAsia="Calibri" w:hAnsi="Calibri"/>
          <w:b/>
          <w:bCs/>
          <w:color w:val="0B2545"/>
          <w:sz w:val="32"/>
          <w:szCs w:val="32"/>
        </w:rPr>
        <w:t xml:space="preserve">ANNEXE B — PLAN DE DUE DILIGENCE AVANT FINANCEMENT</w:t>
      </w:r>
    </w:p>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6838"/>
      </w:tblGrid>
      <w:tr>
        <w:trPr>
          <w:tblHeader/>
        </w:trPr>
        <w:tc>
          <w:tcPr>
            <w:tcW w:type="dxa" w:w="28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Volet</w:t>
            </w:r>
          </w:p>
        </w:tc>
        <w:tc>
          <w:tcPr>
            <w:tcW w:type="dxa" w:w="68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Vérifications minimales</w:t>
            </w:r>
          </w:p>
        </w:tc>
      </w:tr>
      <w:tr>
        <w:trPr>
          <w:cantSplit/>
        </w:trPr>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Commercial</w:t>
            </w:r>
          </w:p>
        </w:tc>
        <w:tc>
          <w:tcPr>
            <w:tcW w:type="dxa" w:w="68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Contrat, volumes, historique de paiement, solidité financière et notation du client</w:t>
            </w:r>
          </w:p>
        </w:tc>
      </w:tr>
      <w:tr>
        <w:trPr>
          <w:cantSplit/>
        </w:trPr>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Technique</w:t>
            </w:r>
          </w:p>
        </w:tc>
        <w:tc>
          <w:tcPr>
            <w:tcW w:type="dxa" w:w="68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Profil de route, pentes, revêtement, cycle, ponts, aires de retournement (ingénieur indépendant)</w:t>
            </w:r>
          </w:p>
        </w:tc>
      </w:tr>
      <w:tr>
        <w:trPr>
          <w:cantSplit/>
        </w:trPr>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Flotte</w:t>
            </w:r>
          </w:p>
        </w:tc>
        <w:tc>
          <w:tcPr>
            <w:tcW w:type="dxa" w:w="68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Devis, garantie, pièces, homologation, consommation, charge utile</w:t>
            </w:r>
          </w:p>
        </w:tc>
      </w:tr>
      <w:tr>
        <w:trPr>
          <w:cantSplit/>
        </w:trPr>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Financier</w:t>
            </w:r>
          </w:p>
        </w:tc>
        <w:tc>
          <w:tcPr>
            <w:tcW w:type="dxa" w:w="68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Audit du modèle financier par un tiers, fiscalité, change, BFR, assurances, dette</w:t>
            </w:r>
          </w:p>
        </w:tc>
      </w:tr>
      <w:tr>
        <w:trPr>
          <w:cantSplit/>
        </w:trPr>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Juridique</w:t>
            </w:r>
          </w:p>
        </w:tc>
        <w:tc>
          <w:tcPr>
            <w:tcW w:type="dxa" w:w="68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Société, permis, sûretés, résiliation, force majeure, litiges</w:t>
            </w:r>
          </w:p>
        </w:tc>
      </w:tr>
      <w:tr>
        <w:trPr>
          <w:cantSplit/>
        </w:trPr>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Environnemental et social</w:t>
            </w:r>
          </w:p>
        </w:tc>
        <w:tc>
          <w:tcPr>
            <w:tcW w:type="dxa" w:w="68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ESIA ou audit E&amp;S, ESMS, ESAP, mécanisme de plainte, dépôt carburant</w:t>
            </w:r>
          </w:p>
        </w:tc>
      </w:tr>
      <w:tr>
        <w:trPr>
          <w:cantSplit/>
        </w:trPr>
        <w:tc>
          <w:tcPr>
            <w:tcW w:type="dxa" w:w="28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Ressources humaines</w:t>
            </w:r>
          </w:p>
        </w:tc>
        <w:tc>
          <w:tcPr>
            <w:tcW w:type="dxa" w:w="68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Disponibilité des chauffeurs, salaires, roster, formation</w:t>
            </w:r>
          </w:p>
        </w:tc>
      </w:tr>
      <w:tr>
        <w:trPr>
          <w:cantSplit/>
        </w:trPr>
        <w:tc>
          <w:tcPr>
            <w:tcW w:type="dxa" w:w="28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Intégrité</w:t>
            </w:r>
          </w:p>
        </w:tc>
        <w:tc>
          <w:tcPr>
            <w:tcW w:type="dxa" w:w="68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KYC/UBO, filtrage sanctions, vérification de réputation des sponsors et contreparties</w:t>
            </w:r>
          </w:p>
        </w:tc>
      </w:tr>
    </w:tbl>
    <w:p>
      <w:pPr>
        <w:spacing w:after="180"/>
      </w:pPr>
    </w:p>
    <w:p>
      <w:pPr>
        <w:pStyle w:val="Heading1"/>
        <w:keepNext/>
        <w:pageBreakBefore/>
        <w:pBdr>
          <w:bottom w:val="single" w:color="C8962E" w:sz="12" w:space="6"/>
        </w:pBdr>
        <w:spacing w:after="80"/>
      </w:pPr>
      <w:r>
        <w:rPr>
          <w:rFonts w:ascii="Calibri" w:cs="Calibri" w:eastAsia="Calibri" w:hAnsi="Calibri"/>
          <w:b/>
          <w:bCs/>
          <w:color w:val="0B2545"/>
          <w:sz w:val="32"/>
          <w:szCs w:val="32"/>
        </w:rPr>
        <w:t xml:space="preserve">ANNEXE C — ÉTATS FINANCIERS PRÉVISIONNELS DÉTAILLÉS</w:t>
      </w:r>
    </w:p>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38"/>
        <w:gridCol w:w="1000"/>
        <w:gridCol w:w="1000"/>
        <w:gridCol w:w="1000"/>
        <w:gridCol w:w="1000"/>
        <w:gridCol w:w="1000"/>
        <w:gridCol w:w="1000"/>
        <w:gridCol w:w="1000"/>
      </w:tblGrid>
      <w:tr>
        <w:trPr>
          <w:tblHeader/>
        </w:trPr>
        <w:tc>
          <w:tcPr>
            <w:tcW w:type="dxa" w:w="26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6"/>
                <w:szCs w:val="16"/>
              </w:rPr>
              <w:t xml:space="preserve">M USD</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6"/>
                <w:szCs w:val="16"/>
              </w:rPr>
              <w:t xml:space="preserve">A1</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6"/>
                <w:szCs w:val="16"/>
              </w:rPr>
              <w:t xml:space="preserve">A2</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6"/>
                <w:szCs w:val="16"/>
              </w:rPr>
              <w:t xml:space="preserve">A3</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6"/>
                <w:szCs w:val="16"/>
              </w:rPr>
              <w:t xml:space="preserve">A4</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6"/>
                <w:szCs w:val="16"/>
              </w:rPr>
              <w:t xml:space="preserve">A5</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6"/>
                <w:szCs w:val="16"/>
              </w:rPr>
              <w:t xml:space="preserve">A6</w:t>
            </w:r>
          </w:p>
        </w:tc>
        <w:tc>
          <w:tcPr>
            <w:tcW w:type="dxa" w:w="10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FFFFFF"/>
                <w:sz w:val="16"/>
                <w:szCs w:val="16"/>
              </w:rPr>
              <w:t xml:space="preserve">A7</w:t>
            </w:r>
          </w:p>
        </w:tc>
      </w:tr>
      <w:tr>
        <w:trPr>
          <w:cantSplit/>
        </w:trPr>
        <w:tc>
          <w:tcPr>
            <w:tcW w:type="dxa" w:w="2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6"/>
                <w:szCs w:val="16"/>
              </w:rPr>
              <w:t xml:space="preserve">Chiffre d'affaires</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19,525</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25,709</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28,439</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29,385</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29,973</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30,572</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31,183</w:t>
            </w:r>
          </w:p>
        </w:tc>
      </w:tr>
      <w:tr>
        <w:trPr>
          <w:cantSplit/>
        </w:trPr>
        <w:tc>
          <w:tcPr>
            <w:tcW w:type="dxa" w:w="2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6"/>
                <w:szCs w:val="16"/>
              </w:rPr>
              <w:t xml:space="preserve">Coûts variables</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7,971</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10,522</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11,669</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12,088</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12,363</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12,645</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12,933</w:t>
            </w:r>
          </w:p>
        </w:tc>
      </w:tr>
      <w:tr>
        <w:trPr>
          <w:cantSplit/>
        </w:trPr>
        <w:tc>
          <w:tcPr>
            <w:tcW w:type="dxa" w:w="2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6"/>
                <w:szCs w:val="16"/>
              </w:rPr>
              <w:t xml:space="preserve">Coûts fixes</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4,800</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4,944</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5,092</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5,245</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5,402</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5,565</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5,731</w:t>
            </w:r>
          </w:p>
        </w:tc>
      </w:tr>
      <w:tr>
        <w:trPr>
          <w:cantSplit/>
        </w:trPr>
        <w:tc>
          <w:tcPr>
            <w:tcW w:type="dxa" w:w="2638"/>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0B2545"/>
                <w:sz w:val="16"/>
                <w:szCs w:val="16"/>
              </w:rPr>
              <w:t xml:space="preserve">EBITDA</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6"/>
                <w:szCs w:val="16"/>
              </w:rPr>
              <w:t xml:space="preserve">6,754</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6"/>
                <w:szCs w:val="16"/>
              </w:rPr>
              <w:t xml:space="preserve">10,243</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6"/>
                <w:szCs w:val="16"/>
              </w:rPr>
              <w:t xml:space="preserve">11,678</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6"/>
                <w:szCs w:val="16"/>
              </w:rPr>
              <w:t xml:space="preserve">12,051</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6"/>
                <w:szCs w:val="16"/>
              </w:rPr>
              <w:t xml:space="preserve">12,207</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6"/>
                <w:szCs w:val="16"/>
              </w:rPr>
              <w:t xml:space="preserve">12,363</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6"/>
                <w:szCs w:val="16"/>
              </w:rPr>
              <w:t xml:space="preserve">12,519</w:t>
            </w:r>
          </w:p>
        </w:tc>
      </w:tr>
      <w:tr>
        <w:trPr>
          <w:cantSplit/>
        </w:trPr>
        <w:tc>
          <w:tcPr>
            <w:tcW w:type="dxa" w:w="2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6"/>
                <w:szCs w:val="16"/>
              </w:rPr>
              <w:t xml:space="preserve">Amortissements</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3,384</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3,468</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3,628</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3,828</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4,161</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4,661</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5,861</w:t>
            </w:r>
          </w:p>
        </w:tc>
      </w:tr>
      <w:tr>
        <w:trPr>
          <w:cantSplit/>
        </w:trPr>
        <w:tc>
          <w:tcPr>
            <w:tcW w:type="dxa" w:w="2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6"/>
                <w:szCs w:val="16"/>
              </w:rPr>
              <w:t xml:space="preserve">Intérêts</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2,224</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2,206</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1,922</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1,531</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1,070</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0,565</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0,000</w:t>
            </w:r>
          </w:p>
        </w:tc>
      </w:tr>
      <w:tr>
        <w:trPr>
          <w:cantSplit/>
        </w:trPr>
        <w:tc>
          <w:tcPr>
            <w:tcW w:type="dxa" w:w="2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6"/>
                <w:szCs w:val="16"/>
              </w:rPr>
              <w:t xml:space="preserve">Impôt</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0,286</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1,142</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1,532</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1,673</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1,744</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1,784</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1,664</w:t>
            </w:r>
          </w:p>
        </w:tc>
      </w:tr>
      <w:tr>
        <w:trPr>
          <w:cantSplit/>
        </w:trPr>
        <w:tc>
          <w:tcPr>
            <w:tcW w:type="dxa" w:w="2638"/>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0B2545"/>
                <w:sz w:val="16"/>
                <w:szCs w:val="16"/>
              </w:rPr>
              <w:t xml:space="preserve">Résultat net</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6"/>
                <w:szCs w:val="16"/>
              </w:rPr>
              <w:t xml:space="preserve">0,859</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6"/>
                <w:szCs w:val="16"/>
              </w:rPr>
              <w:t xml:space="preserve">3,427</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6"/>
                <w:szCs w:val="16"/>
              </w:rPr>
              <w:t xml:space="preserve">4,596</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6"/>
                <w:szCs w:val="16"/>
              </w:rPr>
              <w:t xml:space="preserve">5,019</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6"/>
                <w:szCs w:val="16"/>
              </w:rPr>
              <w:t xml:space="preserve">5,232</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6"/>
                <w:szCs w:val="16"/>
              </w:rPr>
              <w:t xml:space="preserve">5,352</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6"/>
                <w:szCs w:val="16"/>
              </w:rPr>
              <w:t xml:space="preserve">4,993</w:t>
            </w:r>
          </w:p>
        </w:tc>
      </w:tr>
      <w:tr>
        <w:trPr>
          <w:cantSplit/>
        </w:trPr>
        <w:tc>
          <w:tcPr>
            <w:tcW w:type="dxa" w:w="26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6"/>
                <w:szCs w:val="16"/>
              </w:rPr>
              <w:t xml:space="preserve">CFADS</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3,825</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7,859</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9,018</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9,465</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9,393</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9,507</w:t>
            </w:r>
          </w:p>
        </w:tc>
        <w:tc>
          <w:tcPr>
            <w:tcW w:type="dxa" w:w="10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18,323</w:t>
            </w:r>
          </w:p>
        </w:tc>
      </w:tr>
      <w:tr>
        <w:trPr>
          <w:cantSplit/>
        </w:trPr>
        <w:tc>
          <w:tcPr>
            <w:tcW w:type="dxa" w:w="2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6"/>
                <w:szCs w:val="16"/>
              </w:rPr>
              <w:t xml:space="preserve">Principal</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0,169</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2,711</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3,721</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4,391</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4,807</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5,383</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0,000</w:t>
            </w:r>
          </w:p>
        </w:tc>
      </w:tr>
      <w:tr>
        <w:trPr>
          <w:cantSplit/>
        </w:trPr>
        <w:tc>
          <w:tcPr>
            <w:tcW w:type="dxa" w:w="2638"/>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0B2545"/>
                <w:sz w:val="16"/>
                <w:szCs w:val="16"/>
              </w:rPr>
              <w:t xml:space="preserve">Flux actionnaires</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6"/>
                <w:szCs w:val="16"/>
              </w:rPr>
              <w:t xml:space="preserve">2,170</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6"/>
                <w:szCs w:val="16"/>
              </w:rPr>
              <w:t xml:space="preserve">2,579</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6"/>
                <w:szCs w:val="16"/>
              </w:rPr>
              <w:t xml:space="preserve">3,236</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6"/>
                <w:szCs w:val="16"/>
              </w:rPr>
              <w:t xml:space="preserve">3,565</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6"/>
                <w:szCs w:val="16"/>
              </w:rPr>
              <w:t xml:space="preserve">3,480</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6"/>
                <w:szCs w:val="16"/>
              </w:rPr>
              <w:t xml:space="preserve">6,533</w:t>
            </w:r>
          </w:p>
        </w:tc>
        <w:tc>
          <w:tcPr>
            <w:tcW w:type="dxa" w:w="1000"/>
            <w:tcBorders>
              <w:top w:val="single" w:color="D5DCE6" w:sz="4"/>
              <w:left w:val="none" w:color="FFFFFF" w:sz="0"/>
              <w:bottom w:val="single" w:color="D5DCE6" w:sz="4"/>
              <w:right w:val="none" w:color="FFFFFF" w:sz="0"/>
            </w:tcBorders>
            <w:shd w:fill="EEF3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bCs/>
                <w:color w:val="0B2545"/>
                <w:sz w:val="16"/>
                <w:szCs w:val="16"/>
              </w:rPr>
              <w:t xml:space="preserve">19,323</w:t>
            </w:r>
          </w:p>
        </w:tc>
      </w:tr>
      <w:tr>
        <w:trPr>
          <w:cantSplit/>
        </w:trPr>
        <w:tc>
          <w:tcPr>
            <w:tcW w:type="dxa" w:w="26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color w:val="1F2937"/>
                <w:sz w:val="16"/>
                <w:szCs w:val="16"/>
              </w:rPr>
              <w:t xml:space="preserve">Encours de dette fin</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21,013</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18,302</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14,581</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10,190</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5,383</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0,000</w:t>
            </w:r>
          </w:p>
        </w:tc>
        <w:tc>
          <w:tcPr>
            <w:tcW w:type="dxa" w:w="10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right"/>
            </w:pPr>
            <w:r>
              <w:rPr>
                <w:rFonts w:ascii="Calibri" w:cs="Calibri" w:eastAsia="Calibri" w:hAnsi="Calibri"/>
                <w:b w:val="false"/>
                <w:bCs w:val="false"/>
                <w:color w:val="1F2937"/>
                <w:sz w:val="16"/>
                <w:szCs w:val="16"/>
              </w:rPr>
              <w:t xml:space="preserve">0,000</w:t>
            </w:r>
          </w:p>
        </w:tc>
      </w:tr>
    </w:tbl>
    <w:p>
      <w:pPr>
        <w:spacing w:after="180"/>
      </w:pPr>
    </w:p>
    <w:p>
      <w:pPr>
        <w:spacing w:after="120" w:before="0" w:line="276"/>
        <w:jc w:val="both"/>
      </w:pPr>
      <w:r>
        <w:rPr>
          <w:rFonts w:ascii="Calibri" w:cs="Calibri" w:eastAsia="Calibri" w:hAnsi="Calibri"/>
          <w:color w:val="1F2937"/>
          <w:sz w:val="21"/>
          <w:szCs w:val="21"/>
        </w:rPr>
        <w:t xml:space="preserve">Flux des actionnaires : apport de 11,406 M USD en année 0, puis flux ci-dessus. TRI fonds propres 29,7 % ; TRI projet après impôt 19,9 % ; VAN des fonds propres à 18 % : 6,10 M USD.</w:t>
      </w:r>
    </w:p>
    <w:p>
      <w:pPr>
        <w:pStyle w:val="Heading1"/>
        <w:keepNext/>
        <w:pageBreakBefore/>
        <w:pBdr>
          <w:bottom w:val="single" w:color="C8962E" w:sz="12" w:space="6"/>
        </w:pBdr>
        <w:spacing w:after="80"/>
      </w:pPr>
      <w:r>
        <w:rPr>
          <w:rFonts w:ascii="Calibri" w:cs="Calibri" w:eastAsia="Calibri" w:hAnsi="Calibri"/>
          <w:b/>
          <w:bCs/>
          <w:color w:val="0B2545"/>
          <w:sz w:val="32"/>
          <w:szCs w:val="32"/>
        </w:rPr>
        <w:t xml:space="preserve">ANNEXE D — CAHIER DES CHARGES MINIMAL DES CAMIONS</w:t>
      </w:r>
    </w:p>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7238"/>
      </w:tblGrid>
      <w:tr>
        <w:trPr>
          <w:tblHeader/>
        </w:trPr>
        <w:tc>
          <w:tcPr>
            <w:tcW w:type="dxa" w:w="24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Élément</w:t>
            </w:r>
          </w:p>
        </w:tc>
        <w:tc>
          <w:tcPr>
            <w:tcW w:type="dxa" w:w="72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Exigence</w:t>
            </w:r>
          </w:p>
        </w:tc>
      </w:tr>
      <w:tr>
        <w:trPr>
          <w:cantSplit/>
        </w:trPr>
        <w:tc>
          <w:tcPr>
            <w:tcW w:type="dxa" w:w="2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Configuration</w:t>
            </w:r>
          </w:p>
        </w:tc>
        <w:tc>
          <w:tcPr>
            <w:tcW w:type="dxa" w:w="72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Camion-benne adapté au corridor et à la charge utile contractuelle</w:t>
            </w:r>
          </w:p>
        </w:tc>
      </w:tr>
      <w:tr>
        <w:trPr>
          <w:cantSplit/>
        </w:trPr>
        <w:tc>
          <w:tcPr>
            <w:tcW w:type="dxa" w:w="2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Motorisation</w:t>
            </w:r>
          </w:p>
        </w:tc>
        <w:tc>
          <w:tcPr>
            <w:tcW w:type="dxa" w:w="72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Puissance et refroidissement adaptés à la pente, à la poussière et à la chaleur</w:t>
            </w:r>
          </w:p>
        </w:tc>
      </w:tr>
      <w:tr>
        <w:trPr>
          <w:cantSplit/>
        </w:trPr>
        <w:tc>
          <w:tcPr>
            <w:tcW w:type="dxa" w:w="2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Freinage</w:t>
            </w:r>
          </w:p>
        </w:tc>
        <w:tc>
          <w:tcPr>
            <w:tcW w:type="dxa" w:w="72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Frein moteur / ralentisseur, ABS selon configuration, avertisseurs</w:t>
            </w:r>
          </w:p>
        </w:tc>
      </w:tr>
      <w:tr>
        <w:trPr>
          <w:cantSplit/>
        </w:trPr>
        <w:tc>
          <w:tcPr>
            <w:tcW w:type="dxa" w:w="2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Benne</w:t>
            </w:r>
          </w:p>
        </w:tc>
        <w:tc>
          <w:tcPr>
            <w:tcW w:type="dxa" w:w="72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Volume compatible avec la densité de la bauxite, protection anti-usure, bâchage si requis</w:t>
            </w:r>
          </w:p>
        </w:tc>
      </w:tr>
      <w:tr>
        <w:trPr>
          <w:cantSplit/>
        </w:trPr>
        <w:tc>
          <w:tcPr>
            <w:tcW w:type="dxa" w:w="2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Sécurité</w:t>
            </w:r>
          </w:p>
        </w:tc>
        <w:tc>
          <w:tcPr>
            <w:tcW w:type="dxa" w:w="72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ROPS/FOPS si exigé, caméras, alarme de recul, extincteurs, coupe-batterie</w:t>
            </w:r>
          </w:p>
        </w:tc>
      </w:tr>
      <w:tr>
        <w:trPr>
          <w:cantSplit/>
        </w:trPr>
        <w:tc>
          <w:tcPr>
            <w:tcW w:type="dxa" w:w="2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Télématique</w:t>
            </w:r>
          </w:p>
        </w:tc>
        <w:tc>
          <w:tcPr>
            <w:tcW w:type="dxa" w:w="72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GPS, IVMS, lecture CAN, carburant, vitesse, géorepérage</w:t>
            </w:r>
          </w:p>
        </w:tc>
      </w:tr>
      <w:tr>
        <w:trPr>
          <w:cantSplit/>
        </w:trPr>
        <w:tc>
          <w:tcPr>
            <w:tcW w:type="dxa" w:w="24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Maintenance</w:t>
            </w:r>
          </w:p>
        </w:tc>
        <w:tc>
          <w:tcPr>
            <w:tcW w:type="dxa" w:w="72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Garantie, formation, outillage, documentation et stock initial</w:t>
            </w:r>
          </w:p>
        </w:tc>
      </w:tr>
      <w:tr>
        <w:trPr>
          <w:cantSplit/>
        </w:trPr>
        <w:tc>
          <w:tcPr>
            <w:tcW w:type="dxa" w:w="24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Confort</w:t>
            </w:r>
          </w:p>
        </w:tc>
        <w:tc>
          <w:tcPr>
            <w:tcW w:type="dxa" w:w="72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Climatisation, siège suspendu, réduction de la fatigue et visibilité</w:t>
            </w:r>
          </w:p>
        </w:tc>
      </w:tr>
    </w:tbl>
    <w:p>
      <w:pPr>
        <w:spacing w:after="180"/>
      </w:pPr>
    </w:p>
    <w:p>
      <w:pPr>
        <w:pStyle w:val="Heading1"/>
        <w:keepNext/>
        <w:pageBreakBefore/>
        <w:pBdr>
          <w:bottom w:val="single" w:color="C8962E" w:sz="12" w:space="6"/>
        </w:pBdr>
        <w:spacing w:after="80"/>
      </w:pPr>
      <w:r>
        <w:rPr>
          <w:rFonts w:ascii="Calibri" w:cs="Calibri" w:eastAsia="Calibri" w:hAnsi="Calibri"/>
          <w:b/>
          <w:bCs/>
          <w:color w:val="0B2545"/>
          <w:sz w:val="32"/>
          <w:szCs w:val="32"/>
        </w:rPr>
        <w:t xml:space="preserve">ANNEXE E — NOTE DE RÉVISION : HARMONISATION DES VERSIONS 1 ET 2</w:t>
      </w:r>
    </w:p>
    <w:p>
      <w:pPr>
        <w:spacing w:after="160"/>
      </w:pPr>
    </w:p>
    <w:p>
      <w:pPr>
        <w:spacing w:after="120" w:before="0" w:line="276"/>
        <w:jc w:val="both"/>
      </w:pPr>
      <w:r>
        <w:rPr>
          <w:rFonts w:ascii="Calibri" w:cs="Calibri" w:eastAsia="Calibri" w:hAnsi="Calibri"/>
          <w:color w:val="1F2937"/>
          <w:sz w:val="21"/>
          <w:szCs w:val="21"/>
        </w:rPr>
        <w:t xml:space="preserve">La présente version consolide les deux versions antérieures du business plan et révise le modèle financier pour le rendre conforme aux attentes des prêteurs internationaux. Les principales modifications sont les suivantes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3419"/>
        <w:gridCol w:w="4019"/>
      </w:tblGrid>
      <w:tr>
        <w:trPr>
          <w:tblHeader/>
        </w:trPr>
        <w:tc>
          <w:tcPr>
            <w:tcW w:type="dxa" w:w="22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7"/>
                <w:szCs w:val="17"/>
              </w:rPr>
              <w:t xml:space="preserve">Point</w:t>
            </w:r>
          </w:p>
        </w:tc>
        <w:tc>
          <w:tcPr>
            <w:tcW w:type="dxa" w:w="3419"/>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7"/>
                <w:szCs w:val="17"/>
              </w:rPr>
              <w:t xml:space="preserve">Versions 1 et 2</w:t>
            </w:r>
          </w:p>
        </w:tc>
        <w:tc>
          <w:tcPr>
            <w:tcW w:type="dxa" w:w="4019"/>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7"/>
                <w:szCs w:val="17"/>
              </w:rPr>
              <w:t xml:space="preserve">Version 3.0 consolidée</w:t>
            </w:r>
          </w:p>
        </w:tc>
      </w:tr>
      <w:tr>
        <w:trPr>
          <w:cantSplit/>
        </w:trPr>
        <w:tc>
          <w:tcPr>
            <w:tcW w:type="dxa" w:w="2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7"/>
                <w:szCs w:val="17"/>
              </w:rPr>
              <w:t xml:space="preserve">Présentation des nombres</w:t>
            </w:r>
          </w:p>
        </w:tc>
        <w:tc>
          <w:tcPr>
            <w:tcW w:type="dxa" w:w="34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7"/>
                <w:szCs w:val="17"/>
              </w:rPr>
              <w:t xml:space="preserve">Mélange de points et virgules décimales (v1)</w:t>
            </w:r>
          </w:p>
        </w:tc>
        <w:tc>
          <w:tcPr>
            <w:tcW w:type="dxa" w:w="40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7"/>
                <w:szCs w:val="17"/>
              </w:rPr>
              <w:t xml:space="preserve">Format français homogène (virgule décimale)</w:t>
            </w:r>
          </w:p>
        </w:tc>
      </w:tr>
      <w:tr>
        <w:trPr>
          <w:cantSplit/>
        </w:trPr>
        <w:tc>
          <w:tcPr>
            <w:tcW w:type="dxa" w:w="22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7"/>
                <w:szCs w:val="17"/>
              </w:rPr>
              <w:t xml:space="preserve">Part de marché</w:t>
            </w:r>
          </w:p>
        </w:tc>
        <w:tc>
          <w:tcPr>
            <w:tcW w:type="dxa" w:w="34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7"/>
                <w:szCs w:val="17"/>
              </w:rPr>
              <w:t xml:space="preserve">« environ 2,2 % » et « 2,13 % » selon les pages</w:t>
            </w:r>
          </w:p>
        </w:tc>
        <w:tc>
          <w:tcPr>
            <w:tcW w:type="dxa" w:w="40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7"/>
                <w:szCs w:val="17"/>
              </w:rPr>
              <w:t xml:space="preserve">2,1 % partout (3,90 / 182,83 Mt)</w:t>
            </w:r>
          </w:p>
        </w:tc>
      </w:tr>
      <w:tr>
        <w:trPr>
          <w:cantSplit/>
        </w:trPr>
        <w:tc>
          <w:tcPr>
            <w:tcW w:type="dxa" w:w="2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7"/>
                <w:szCs w:val="17"/>
              </w:rPr>
              <w:t xml:space="preserve">Calendrier</w:t>
            </w:r>
          </w:p>
        </w:tc>
        <w:tc>
          <w:tcPr>
            <w:tcW w:type="dxa" w:w="34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7"/>
                <w:szCs w:val="17"/>
              </w:rPr>
              <w:t xml:space="preserve">Exploitation dès l’année 1, alors que la mobilisation dure 12 mois</w:t>
            </w:r>
          </w:p>
        </w:tc>
        <w:tc>
          <w:tcPr>
            <w:tcW w:type="dxa" w:w="40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7"/>
                <w:szCs w:val="17"/>
              </w:rPr>
              <w:t xml:space="preserve">Année 0 de mobilisation ajoutée, cohérente avec le planning</w:t>
            </w:r>
          </w:p>
        </w:tc>
      </w:tr>
      <w:tr>
        <w:trPr>
          <w:cantSplit/>
        </w:trPr>
        <w:tc>
          <w:tcPr>
            <w:tcW w:type="dxa" w:w="22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7"/>
                <w:szCs w:val="17"/>
              </w:rPr>
              <w:t xml:space="preserve">Coût total</w:t>
            </w:r>
          </w:p>
        </w:tc>
        <w:tc>
          <w:tcPr>
            <w:tcW w:type="dxa" w:w="34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7"/>
                <w:szCs w:val="17"/>
              </w:rPr>
              <w:t xml:space="preserve">30,0 M USD (investissements seuls)</w:t>
            </w:r>
          </w:p>
        </w:tc>
        <w:tc>
          <w:tcPr>
            <w:tcW w:type="dxa" w:w="40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7"/>
                <w:szCs w:val="17"/>
              </w:rPr>
              <w:t xml:space="preserve">32,6 M USD avec frais, intérêts intercalaires et DSRA</w:t>
            </w:r>
          </w:p>
        </w:tc>
      </w:tr>
      <w:tr>
        <w:trPr>
          <w:cantSplit/>
        </w:trPr>
        <w:tc>
          <w:tcPr>
            <w:tcW w:type="dxa" w:w="2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7"/>
                <w:szCs w:val="17"/>
              </w:rPr>
              <w:t xml:space="preserve">Financement</w:t>
            </w:r>
          </w:p>
        </w:tc>
        <w:tc>
          <w:tcPr>
            <w:tcW w:type="dxa" w:w="34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7"/>
                <w:szCs w:val="17"/>
              </w:rPr>
              <w:t xml:space="preserve">Dette 19,5 M USD / fonds propres 10,5 M USD</w:t>
            </w:r>
          </w:p>
        </w:tc>
        <w:tc>
          <w:tcPr>
            <w:tcW w:type="dxa" w:w="40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7"/>
                <w:szCs w:val="17"/>
              </w:rPr>
              <w:t xml:space="preserve">Dette 21,2 M USD / fonds propres 11,4 M USD (65/35 maintenu)</w:t>
            </w:r>
          </w:p>
        </w:tc>
      </w:tr>
      <w:tr>
        <w:trPr>
          <w:cantSplit/>
        </w:trPr>
        <w:tc>
          <w:tcPr>
            <w:tcW w:type="dxa" w:w="22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7"/>
                <w:szCs w:val="17"/>
              </w:rPr>
              <w:t xml:space="preserve">Remboursement</w:t>
            </w:r>
          </w:p>
        </w:tc>
        <w:tc>
          <w:tcPr>
            <w:tcW w:type="dxa" w:w="34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7"/>
                <w:szCs w:val="17"/>
              </w:rPr>
              <w:t xml:space="preserve">Linéaire sur 5 ans après 12 mois de grâce</w:t>
            </w:r>
          </w:p>
        </w:tc>
        <w:tc>
          <w:tcPr>
            <w:tcW w:type="dxa" w:w="40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7"/>
                <w:szCs w:val="17"/>
              </w:rPr>
              <w:t xml:space="preserve">Sculpté sur DSCR constant, 7 ans au total</w:t>
            </w:r>
          </w:p>
        </w:tc>
      </w:tr>
      <w:tr>
        <w:trPr>
          <w:cantSplit/>
        </w:trPr>
        <w:tc>
          <w:tcPr>
            <w:tcW w:type="dxa" w:w="2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7"/>
                <w:szCs w:val="17"/>
              </w:rPr>
              <w:t xml:space="preserve">BFR et amortissements</w:t>
            </w:r>
          </w:p>
        </w:tc>
        <w:tc>
          <w:tcPr>
            <w:tcW w:type="dxa" w:w="34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7"/>
                <w:szCs w:val="17"/>
              </w:rPr>
              <w:t xml:space="preserve">BFR fixe ; valeur résiduelle et BFR agrégés (8,0 M USD)</w:t>
            </w:r>
          </w:p>
        </w:tc>
        <w:tc>
          <w:tcPr>
            <w:tcW w:type="dxa" w:w="40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7"/>
                <w:szCs w:val="17"/>
              </w:rPr>
              <w:t xml:space="preserve">BFR à 12 % du CA ; amortissement jusqu’à VR 5,0 M USD (IAS 16)</w:t>
            </w:r>
          </w:p>
        </w:tc>
      </w:tr>
      <w:tr>
        <w:trPr>
          <w:cantSplit/>
        </w:trPr>
        <w:tc>
          <w:tcPr>
            <w:tcW w:type="dxa" w:w="22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7"/>
                <w:szCs w:val="17"/>
              </w:rPr>
              <w:t xml:space="preserve">Hypothèses implicites</w:t>
            </w:r>
          </w:p>
        </w:tc>
        <w:tc>
          <w:tcPr>
            <w:tcW w:type="dxa" w:w="34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7"/>
                <w:szCs w:val="17"/>
              </w:rPr>
              <w:t xml:space="preserve">Escalade des coûts variables non documentée</w:t>
            </w:r>
          </w:p>
        </w:tc>
        <w:tc>
          <w:tcPr>
            <w:tcW w:type="dxa" w:w="40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7"/>
                <w:szCs w:val="17"/>
              </w:rPr>
              <w:t xml:space="preserve">Diesel + 1,5 %/an et autres variables + 3 %/an explicités</w:t>
            </w:r>
          </w:p>
        </w:tc>
      </w:tr>
      <w:tr>
        <w:trPr>
          <w:cantSplit/>
        </w:trPr>
        <w:tc>
          <w:tcPr>
            <w:tcW w:type="dxa" w:w="2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7"/>
                <w:szCs w:val="17"/>
              </w:rPr>
              <w:t xml:space="preserve">Normes et gouvernance</w:t>
            </w:r>
          </w:p>
        </w:tc>
        <w:tc>
          <w:tcPr>
            <w:tcW w:type="dxa" w:w="34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7"/>
                <w:szCs w:val="17"/>
              </w:rPr>
              <w:t xml:space="preserve">Non traitées</w:t>
            </w:r>
          </w:p>
        </w:tc>
        <w:tc>
          <w:tcPr>
            <w:tcW w:type="dxa" w:w="40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7"/>
                <w:szCs w:val="17"/>
              </w:rPr>
              <w:t xml:space="preserve">Term sheet, covenants, waterfall, IFC PS, Principes de l’Équateur, KYC/LBC, reporting</w:t>
            </w:r>
          </w:p>
        </w:tc>
      </w:tr>
      <w:tr>
        <w:trPr>
          <w:cantSplit/>
        </w:trPr>
        <w:tc>
          <w:tcPr>
            <w:tcW w:type="dxa" w:w="22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7"/>
                <w:szCs w:val="17"/>
              </w:rPr>
              <w:t xml:space="preserve">Résultats clés</w:t>
            </w:r>
          </w:p>
        </w:tc>
        <w:tc>
          <w:tcPr>
            <w:tcW w:type="dxa" w:w="34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7"/>
                <w:szCs w:val="17"/>
              </w:rPr>
              <w:t xml:space="preserve">TRI 37,3 % ; VAN 8,45 M$ ; DSCR min. 1,44x</w:t>
            </w:r>
          </w:p>
        </w:tc>
        <w:tc>
          <w:tcPr>
            <w:tcW w:type="dxa" w:w="4019"/>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7"/>
                <w:szCs w:val="17"/>
              </w:rPr>
              <w:t xml:space="preserve">TRI 29,7 % ; VAN 6,10 M$ ; DSCR min. 1,60x</w:t>
            </w:r>
          </w:p>
        </w:tc>
      </w:tr>
      <w:tr>
        <w:trPr>
          <w:cantSplit/>
        </w:trPr>
        <w:tc>
          <w:tcPr>
            <w:tcW w:type="dxa" w:w="2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7"/>
                <w:szCs w:val="17"/>
              </w:rPr>
              <w:t xml:space="preserve">Seuils de négociation</w:t>
            </w:r>
          </w:p>
        </w:tc>
        <w:tc>
          <w:tcPr>
            <w:tcW w:type="dxa" w:w="34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7"/>
                <w:szCs w:val="17"/>
              </w:rPr>
              <w:t xml:space="preserve">Tarif ≥ 6,93 USD/t ; volume ≥ 3,30 Mt</w:t>
            </w:r>
          </w:p>
        </w:tc>
        <w:tc>
          <w:tcPr>
            <w:tcW w:type="dxa" w:w="4019"/>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7"/>
                <w:szCs w:val="17"/>
              </w:rPr>
              <w:t xml:space="preserve">Tarif ≥ 6,55 USD/t ; volume ≥ 3,38 Mt en régime</w:t>
            </w:r>
          </w:p>
        </w:tc>
      </w:tr>
    </w:tbl>
    <w:p>
      <w:pPr>
        <w:spacing w:after="180"/>
      </w:pPr>
    </w:p>
    <w:p>
      <w:pPr>
        <w:spacing w:after="120" w:before="0" w:line="276"/>
        <w:jc w:val="both"/>
      </w:pPr>
      <w:r>
        <w:rPr>
          <w:rFonts w:ascii="Calibri" w:cs="Calibri" w:eastAsia="Calibri" w:hAnsi="Calibri"/>
          <w:color w:val="1F2937"/>
          <w:sz w:val="21"/>
          <w:szCs w:val="21"/>
        </w:rPr>
        <w:t xml:space="preserve">La baisse du TRI par rapport aux versions précédentes résulte principalement de l’intégration de la période de mobilisation (les fonds propres sont investis un an avant les premiers revenus) et des coûts de financement. Elle rend le dossier </w:t>
      </w:r>
      <w:r>
        <w:rPr>
          <w:rFonts w:ascii="Calibri" w:cs="Calibri" w:eastAsia="Calibri" w:hAnsi="Calibri"/>
          <w:b/>
          <w:bCs/>
          <w:color w:val="0B2545"/>
          <w:sz w:val="21"/>
          <w:szCs w:val="21"/>
        </w:rPr>
        <w:t xml:space="preserve">plus crédible</w:t>
      </w:r>
      <w:r>
        <w:rPr>
          <w:rFonts w:ascii="Calibri" w:cs="Calibri" w:eastAsia="Calibri" w:hAnsi="Calibri"/>
          <w:color w:val="1F2937"/>
          <w:sz w:val="21"/>
          <w:szCs w:val="21"/>
        </w:rPr>
        <w:t xml:space="preserve"> auprès d’un comité de crédit, qui aurait de toute façon retraité ces éléments.</w:t>
      </w:r>
    </w:p>
    <w:p>
      <w:pPr>
        <w:pStyle w:val="Heading1"/>
        <w:keepNext/>
        <w:pageBreakBefore/>
        <w:pBdr>
          <w:bottom w:val="single" w:color="C8962E" w:sz="12" w:space="6"/>
        </w:pBdr>
        <w:spacing w:after="80"/>
      </w:pPr>
      <w:r>
        <w:rPr>
          <w:rFonts w:ascii="Calibri" w:cs="Calibri" w:eastAsia="Calibri" w:hAnsi="Calibri"/>
          <w:b/>
          <w:bCs/>
          <w:color w:val="0B2545"/>
          <w:sz w:val="32"/>
          <w:szCs w:val="32"/>
        </w:rPr>
        <w:t xml:space="preserve">ANNEXE F — GLOSSAIRE FINANCIER</w:t>
      </w:r>
    </w:p>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7438"/>
      </w:tblGrid>
      <w:tr>
        <w:trPr>
          <w:tblHeader/>
        </w:trPr>
        <w:tc>
          <w:tcPr>
            <w:tcW w:type="dxa" w:w="2200"/>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Terme</w:t>
            </w:r>
          </w:p>
        </w:tc>
        <w:tc>
          <w:tcPr>
            <w:tcW w:type="dxa" w:w="7438"/>
            <w:tcBorders>
              <w:top w:val="single" w:color="D5DCE6" w:sz="4"/>
              <w:left w:val="none" w:color="FFFFFF" w:sz="0"/>
              <w:bottom w:val="single" w:color="D5DCE6" w:sz="4"/>
              <w:right w:val="none" w:color="FFFFFF" w:sz="0"/>
            </w:tcBorders>
            <w:shd w:fill="0B2545"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FFFFFF"/>
                <w:sz w:val="18"/>
                <w:szCs w:val="18"/>
              </w:rPr>
              <w:t xml:space="preserve">Définition</w:t>
            </w:r>
          </w:p>
        </w:tc>
      </w:tr>
      <w:tr>
        <w:trPr>
          <w:cantSplit/>
        </w:trPr>
        <w:tc>
          <w:tcPr>
            <w:tcW w:type="dxa" w:w="2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CFADS</w:t>
            </w:r>
          </w:p>
        </w:tc>
        <w:tc>
          <w:tcPr>
            <w:tcW w:type="dxa" w:w="74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Cash Flow Available for Debt Service : flux de trésorerie disponible pour le service de la dette (EBITDA − impôts − CAPEX de maintien − variation du BFR)</w:t>
            </w:r>
          </w:p>
        </w:tc>
      </w:tr>
      <w:tr>
        <w:trPr>
          <w:cantSplit/>
        </w:trPr>
        <w:tc>
          <w:tcPr>
            <w:tcW w:type="dxa" w:w="22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DSCR</w:t>
            </w:r>
          </w:p>
        </w:tc>
        <w:tc>
          <w:tcPr>
            <w:tcW w:type="dxa" w:w="74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Debt Service Coverage Ratio : CFADS de la période / service de la dette (intérêts + principal) de la période</w:t>
            </w:r>
          </w:p>
        </w:tc>
      </w:tr>
      <w:tr>
        <w:trPr>
          <w:cantSplit/>
        </w:trPr>
        <w:tc>
          <w:tcPr>
            <w:tcW w:type="dxa" w:w="2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LLCR</w:t>
            </w:r>
          </w:p>
        </w:tc>
        <w:tc>
          <w:tcPr>
            <w:tcW w:type="dxa" w:w="74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Loan Life Coverage Ratio : valeur actualisée des CFADS sur la durée restante du prêt / encours de la dette</w:t>
            </w:r>
          </w:p>
        </w:tc>
      </w:tr>
      <w:tr>
        <w:trPr>
          <w:cantSplit/>
        </w:trPr>
        <w:tc>
          <w:tcPr>
            <w:tcW w:type="dxa" w:w="22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DSRA</w:t>
            </w:r>
          </w:p>
        </w:tc>
        <w:tc>
          <w:tcPr>
            <w:tcW w:type="dxa" w:w="74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Debt Service Reserve Account : compte de réserve nanti couvrant 6 mois de service de la dette</w:t>
            </w:r>
          </w:p>
        </w:tc>
      </w:tr>
      <w:tr>
        <w:trPr>
          <w:cantSplit/>
        </w:trPr>
        <w:tc>
          <w:tcPr>
            <w:tcW w:type="dxa" w:w="2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MRA</w:t>
            </w:r>
          </w:p>
        </w:tc>
        <w:tc>
          <w:tcPr>
            <w:tcW w:type="dxa" w:w="74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Maintenance Reserve Account : compte de réserve pour les révisions majeures de la flotte</w:t>
            </w:r>
          </w:p>
        </w:tc>
      </w:tr>
      <w:tr>
        <w:trPr>
          <w:cantSplit/>
        </w:trPr>
        <w:tc>
          <w:tcPr>
            <w:tcW w:type="dxa" w:w="22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IDC</w:t>
            </w:r>
          </w:p>
        </w:tc>
        <w:tc>
          <w:tcPr>
            <w:tcW w:type="dxa" w:w="74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Interest During Construction : intérêts intercalaires de la période de mobilisation, capitalisés</w:t>
            </w:r>
          </w:p>
        </w:tc>
      </w:tr>
      <w:tr>
        <w:trPr>
          <w:cantSplit/>
        </w:trPr>
        <w:tc>
          <w:tcPr>
            <w:tcW w:type="dxa" w:w="2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Take-or-pay</w:t>
            </w:r>
          </w:p>
        </w:tc>
        <w:tc>
          <w:tcPr>
            <w:tcW w:type="dxa" w:w="74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Engagement du client de payer un volume minimum, qu’il soit transporté ou non</w:t>
            </w:r>
          </w:p>
        </w:tc>
      </w:tr>
      <w:tr>
        <w:trPr>
          <w:cantSplit/>
        </w:trPr>
        <w:tc>
          <w:tcPr>
            <w:tcW w:type="dxa" w:w="22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TRI / VAN</w:t>
            </w:r>
          </w:p>
        </w:tc>
        <w:tc>
          <w:tcPr>
            <w:tcW w:type="dxa" w:w="74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Taux de rendement interne / valeur actuelle nette des flux de trésorerie</w:t>
            </w:r>
          </w:p>
        </w:tc>
      </w:tr>
      <w:tr>
        <w:trPr>
          <w:cantSplit/>
        </w:trPr>
        <w:tc>
          <w:tcPr>
            <w:tcW w:type="dxa" w:w="2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Remboursement sculpté</w:t>
            </w:r>
          </w:p>
        </w:tc>
        <w:tc>
          <w:tcPr>
            <w:tcW w:type="dxa" w:w="74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Échéancier dont le principal est ajusté aux flux prévus pour maintenir un DSCR constant</w:t>
            </w:r>
          </w:p>
        </w:tc>
      </w:tr>
      <w:tr>
        <w:trPr>
          <w:cantSplit/>
        </w:trPr>
        <w:tc>
          <w:tcPr>
            <w:tcW w:type="dxa" w:w="2200"/>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Waterfall</w:t>
            </w:r>
          </w:p>
        </w:tc>
        <w:tc>
          <w:tcPr>
            <w:tcW w:type="dxa" w:w="7438"/>
            <w:tcBorders>
              <w:top w:val="single" w:color="D5DCE6" w:sz="4"/>
              <w:left w:val="none" w:color="FFFFFF" w:sz="0"/>
              <w:bottom w:val="single" w:color="D5DCE6" w:sz="4"/>
              <w:right w:val="none" w:color="FFFFFF" w:sz="0"/>
            </w:tcBorders>
            <w:shd w:fill="F6F8FB" w:color="auto" w:val="clear"/>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Cascade contractuelle d’affectation des recettes du projet</w:t>
            </w:r>
          </w:p>
        </w:tc>
      </w:tr>
      <w:tr>
        <w:trPr>
          <w:cantSplit/>
        </w:trPr>
        <w:tc>
          <w:tcPr>
            <w:tcW w:type="dxa" w:w="2200"/>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bCs/>
                <w:color w:val="1F2937"/>
                <w:sz w:val="18"/>
                <w:szCs w:val="18"/>
              </w:rPr>
              <w:t xml:space="preserve">Step-in</w:t>
            </w:r>
          </w:p>
        </w:tc>
        <w:tc>
          <w:tcPr>
            <w:tcW w:type="dxa" w:w="7438"/>
            <w:tcBorders>
              <w:top w:val="single" w:color="D5DCE6" w:sz="4"/>
              <w:left w:val="none" w:color="FFFFFF" w:sz="0"/>
              <w:bottom w:val="single" w:color="D5DCE6" w:sz="4"/>
              <w:right w:val="none" w:color="FFFFFF" w:sz="0"/>
            </w:tcBorders>
            <w:tcMar>
              <w:top w:type="dxa" w:w="60"/>
              <w:left w:type="dxa" w:w="100"/>
              <w:bottom w:type="dxa" w:w="60"/>
              <w:right w:type="dxa" w:w="100"/>
            </w:tcMar>
            <w:vAlign w:val="center"/>
          </w:tcPr>
          <w:p>
            <w:pPr>
              <w:spacing w:after="0" w:before="0" w:line="252"/>
              <w:jc w:val="left"/>
            </w:pPr>
            <w:r>
              <w:rPr>
                <w:rFonts w:ascii="Calibri" w:cs="Calibri" w:eastAsia="Calibri" w:hAnsi="Calibri"/>
                <w:b w:val="false"/>
                <w:bCs w:val="false"/>
                <w:color w:val="1F2937"/>
                <w:sz w:val="18"/>
                <w:szCs w:val="18"/>
              </w:rPr>
              <w:t xml:space="preserve">Droit des prêteurs de se substituer à l’emprunteur défaillant dans l’exécution du contrat</w:t>
            </w:r>
          </w:p>
        </w:tc>
      </w:tr>
    </w:tbl>
    <w:p>
      <w:pPr>
        <w:spacing w:after="18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4" w:space="6"/>
      </w:pBdr>
      <w:jc w:val="center"/>
    </w:pPr>
    <w:r>
      <w:rPr>
        <w:rFonts w:ascii="Calibri" w:cs="Calibri" w:eastAsia="Calibri" w:hAnsi="Calibri"/>
        <w:color w:val="6B7280"/>
        <w:sz w:val="16"/>
        <w:szCs w:val="16"/>
      </w:rPr>
      <w:t xml:space="preserve">Strictement confidentiel  ·  ALPHA B HANOK SARL  ·  Version 3.0 — septembre 2026  ·  Page </w:t>
    </w:r>
    <w:r>
      <w:rPr>
        <w:rFonts w:ascii="Calibri" w:cs="Calibri" w:eastAsia="Calibri" w:hAnsi="Calibri"/>
        <w:b/>
        <w:bCs/>
        <w:color w:val="0B2545"/>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000"/>
      <w:gridCol w:w="7638"/>
    </w:tblGrid>
    <w:tr>
      <w:tc>
        <w:tcPr>
          <w:tcW w:type="dxa" w:w="2000"/>
          <w:tcBorders>
            <w:top w:val="none" w:color="FFFFFF" w:sz="0"/>
            <w:left w:val="none" w:color="FFFFFF" w:sz="0"/>
            <w:bottom w:val="single" w:color="C8962E" w:sz="6"/>
            <w:right w:val="none" w:color="FFFFFF" w:sz="0"/>
          </w:tcBorders>
        </w:tcPr>
        <w:p>
          <w:r>
            <w:drawing>
              <wp:inline distT="0" distB="0" distL="0" distR="0">
                <wp:extent cx="609600" cy="342900"/>
                <wp:effectExtent t="0" r="0" b="0" l="0"/>
                <wp:docPr id="1" name="logo2"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342900"/>
                        </a:xfrm>
                        <a:prstGeom prst="rect">
                          <a:avLst/>
                        </a:prstGeom>
                      </pic:spPr>
                    </pic:pic>
                  </a:graphicData>
                </a:graphic>
              </wp:inline>
            </w:drawing>
          </w:r>
        </w:p>
      </w:tc>
      <w:tc>
        <w:tcPr>
          <w:tcW w:type="dxa" w:w="7638"/>
          <w:tcBorders>
            <w:top w:val="none" w:color="FFFFFF" w:sz="0"/>
            <w:left w:val="none" w:color="FFFFFF" w:sz="0"/>
            <w:bottom w:val="single" w:color="C8962E" w:sz="6"/>
            <w:right w:val="none" w:color="FFFFFF" w:sz="0"/>
          </w:tcBorders>
          <w:vAlign w:val="bottom"/>
        </w:tcPr>
        <w:p>
          <w:pPr>
            <w:spacing w:after="60"/>
            <w:jc w:val="right"/>
          </w:pPr>
          <w:r>
            <w:rPr>
              <w:rFonts w:ascii="Calibri" w:cs="Calibri" w:eastAsia="Calibri" w:hAnsi="Calibri"/>
              <w:color w:val="6B7280"/>
              <w:sz w:val="16"/>
              <w:szCs w:val="16"/>
            </w:rPr>
            <w:t xml:space="preserve">Business plan — Transport minier, 100 camions — Guinée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rPr>
        <w:color w:val="C8962E"/>
      </w:r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B2545"/>
      <w:sz w:val="32"/>
      <w:szCs w:val="32"/>
    </w:rPr>
  </w:style>
  <w:style w:type="paragraph" w:styleId="Heading2">
    <w:name w:val="Heading 2"/>
    <w:basedOn w:val="Normal"/>
    <w:next w:val="Normal"/>
    <w:qFormat/>
    <w:pPr>
      <w:outlineLvl w:val="1"/>
    </w:pPr>
    <w:rPr>
      <w:rFonts w:ascii="Calibri" w:cs="Calibri" w:eastAsia="Calibri" w:hAnsi="Calibri"/>
      <w:b/>
      <w:bCs/>
      <w:color w:val="1F4E9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f5f46e1d1a0fecd2911eda4a478079ef03bfc65.jpg"/><Relationship Id="rId10" Type="http://schemas.openxmlformats.org/officeDocument/2006/relationships/image" Target="media/bd071951466858d748cbf9f5dd18d02d243a4308.png"/><Relationship Id="rId11" Type="http://schemas.openxmlformats.org/officeDocument/2006/relationships/image" Target="media/6678903efceb83cb17f0ef5a427e2a3601f15f30.png"/><Relationship Id="rId12" Type="http://schemas.openxmlformats.org/officeDocument/2006/relationships/image" Target="media/f56d7359846cf0f042854122d8a5e0725afdc68d.png"/><Relationship Id="rId13" Type="http://schemas.openxmlformats.org/officeDocument/2006/relationships/image" Target="media/0260e9d6910bdb791fc8af08554becc7bfef836e.png"/><Relationship Id="rId14" Type="http://schemas.openxmlformats.org/officeDocument/2006/relationships/image" Target="media/4fff440da136fb010fb5421258973a328ff198b0.png"/><Relationship Id="rId15" Type="http://schemas.openxmlformats.org/officeDocument/2006/relationships/image" Target="media/f60bec6548f4d57faeaedefa8d23228236970954.png"/><Relationship Id="rId16" Type="http://schemas.openxmlformats.org/officeDocument/2006/relationships/image" Target="media/0ae7204d9762c05bd8fd774f2d0e7607cba1f85d.png"/><Relationship Id="rId17" Type="http://schemas.openxmlformats.org/officeDocument/2006/relationships/image" Target="media/41520d0832a784f66b063bdabc9e520b1d67966a.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f5f46e1d1a0fecd2911eda4a478079ef03bfc65.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 — Transport minier 100 camions — Guinée</dc:title>
  <dc:creator>ALPHA B HANOK SARL</dc:creator>
  <dc:description>Dossier de financement, version 3.0</dc:description>
  <cp:lastModifiedBy>Un-named</cp:lastModifiedBy>
  <cp:revision>1</cp:revision>
  <dcterms:created xsi:type="dcterms:W3CDTF">2026-09-24T17:52:35.064Z</dcterms:created>
  <dcterms:modified xsi:type="dcterms:W3CDTF">2026-09-24T17:52:35.064Z</dcterms:modified>
</cp:coreProperties>
</file>

<file path=docProps/custom.xml><?xml version="1.0" encoding="utf-8"?>
<Properties xmlns="http://schemas.openxmlformats.org/officeDocument/2006/custom-properties" xmlns:vt="http://schemas.openxmlformats.org/officeDocument/2006/docPropsVTypes"/>
</file>