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F4E79"/>
          <w:sz w:val="36"/>
          <w:szCs w:val="36"/>
        </w:rPr>
        <w:t xml:space="preserve">SHRM</w:t>
      </w:r>
    </w:p>
    <w:p>
      <w:pPr>
        <w:spacing w:after="120" w:before="0"/>
        <w:jc w:val="left"/>
      </w:pPr>
      <w:r>
        <w:rPr>
          <w:rFonts w:ascii="Arial" w:cs="Arial" w:eastAsia="Arial" w:hAnsi="Arial"/>
          <w:b/>
          <w:bCs/>
          <w:color w:val="1A1A1A"/>
          <w:sz w:val="40"/>
          <w:szCs w:val="40"/>
        </w:rPr>
        <w:t xml:space="preserve">Intelligence Layer Studio</w:t>
      </w:r>
    </w:p>
    <w:p>
      <w:pPr>
        <w:spacing w:after="200" w:before="0"/>
        <w:jc w:val="left"/>
      </w:pPr>
      <w:r>
        <w:rPr>
          <w:rFonts w:ascii="Arial" w:cs="Arial" w:eastAsia="Arial" w:hAnsi="Arial"/>
          <w:i/>
          <w:iCs/>
          <w:color w:val="2E75B6"/>
          <w:sz w:val="28"/>
          <w:szCs w:val="28"/>
        </w:rPr>
        <w:t xml:space="preserve">Strategy Brief — HR-X Solutions Hub Lead, ILS Engine</w:t>
      </w:r>
    </w:p>
    <w:p>
      <w:pPr>
        <w:spacing w:after="80" w:before="0"/>
        <w:jc w:val="left"/>
      </w:pPr>
      <w:r>
        <w:rPr>
          <w:rFonts w:ascii="Arial" w:cs="Arial" w:eastAsia="Arial" w:hAnsi="Arial"/>
          <w:color w:val="1A1A1A"/>
          <w:sz w:val="20"/>
          <w:szCs w:val="20"/>
        </w:rPr>
        <w:t xml:space="preserve">Version 3.0  |  April 2026  |  Confidential — Executive Team</w:t>
      </w:r>
    </w:p>
    <w:p>
      <w:pPr>
        <w:pBdr>
          <w:bottom w:val="single" w:color="1F4E79" w:sz="8" w:space="2"/>
        </w:pBdr>
        <w:spacing w:after="120" w:before="320"/>
      </w:pPr>
      <w:r>
        <w:rPr>
          <w:rFonts w:ascii="Arial" w:cs="Arial" w:eastAsia="Arial" w:hAnsi="Arial"/>
          <w:b/>
          <w:bCs/>
          <w:color w:val="1F4E79"/>
          <w:sz w:val="32"/>
          <w:szCs w:val="32"/>
        </w:rPr>
        <w:t xml:space="preserve">1. Executive Summary</w:t>
      </w:r>
    </w:p>
    <w:p>
      <w:pPr>
        <w:spacing w:after="60" w:before="160"/>
      </w:pPr>
      <w:r>
        <w:rPr>
          <w:rFonts w:ascii="Arial" w:cs="Arial" w:eastAsia="Arial" w:hAnsi="Arial"/>
          <w:b/>
          <w:bCs/>
          <w:color w:val="1F4E79"/>
          <w:sz w:val="22"/>
          <w:szCs w:val="22"/>
        </w:rPr>
        <w:t xml:space="preserve">The problem</w:t>
      </w:r>
    </w:p>
    <w:p>
      <w:pPr>
        <w:spacing w:after="60" w:before="60"/>
      </w:pPr>
      <w:r>
        <w:rPr>
          <w:rFonts w:ascii="Arial" w:cs="Arial" w:eastAsia="Arial" w:hAnsi="Arial"/>
          <w:b w:val="false"/>
          <w:bCs w:val="false"/>
          <w:i w:val="false"/>
          <w:iCs w:val="false"/>
          <w:color w:val="1A1A1A"/>
          <w:sz w:val="20"/>
          <w:szCs w:val="20"/>
        </w:rPr>
        <w:t xml:space="preserve">SHRM's institutional authority faces a structural threat and a structural opportunity, and they are the same thing viewed from two angles. HR professionals no longer begin their workday at shrm.org. They begin it inside AI interfaces — ChatGPT, Microsoft Copilot, HRIS assistants, enterprise agents — that surface guidance without any grounding in SHRM's standards. 69.8% of HR professionals use AI weekly; only 7.3% have enterprise-approved tools. Every quarter SHRM's authority remains invisible in those workflows, a competing standard — or no standard at all — becomes the embedded default.</w:t>
      </w:r>
    </w:p>
    <w:p>
      <w:pPr>
        <w:spacing w:after="60" w:before="60"/>
      </w:pPr>
      <w:r>
        <w:rPr>
          <w:rFonts w:ascii="Arial" w:cs="Arial" w:eastAsia="Arial" w:hAnsi="Arial"/>
          <w:b w:val="false"/>
          <w:bCs w:val="false"/>
          <w:i w:val="false"/>
          <w:iCs w:val="false"/>
          <w:color w:val="1A1A1A"/>
          <w:sz w:val="20"/>
          <w:szCs w:val="20"/>
        </w:rPr>
        <w:t xml:space="preserve">Two SHRM-specific signals make the urgency concrete. First, membership growth is slowing across professional associations broadly, and SHRM is not exempt from that trend — the value proposition of "access to content" is eroding as general-purpose AI commoditizes information retrieval. Second, qualitative B2B leader research surfaces a perception gap that directly mirrors this threat: HR leaders do not see SHRM as integrated into their daily workflow, and do not view SHRM as leading in AI. They trust SHRM for foundational standards. They do not yet trust SHRM to lead them into the agentic future. That gap is not an accident of communication. It is a structural consequence of the interface inversion, and it will widen until SHRM's authority travels where HR decisions are being made.</w:t>
      </w:r>
    </w:p>
    <w:p>
      <w:pPr>
        <w:spacing w:after="60" w:before="60"/>
      </w:pPr>
      <w:r>
        <w:rPr>
          <w:rFonts w:ascii="Arial" w:cs="Arial" w:eastAsia="Arial" w:hAnsi="Arial"/>
          <w:b w:val="false"/>
          <w:bCs w:val="false"/>
          <w:i w:val="false"/>
          <w:iCs w:val="false"/>
          <w:color w:val="1A1A1A"/>
          <w:sz w:val="20"/>
          <w:szCs w:val="20"/>
        </w:rPr>
        <w:t xml:space="preserve">At the enterprise level, CHROs need workforce maturity intelligence they can trust, benchmark, and act on. Incumbents — PwC Saratoga, Mercer, McLean — deliver this through slow, expensive consulting engagements with no persistent intelligence layer. SHRM has the proprietary instrument (HR-X), the competency standard (BASK), and the longitudinal workforce data. What SHRM does not yet have is the mechanism that converts those published assets into computational ones — the catalyst function that translates SHRM's authority from documents and research reports into reasoning that can be surfaced where HR decisions are actually made.</w:t>
      </w:r>
    </w:p>
    <w:p>
      <w:pPr>
        <w:spacing w:after="60" w:before="160"/>
      </w:pPr>
      <w:r>
        <w:rPr>
          <w:rFonts w:ascii="Arial" w:cs="Arial" w:eastAsia="Arial" w:hAnsi="Arial"/>
          <w:b/>
          <w:bCs/>
          <w:color w:val="1F4E79"/>
          <w:sz w:val="22"/>
          <w:szCs w:val="22"/>
        </w:rPr>
        <w:t xml:space="preserve">The opportunity</w:t>
      </w:r>
    </w:p>
    <w:p>
      <w:pPr>
        <w:spacing w:after="60" w:before="60"/>
      </w:pPr>
      <w:r>
        <w:rPr>
          <w:rFonts w:ascii="Arial" w:cs="Arial" w:eastAsia="Arial" w:hAnsi="Arial"/>
          <w:b w:val="false"/>
          <w:bCs w:val="false"/>
          <w:i w:val="false"/>
          <w:iCs w:val="false"/>
          <w:color w:val="1A1A1A"/>
          <w:sz w:val="20"/>
          <w:szCs w:val="20"/>
        </w:rPr>
        <w:t xml:space="preserve">Peer institutions have already shown what this conversion looks like. Thomson Reuters built CoCounsel. AICPA built Josi. BSI built Digital Trust. Each created an internal catalyst function that converted professional content authority into computational authority — reasoning that travels with the professional into the tools they already use. None of these emerged from a standard product development process. Each required a dedicated conversion capability that sat adjacent to — not inside — traditional product management. SHRM is late to this transition but not absent from it. The market window to establish comparable authority in HR is open. It will not stay open indefinitely.</w:t>
      </w:r>
    </w:p>
    <w:p>
      <w:pPr>
        <w:spacing w:after="60" w:before="160"/>
      </w:pPr>
      <w:r>
        <w:rPr>
          <w:rFonts w:ascii="Arial" w:cs="Arial" w:eastAsia="Arial" w:hAnsi="Arial"/>
          <w:b/>
          <w:bCs/>
          <w:color w:val="1F4E79"/>
          <w:sz w:val="22"/>
          <w:szCs w:val="22"/>
        </w:rPr>
        <w:t xml:space="preserve">The response</w:t>
      </w:r>
    </w:p>
    <w:p>
      <w:pPr>
        <w:spacing w:after="60" w:before="60"/>
      </w:pPr>
      <w:r>
        <w:rPr>
          <w:rFonts w:ascii="Arial" w:cs="Arial" w:eastAsia="Arial" w:hAnsi="Arial"/>
          <w:b w:val="false"/>
          <w:bCs w:val="false"/>
          <w:i w:val="false"/>
          <w:iCs w:val="false"/>
          <w:color w:val="1A1A1A"/>
          <w:sz w:val="20"/>
          <w:szCs w:val="20"/>
        </w:rPr>
        <w:t xml:space="preserve">The Intelligence Layer Studio (ILS) is SHRM's catalyst function. Its job is not to build products. Its job is to convert SHRM's published assets — the HR-X framework, the BASK, longitudinal research, Knowledge Center expertise, policy guidance — into computational assets that reason, simulate, and deliver decision support. The products that emerge from that conversion (the HR-X Solutions Hub, KCDE, VoW Synthetic) graduate to Product Development for commercial scaling and long-term ownership. ILS itself remains upstream: an R&amp;D and conversion capability that doesn't exist anywhere else in the organization.</w:t>
      </w:r>
    </w:p>
    <w:p>
      <w:pPr>
        <w:spacing w:after="60" w:before="60"/>
      </w:pPr>
      <w:r>
        <w:rPr>
          <w:rFonts w:ascii="Arial" w:cs="Arial" w:eastAsia="Arial" w:hAnsi="Arial"/>
          <w:b w:val="false"/>
          <w:bCs w:val="false"/>
          <w:i w:val="false"/>
          <w:iCs w:val="false"/>
          <w:color w:val="1A1A1A"/>
          <w:sz w:val="20"/>
          <w:szCs w:val="20"/>
        </w:rPr>
        <w:t xml:space="preserve">Critically, ILS is a hybrid — part market research, part innovation. Research instrumentation is not a feature of ILS; it is half of what ILS is. Every gate in the investment cascade is earned by evidence: concept tests, accuracy validations, perception trackers, commercial demand studies. This marriage of research and innovation is why ILS sits in the Knowledge Division rather than inside Product Development or IT operations. Neither of those functions has the research DNA to instrument the work this way, and separating the research function from the innovation function would break the feedback loop that makes the cascade defensible.</w:t>
      </w:r>
    </w:p>
    <w:p>
      <w:pPr>
        <w:spacing w:after="60" w:before="60"/>
      </w:pPr>
      <w:r>
        <w:rPr>
          <w:rFonts w:ascii="Arial" w:cs="Arial" w:eastAsia="Arial" w:hAnsi="Arial"/>
          <w:b w:val="false"/>
          <w:bCs w:val="false"/>
          <w:i w:val="false"/>
          <w:iCs w:val="false"/>
          <w:color w:val="1A1A1A"/>
          <w:sz w:val="20"/>
          <w:szCs w:val="20"/>
        </w:rPr>
        <w:t xml:space="preserve">This brief presents the first coordinated ILS agenda — with the HR-X Solutions Hub as the lead initiative and the most immediately fundable conversion output — supported by four additional conversion and validation components: Knowledge Center Decision Engine (KCDE), Voice of Work (VoW) Synthetic, University Nodes, and Internal Innovation Hackathons.</w:t>
      </w:r>
    </w:p>
    <w:p>
      <w:pPr>
        <w:spacing w:after="60" w:before="60"/>
      </w:pPr>
      <w:r>
        <w:rPr>
          <w:rFonts w:ascii="Arial" w:cs="Arial" w:eastAsia="Arial" w:hAnsi="Arial"/>
          <w:b/>
          <w:bCs/>
          <w:i w:val="false"/>
          <w:iCs w:val="false"/>
          <w:color w:val="1A1A1A"/>
          <w:sz w:val="20"/>
          <w:szCs w:val="20"/>
        </w:rPr>
        <w:t xml:space="preserve">The Hub alone is a sophisticated assessment product. The Hub produced through ILS is backed by the conversion engine that will continue turning SHRM's published authority into computational assets across the portfolio. Without ILS, each conversion is a one-off project that competes for product team bandwidth. With ILS, SHRM has a dedicated function that does this work continuously.</w:t>
      </w:r>
    </w:p>
    <w:p>
      <w:pPr>
        <w:spacing w:after="60" w:before="160"/>
      </w:pPr>
      <w:r>
        <w:rPr>
          <w:rFonts w:ascii="Arial" w:cs="Arial" w:eastAsia="Arial" w:hAnsi="Arial"/>
          <w:b/>
          <w:bCs/>
          <w:color w:val="1F4E79"/>
          <w:sz w:val="22"/>
          <w:szCs w:val="22"/>
        </w:rPr>
        <w:t xml:space="preserve">What this brief argues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HR-X Solutions Hub is the revenue vehicle </w:t>
      </w:r>
      <w:r>
        <w:rPr>
          <w:rFonts w:ascii="Arial" w:cs="Arial" w:eastAsia="Arial" w:hAnsi="Arial"/>
          <w:b w:val="false"/>
          <w:bCs w:val="false"/>
          <w:i w:val="false"/>
          <w:iCs w:val="false"/>
          <w:color w:val="1A1A1A"/>
          <w:sz w:val="20"/>
          <w:szCs w:val="20"/>
        </w:rPr>
        <w:t xml:space="preserve">— $2.9M Year 1 / $2.5M Year 2 from enterprise engagements. Building the Hub through ILS avoids approximately $487K annually in vendor platform fees (derived from a ten-company enterprise benchmark using comparable vendor pricing). Beyond direct Hub revenue, each captive enterprise engagement is a continuous demand generator for SHRM's broader enterprise portfolio (membership, Linkage, L&amp;D, certifications, events, etc.) — the Hub surfaces organizational capability gaps that existing SHRM products are designed to address. A conservative 1.5x cross-sell multiplier on Hub direct revenue implies ~$5.2M in downstream revenue across the two-year period from Hub-engaged enterprises alone.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ILS is the catalyst function that produces it </w:t>
      </w:r>
      <w:r>
        <w:rPr>
          <w:rFonts w:ascii="Arial" w:cs="Arial" w:eastAsia="Arial" w:hAnsi="Arial"/>
          <w:b w:val="false"/>
          <w:bCs w:val="false"/>
          <w:i w:val="false"/>
          <w:iCs w:val="false"/>
          <w:color w:val="1A1A1A"/>
          <w:sz w:val="20"/>
          <w:szCs w:val="20"/>
        </w:rPr>
        <w:t xml:space="preserve">— converting SHRM's published IP into the computational assets that power the Hub: benchmark population (VoW Synthetic), intelligence layer (KCDE), scientific validation (University Nodes), and staff conversion capacity (Hackathons). ILS is not a product; it is the conversion engine upstream of products.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ILS is part market research, part innovation — a lab </w:t>
      </w:r>
      <w:r>
        <w:rPr>
          <w:rFonts w:ascii="Arial" w:cs="Arial" w:eastAsia="Arial" w:hAnsi="Arial"/>
          <w:b w:val="false"/>
          <w:bCs w:val="false"/>
          <w:i w:val="false"/>
          <w:iCs w:val="false"/>
          <w:color w:val="1A1A1A"/>
          <w:sz w:val="20"/>
          <w:szCs w:val="20"/>
        </w:rPr>
        <w:t xml:space="preserve">— research instrumentation permeates every initiative: value-prop and concept tests guide each initiative's trajectory; technical validation studies gate Phase 0 go/no-go decisions; longitudinal trackers measure the reputational pivot the brief claims to produce. Research hard costs (~$95K–$155K annually) are a separately budgeted category, cleanly transferable to Market Research and Thought Leadership departmental budgets at executive discretion.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Products graduate out of ILS </w:t>
      </w:r>
      <w:r>
        <w:rPr>
          <w:rFonts w:ascii="Arial" w:cs="Arial" w:eastAsia="Arial" w:hAnsi="Arial"/>
          <w:b w:val="false"/>
          <w:bCs w:val="false"/>
          <w:i w:val="false"/>
          <w:iCs w:val="false"/>
          <w:color w:val="1A1A1A"/>
          <w:sz w:val="20"/>
          <w:szCs w:val="20"/>
        </w:rPr>
        <w:t xml:space="preserve">— validated MVPs transition to Product Development for commercial scaling and long-term ownership. ILS does not hold products; it produces them.</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Investment cascade limits exposure </w:t>
      </w:r>
      <w:r>
        <w:rPr>
          <w:rFonts w:ascii="Arial" w:cs="Arial" w:eastAsia="Arial" w:hAnsi="Arial"/>
          <w:b w:val="false"/>
          <w:bCs w:val="false"/>
          <w:i w:val="false"/>
          <w:iCs w:val="false"/>
          <w:color w:val="1A1A1A"/>
          <w:sz w:val="20"/>
          <w:szCs w:val="20"/>
        </w:rPr>
        <w:t xml:space="preserve">— maximum $80K sunk cost before a board-level go/no-go; each gate earns the next.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Google Cloud enables the conversion work </w:t>
      </w:r>
      <w:r>
        <w:rPr>
          <w:rFonts w:ascii="Arial" w:cs="Arial" w:eastAsia="Arial" w:hAnsi="Arial"/>
          <w:b w:val="false"/>
          <w:bCs w:val="false"/>
          <w:i w:val="false"/>
          <w:iCs w:val="false"/>
          <w:color w:val="1A1A1A"/>
          <w:sz w:val="20"/>
          <w:szCs w:val="20"/>
        </w:rPr>
        <w:t xml:space="preserve">— enterprise-grade, SHRM-adjacent existing relationship, no new procurement, no CGI/IT roadmap dependency for Phase 0.</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Dynamic hybrid build model </w:t>
      </w:r>
      <w:r>
        <w:rPr>
          <w:rFonts w:ascii="Arial" w:cs="Arial" w:eastAsia="Arial" w:hAnsi="Arial"/>
          <w:b w:val="false"/>
          <w:bCs w:val="false"/>
          <w:i w:val="false"/>
          <w:iCs w:val="false"/>
          <w:color w:val="1A1A1A"/>
          <w:sz w:val="20"/>
          <w:szCs w:val="20"/>
        </w:rPr>
        <w:t xml:space="preserve">— select SHRM staff partnered with AI and innovation freelance consultants (sourced through SHRM's Upwork enterprise agreement), designed to move fast and suppress resource impact on current IT initiatives.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AI Research Infrastructure is usage-metered, not committed spend </w:t>
      </w:r>
      <w:r>
        <w:rPr>
          <w:rFonts w:ascii="Arial" w:cs="Arial" w:eastAsia="Arial" w:hAnsi="Arial"/>
          <w:b w:val="false"/>
          <w:bCs w:val="false"/>
          <w:i w:val="false"/>
          <w:iCs w:val="false"/>
          <w:color w:val="1A1A1A"/>
          <w:sz w:val="20"/>
          <w:szCs w:val="20"/>
        </w:rPr>
        <w:t xml:space="preserve">— the majority of this line (Anthropic, OpenAI, GCP inference, OpenClaw) scales with actual prototyping volume. Committed subscription costs represent a small fraction of the total, and Microsoft Copilot Studio allocation (~$18K Year 1) is subject to CFO determination — if CGI/IT's existing enterprise Copilot Studio licensing covers ILS use, this line transfers out of ILS.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ILS methodology is already validated </w:t>
      </w:r>
      <w:r>
        <w:rPr>
          <w:rFonts w:ascii="Arial" w:cs="Arial" w:eastAsia="Arial" w:hAnsi="Arial"/>
          <w:b w:val="false"/>
          <w:bCs w:val="false"/>
          <w:i w:val="false"/>
          <w:iCs w:val="false"/>
          <w:color w:val="1A1A1A"/>
          <w:sz w:val="20"/>
          <w:szCs w:val="20"/>
        </w:rPr>
        <w:t xml:space="preserve">— the inaugural SHRM Innovation Week hackathon (April 2026) produced 55 working AI prototypes in 24 hours at 88% Mission-Complete, across 7 divisions and 2 countries. Staff, given no roadmap, independently converged on exactly the product architecture ILS is designed to produce — validating BASK as application substrate (Pathnex), interactive benchmarking (Metric Matchup), and the KCDE retrieval-augmented thesis (six independent apps using that pattern). The accompanying Hackathon Impact Analysis is itself an ILS research output of the kind the research instrumentation architecture is designed to produce.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BF3FB" w:val="clear"/>
            <w:tcMar>
              <w:top w:type="dxa" w:w="140"/>
              <w:left w:type="dxa" w:w="200"/>
              <w:bottom w:type="dxa" w:w="140"/>
              <w:right w:type="dxa" w:w="200"/>
            </w:tcMar>
          </w:tcPr>
          <w:p>
            <w:pPr>
              <w:spacing w:after="60" w:before="0"/>
            </w:pPr>
            <w:r>
              <w:rPr>
                <w:rFonts w:ascii="Arial" w:cs="Arial" w:eastAsia="Arial" w:hAnsi="Arial"/>
                <w:b/>
                <w:bCs/>
                <w:color w:val="1F4E79"/>
                <w:sz w:val="22"/>
                <w:szCs w:val="22"/>
              </w:rPr>
              <w:t xml:space="preserve">Two-Year Financial Summary</w:t>
            </w:r>
          </w:p>
          <w:p>
            <w:r>
              <w:rPr>
                <w:rFonts w:ascii="Arial" w:cs="Arial" w:eastAsia="Arial" w:hAnsi="Arial"/>
                <w:color w:val="1A1A1A"/>
                <w:sz w:val="20"/>
                <w:szCs w:val="20"/>
              </w:rPr>
              <w:t xml:space="preserve">Total cash revenue: $7.6M ($1.7M Year 1 + $5.9M Year 2). Total operating cost: $4.0M. Net operating income: $3.6M. Additional ~$487K annual avoided vendor platform fees (Trivie-derived) further reduces effective operating cost. Estimated downstream cross-sell revenue to captive Hub-engaged enterprises (1.5x Hub direct, conservative): ~$5.2M two-year across SHRM's broader enterprise portfolio. Phase 0 maximum exposure before board decision: $80K.</w:t>
            </w:r>
          </w:p>
        </w:tc>
      </w:tr>
    </w:tbl>
    <w:p>
      <w:r>
        <w:br w:type="page"/>
      </w:r>
    </w:p>
    <w:p>
      <w:pPr>
        <w:pBdr>
          <w:bottom w:val="single" w:color="1F4E79" w:sz="8" w:space="2"/>
        </w:pBdr>
        <w:spacing w:after="120" w:before="320"/>
      </w:pPr>
      <w:r>
        <w:rPr>
          <w:rFonts w:ascii="Arial" w:cs="Arial" w:eastAsia="Arial" w:hAnsi="Arial"/>
          <w:b/>
          <w:bCs/>
          <w:color w:val="1F4E79"/>
          <w:sz w:val="32"/>
          <w:szCs w:val="32"/>
        </w:rPr>
        <w:t xml:space="preserve">2. Strategic Context &amp; Market Forces</w:t>
      </w:r>
    </w:p>
    <w:p>
      <w:pPr>
        <w:pBdr>
          <w:bottom w:val="single" w:color="2E75B6" w:sz="6" w:space="1"/>
        </w:pBdr>
        <w:spacing w:after="80" w:before="220"/>
      </w:pPr>
      <w:r>
        <w:rPr>
          <w:rFonts w:ascii="Arial" w:cs="Arial" w:eastAsia="Arial" w:hAnsi="Arial"/>
          <w:b/>
          <w:bCs/>
          <w:color w:val="1F4E79"/>
          <w:sz w:val="26"/>
          <w:szCs w:val="26"/>
        </w:rPr>
        <w:t xml:space="preserve">A. The Interface Inversion: From Destination to Starting Line</w:t>
      </w:r>
    </w:p>
    <w:p>
      <w:pPr>
        <w:spacing w:after="60" w:before="60"/>
      </w:pPr>
      <w:r>
        <w:rPr>
          <w:rFonts w:ascii="Arial" w:cs="Arial" w:eastAsia="Arial" w:hAnsi="Arial"/>
          <w:b w:val="false"/>
          <w:bCs w:val="false"/>
          <w:i w:val="false"/>
          <w:iCs w:val="false"/>
          <w:color w:val="1A1A1A"/>
          <w:sz w:val="20"/>
          <w:szCs w:val="20"/>
        </w:rPr>
        <w:t xml:space="preserve">Professionals no longer navigate to static portals to retrieve guidance. They begin their workday with a prompt in ChatGPT, Microsoft Copilot, or an HRIS assistant. If SHRM's standards are not surfaced algorithmically at the point of the prompt, our authority becomes archival. We risk becoming a footnote in a response generated by third-party models that lack our legal defensibility and HR rigor.</w:t>
      </w:r>
    </w:p>
    <w:p>
      <w:pPr>
        <w:pBdr>
          <w:bottom w:val="single" w:color="2E75B6" w:sz="6" w:space="1"/>
        </w:pBdr>
        <w:spacing w:after="80" w:before="220"/>
      </w:pPr>
      <w:r>
        <w:rPr>
          <w:rFonts w:ascii="Arial" w:cs="Arial" w:eastAsia="Arial" w:hAnsi="Arial"/>
          <w:b/>
          <w:bCs/>
          <w:color w:val="1F4E79"/>
          <w:sz w:val="26"/>
          <w:szCs w:val="26"/>
        </w:rPr>
        <w:t xml:space="preserve">B. The Enterprise Intelligence Gap</w:t>
      </w:r>
    </w:p>
    <w:p>
      <w:pPr>
        <w:spacing w:after="60" w:before="60"/>
      </w:pPr>
      <w:r>
        <w:rPr>
          <w:rFonts w:ascii="Arial" w:cs="Arial" w:eastAsia="Arial" w:hAnsi="Arial"/>
          <w:b w:val="false"/>
          <w:bCs w:val="false"/>
          <w:i w:val="false"/>
          <w:iCs w:val="false"/>
          <w:color w:val="1A1A1A"/>
          <w:sz w:val="20"/>
          <w:szCs w:val="20"/>
        </w:rPr>
        <w:t xml:space="preserve">At the enterprise decision layer, CHROs need workforce maturity intelligence they can trust, benchmark, and act on. Incumbents — PwC Saratoga, Mercer, McLean — deliver this through slow, expensive consulting engagements with no persistent intelligence layer. The HR-X Assessment is validated and in market. What is missing is the platform that scales it. Turning a consulting service into a subscription relationship with re-assessment cycles and continuous maturity tracking is the Hub's commercial opportunity. Producing the Hub's computational assets internally through ILS — rather than contracting a vendor like Trivie — avoids an estimated $487K in annual vendor platform fees across a ten-company enterprise benchmark sample, a recurring savings that scales with market expansion.</w:t>
      </w:r>
    </w:p>
    <w:p>
      <w:pPr>
        <w:pBdr>
          <w:bottom w:val="single" w:color="2E75B6" w:sz="6" w:space="1"/>
        </w:pBdr>
        <w:spacing w:after="80" w:before="220"/>
      </w:pPr>
      <w:r>
        <w:rPr>
          <w:rFonts w:ascii="Arial" w:cs="Arial" w:eastAsia="Arial" w:hAnsi="Arial"/>
          <w:b/>
          <w:bCs/>
          <w:color w:val="1F4E79"/>
          <w:sz w:val="26"/>
          <w:szCs w:val="26"/>
        </w:rPr>
        <w:t xml:space="preserve">C. Existential &amp; Economic Realities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Membership erosion: </w:t>
      </w:r>
      <w:r>
        <w:rPr>
          <w:rFonts w:ascii="Arial" w:cs="Arial" w:eastAsia="Arial" w:hAnsi="Arial"/>
          <w:b w:val="false"/>
          <w:bCs w:val="false"/>
          <w:i w:val="false"/>
          <w:iCs w:val="false"/>
          <w:color w:val="1A1A1A"/>
          <w:sz w:val="20"/>
          <w:szCs w:val="20"/>
        </w:rPr>
        <w:t xml:space="preserve">41% of membership lapses occur in Year 1. Value must shift from access to content to real-time decision support that solves problems in the flow of work.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Distribution of HR duty: </w:t>
      </w:r>
      <w:r>
        <w:rPr>
          <w:rFonts w:ascii="Arial" w:cs="Arial" w:eastAsia="Arial" w:hAnsi="Arial"/>
          <w:b w:val="false"/>
          <w:bCs w:val="false"/>
          <w:i w:val="false"/>
          <w:iCs w:val="false"/>
          <w:color w:val="1A1A1A"/>
          <w:sz w:val="20"/>
          <w:szCs w:val="20"/>
        </w:rPr>
        <w:t xml:space="preserve">Critical people decisions are migrating away from HR departments in two directions simultaneously. Structurally, organizations are shifting from static employment models to gig and freelance-driven workforces — enabled by AI efficiencies and enterprise-grade freelance platforms like Upwork — which means HR decisions increasingly happen outside traditional employer-employee boundaries. Functionally, non-HR executives (finance leaders, operations heads, line-of-business managers) are conducting HR tasks directly, often inside AI assistants that surface guidance without SHRM grounding. These are the "Flash Teams" of modern work: ad-hoc, distributed, and decision-ready without ever consulting an HR professional. This has a second-order consequence that compounds the membership erosion above: as flash team adoption grows, the population of full-time HR professionals — SHRM's core membership base — contracts. SHRM's standards must travel to these new decision-makers via the tools they already use, or the addressable membership pool itself shrinks.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Enterprise market window: </w:t>
      </w:r>
      <w:r>
        <w:rPr>
          <w:rFonts w:ascii="Arial" w:cs="Arial" w:eastAsia="Arial" w:hAnsi="Arial"/>
          <w:b w:val="false"/>
          <w:bCs w:val="false"/>
          <w:i w:val="false"/>
          <w:iCs w:val="false"/>
          <w:color w:val="1A1A1A"/>
          <w:sz w:val="20"/>
          <w:szCs w:val="20"/>
        </w:rPr>
        <w:t xml:space="preserve">Competing workforce assessment methodologies are consolidating. SHRM's validated HR-X instrument plus ILS infrastructure creates a defensible market position before commoditization.</w:t>
      </w:r>
    </w:p>
    <w:p>
      <w:pPr>
        <w:pBdr>
          <w:bottom w:val="single" w:color="2E75B6" w:sz="6" w:space="1"/>
        </w:pBdr>
        <w:spacing w:after="80" w:before="220"/>
      </w:pPr>
      <w:r>
        <w:rPr>
          <w:rFonts w:ascii="Arial" w:cs="Arial" w:eastAsia="Arial" w:hAnsi="Arial"/>
          <w:b/>
          <w:bCs/>
          <w:color w:val="1F4E79"/>
          <w:sz w:val="26"/>
          <w:szCs w:val="26"/>
        </w:rPr>
        <w:t xml:space="preserve">D. The Bifurcation of Intelligence: Identic vs. Agentic AI</w:t>
      </w:r>
    </w:p>
    <w:p>
      <w:pPr>
        <w:spacing w:after="60" w:before="60"/>
      </w:pPr>
      <w:r>
        <w:rPr>
          <w:rFonts w:ascii="Arial" w:cs="Arial" w:eastAsia="Arial" w:hAnsi="Arial"/>
          <w:b w:val="false"/>
          <w:bCs w:val="false"/>
          <w:i w:val="false"/>
          <w:iCs w:val="false"/>
          <w:color w:val="1A1A1A"/>
          <w:sz w:val="20"/>
          <w:szCs w:val="20"/>
        </w:rPr>
        <w:t xml:space="preserve">Data from SHRM's AI Adoption &amp; Maturity Survey and qualitative leader interviews reveal a structural divide and a critical perception gap:</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Identic AI (bottom-up): </w:t>
      </w:r>
      <w:r>
        <w:rPr>
          <w:rFonts w:ascii="Arial" w:cs="Arial" w:eastAsia="Arial" w:hAnsi="Arial"/>
          <w:b w:val="false"/>
          <w:bCs w:val="false"/>
          <w:i w:val="false"/>
          <w:iCs w:val="false"/>
          <w:color w:val="1A1A1A"/>
          <w:sz w:val="20"/>
          <w:szCs w:val="20"/>
        </w:rPr>
        <w:t xml:space="preserve">69.8% of HR professionals use AI weekly, but adoption is largely ad-hoc. Practitioners are forming "Shadow HR" habits; SHRM must influence these habits now.</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Agentic AI (top-down): </w:t>
      </w:r>
      <w:r>
        <w:rPr>
          <w:rFonts w:ascii="Arial" w:cs="Arial" w:eastAsia="Arial" w:hAnsi="Arial"/>
          <w:b w:val="false"/>
          <w:bCs w:val="false"/>
          <w:i w:val="false"/>
          <w:iCs w:val="false"/>
          <w:color w:val="1A1A1A"/>
          <w:sz w:val="20"/>
          <w:szCs w:val="20"/>
        </w:rPr>
        <w:t xml:space="preserve">HR leaders are under immense pressure to realize agentic efficiencies but lack a roadmap for implementation.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The trust vs. leadership paradox: </w:t>
      </w:r>
      <w:r>
        <w:rPr>
          <w:rFonts w:ascii="Arial" w:cs="Arial" w:eastAsia="Arial" w:hAnsi="Arial"/>
          <w:b w:val="false"/>
          <w:bCs w:val="false"/>
          <w:i w:val="false"/>
          <w:iCs w:val="false"/>
          <w:color w:val="1A1A1A"/>
          <w:sz w:val="20"/>
          <w:szCs w:val="20"/>
        </w:rPr>
        <w:t xml:space="preserve">HR leaders trust SHRM for foundational standards but do not yet perceive SHRM as the organization that will lead them to an agentic future. They view us as custodians of the past rather than architects of the future state.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The Sherpa opportunity: </w:t>
      </w:r>
      <w:r>
        <w:rPr>
          <w:rFonts w:ascii="Arial" w:cs="Arial" w:eastAsia="Arial" w:hAnsi="Arial"/>
          <w:b w:val="false"/>
          <w:bCs w:val="false"/>
          <w:i w:val="false"/>
          <w:iCs w:val="false"/>
          <w:color w:val="1A1A1A"/>
          <w:sz w:val="20"/>
          <w:szCs w:val="20"/>
        </w:rPr>
        <w:t xml:space="preserve">ILS fills this vacuum — reconciling SHRM's trusted authority with cutting-edge agentic infrastructure to lead the profession through this transition.</w:t>
      </w:r>
    </w:p>
    <w:p>
      <w:pPr>
        <w:pBdr>
          <w:bottom w:val="single" w:color="2E75B6" w:sz="6" w:space="1"/>
        </w:pBdr>
        <w:spacing w:after="80" w:before="220"/>
      </w:pPr>
      <w:r>
        <w:rPr>
          <w:rFonts w:ascii="Arial" w:cs="Arial" w:eastAsia="Arial" w:hAnsi="Arial"/>
          <w:b/>
          <w:bCs/>
          <w:color w:val="1F4E79"/>
          <w:sz w:val="26"/>
          <w:szCs w:val="26"/>
        </w:rPr>
        <w:t xml:space="preserve">E. Peer Precedent: Computational Authority in Action</w:t>
      </w:r>
    </w:p>
    <w:p>
      <w:pPr>
        <w:spacing w:after="60" w:before="60"/>
      </w:pPr>
      <w:r>
        <w:rPr>
          <w:rFonts w:ascii="Arial" w:cs="Arial" w:eastAsia="Arial" w:hAnsi="Arial"/>
          <w:b w:val="false"/>
          <w:bCs w:val="false"/>
          <w:i w:val="false"/>
          <w:iCs w:val="false"/>
          <w:color w:val="1A1A1A"/>
          <w:sz w:val="20"/>
          <w:szCs w:val="20"/>
        </w:rPr>
        <w:t xml:space="preserve">IP-rich institutions are already pivoting from content provider to intelligence provider:</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Thomson Reuters (Legal &amp; Tax): </w:t>
      </w:r>
      <w:r>
        <w:rPr>
          <w:rFonts w:ascii="Arial" w:cs="Arial" w:eastAsia="Arial" w:hAnsi="Arial"/>
          <w:b w:val="false"/>
          <w:bCs w:val="false"/>
          <w:i w:val="false"/>
          <w:iCs w:val="false"/>
          <w:color w:val="1A1A1A"/>
          <w:sz w:val="20"/>
          <w:szCs w:val="20"/>
        </w:rPr>
        <w:t xml:space="preserve">Launched CoCounsel, an AI assistant that reasons through documents based on TR's proprietary data.</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AICPA (Accounting): </w:t>
      </w:r>
      <w:r>
        <w:rPr>
          <w:rFonts w:ascii="Arial" w:cs="Arial" w:eastAsia="Arial" w:hAnsi="Arial"/>
          <w:b w:val="false"/>
          <w:bCs w:val="false"/>
          <w:i w:val="false"/>
          <w:iCs w:val="false"/>
          <w:color w:val="1A1A1A"/>
          <w:sz w:val="20"/>
          <w:szCs w:val="20"/>
        </w:rPr>
        <w:t xml:space="preserve">Developed Josi, an assistant designed to navigate 40,000+ pages of professional standards to reduce lookup time by 90%.</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BSI (Standards &amp; Certification): </w:t>
      </w:r>
      <w:r>
        <w:rPr>
          <w:rFonts w:ascii="Arial" w:cs="Arial" w:eastAsia="Arial" w:hAnsi="Arial"/>
          <w:b w:val="false"/>
          <w:bCs w:val="false"/>
          <w:i w:val="false"/>
          <w:iCs w:val="false"/>
          <w:color w:val="1A1A1A"/>
          <w:sz w:val="20"/>
          <w:szCs w:val="20"/>
        </w:rPr>
        <w:t xml:space="preserve">Digital Trust services converting standards into computational infrastructure for compliance.</w:t>
      </w:r>
    </w:p>
    <w:p>
      <w:r>
        <w:br w:type="page"/>
      </w:r>
    </w:p>
    <w:p>
      <w:pPr>
        <w:pBdr>
          <w:bottom w:val="single" w:color="1F4E79" w:sz="8" w:space="2"/>
        </w:pBdr>
        <w:spacing w:after="120" w:before="320"/>
      </w:pPr>
      <w:r>
        <w:rPr>
          <w:rFonts w:ascii="Arial" w:cs="Arial" w:eastAsia="Arial" w:hAnsi="Arial"/>
          <w:b/>
          <w:bCs/>
          <w:color w:val="1F4E79"/>
          <w:sz w:val="32"/>
          <w:szCs w:val="32"/>
        </w:rPr>
        <w:t xml:space="preserve">3. Strategic Goals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Enterprise Intelligence Leadership: </w:t>
      </w:r>
      <w:r>
        <w:rPr>
          <w:rFonts w:ascii="Arial" w:cs="Arial" w:eastAsia="Arial" w:hAnsi="Arial"/>
          <w:b w:val="false"/>
          <w:bCs w:val="false"/>
          <w:i w:val="false"/>
          <w:iCs w:val="false"/>
          <w:color w:val="1A1A1A"/>
          <w:sz w:val="20"/>
          <w:szCs w:val="20"/>
        </w:rPr>
        <w:t xml:space="preserve">Establish HR-X Solutions Hub as the defensible enterprise workforce maturity platform — minimum 20 enterprise engagements in Year 1, 50 in Year 2, with re-assessment recurring revenue beginning Year 2.</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Computational Authority Migration: </w:t>
      </w:r>
      <w:r>
        <w:rPr>
          <w:rFonts w:ascii="Arial" w:cs="Arial" w:eastAsia="Arial" w:hAnsi="Arial"/>
          <w:b w:val="false"/>
          <w:bCs w:val="false"/>
          <w:i w:val="false"/>
          <w:iCs w:val="false"/>
          <w:color w:val="1A1A1A"/>
          <w:sz w:val="20"/>
          <w:szCs w:val="20"/>
        </w:rPr>
        <w:t xml:space="preserve">Convert 100% of high-priority SHRM IP (HR-X, BASK, compliance guidance) into machine-readable reasoning layers within 18 months.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Economic Model Resilience: </w:t>
      </w:r>
      <w:r>
        <w:rPr>
          <w:rFonts w:ascii="Arial" w:cs="Arial" w:eastAsia="Arial" w:hAnsi="Arial"/>
          <w:b w:val="false"/>
          <w:bCs w:val="false"/>
          <w:i w:val="false"/>
          <w:iCs w:val="false"/>
          <w:color w:val="1A1A1A"/>
          <w:sz w:val="20"/>
          <w:szCs w:val="20"/>
        </w:rPr>
        <w:t xml:space="preserve">Transition the revenue mix so 20% of net-new revenue is generated from usage-based models (Hub subscriptions, API tokens) by end of Year 2.</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Standards Ubiquity: </w:t>
      </w:r>
      <w:r>
        <w:rPr>
          <w:rFonts w:ascii="Arial" w:cs="Arial" w:eastAsia="Arial" w:hAnsi="Arial"/>
          <w:b w:val="false"/>
          <w:bCs w:val="false"/>
          <w:i w:val="false"/>
          <w:iCs w:val="false"/>
          <w:color w:val="1A1A1A"/>
          <w:sz w:val="20"/>
          <w:szCs w:val="20"/>
        </w:rPr>
        <w:t xml:space="preserve">Embed SHRM's computational standards into the workflows of at least three global HRIS/SaaS platforms via API within 12 months — starting with Workday as priority integration.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Innovation Speed &amp; Culture: </w:t>
      </w:r>
      <w:r>
        <w:rPr>
          <w:rFonts w:ascii="Arial" w:cs="Arial" w:eastAsia="Arial" w:hAnsi="Arial"/>
          <w:b w:val="false"/>
          <w:bCs w:val="false"/>
          <w:i w:val="false"/>
          <w:iCs w:val="false"/>
          <w:color w:val="1A1A1A"/>
          <w:sz w:val="20"/>
          <w:szCs w:val="20"/>
        </w:rPr>
        <w:t xml:space="preserve">Foster an entrepreneurial internal culture where at least 25% of staff participate in voluntary vibe coding sprints annually.</w:t>
      </w:r>
    </w:p>
    <w:p>
      <w:r>
        <w:br w:type="page"/>
      </w:r>
    </w:p>
    <w:p>
      <w:pPr>
        <w:pBdr>
          <w:bottom w:val="single" w:color="1F4E79" w:sz="8" w:space="2"/>
        </w:pBdr>
        <w:spacing w:after="120" w:before="320"/>
      </w:pPr>
      <w:r>
        <w:rPr>
          <w:rFonts w:ascii="Arial" w:cs="Arial" w:eastAsia="Arial" w:hAnsi="Arial"/>
          <w:b/>
          <w:bCs/>
          <w:color w:val="1F4E79"/>
          <w:sz w:val="32"/>
          <w:szCs w:val="32"/>
        </w:rPr>
        <w:t xml:space="preserve">4. Integrated Architecture: Hub-Led, ILS-Powered</w:t>
      </w:r>
    </w:p>
    <w:p>
      <w:pPr>
        <w:spacing w:after="60" w:before="60"/>
      </w:pPr>
      <w:r>
        <w:rPr>
          <w:rFonts w:ascii="Arial" w:cs="Arial" w:eastAsia="Arial" w:hAnsi="Arial"/>
          <w:b w:val="false"/>
          <w:bCs w:val="false"/>
          <w:i w:val="false"/>
          <w:iCs w:val="false"/>
          <w:color w:val="1A1A1A"/>
          <w:sz w:val="20"/>
          <w:szCs w:val="20"/>
        </w:rPr>
        <w:t xml:space="preserve">The five ILS components form a single integrated architecture with HR-X Solutions Hub at the commercial interface and the other four providing the infrastructure and validation underneath.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25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50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 in Integrated Architecture</w:t>
            </w:r>
          </w:p>
        </w:tc>
      </w:tr>
      <w:tr>
        <w:tc>
          <w:tcPr>
            <w:tcW w:type="dxa" w:w="18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center"/>
            </w:pPr>
            <w:r>
              <w:rPr>
                <w:rFonts w:ascii="Arial" w:cs="Arial" w:eastAsia="Arial" w:hAnsi="Arial"/>
                <w:b/>
                <w:bCs/>
                <w:i w:val="false"/>
                <w:iCs w:val="false"/>
                <w:color w:val="1F7A6E"/>
                <w:sz w:val="20"/>
                <w:szCs w:val="20"/>
              </w:rPr>
              <w:t xml:space="preserve">1 — LEAD</w:t>
            </w:r>
          </w:p>
        </w:tc>
        <w:tc>
          <w:tcPr>
            <w:tcW w:type="dxa" w:w="25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HR-X Solutions Hub</w:t>
            </w:r>
          </w:p>
        </w:tc>
        <w:tc>
          <w:tcPr>
            <w:tcW w:type="dxa" w:w="506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Enterprise revenue vehicle. Three-tier pricing ($15K / $75K / $150K). Commercial interface between SHRM and enterprise CHROs. Consumes VoW Synthetic benchmark population and KCDE reasoning layer via API.</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KCDE</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Knowledge Center Decision Engine. Graph-RAG reasoning grounded in SHRM BASK and Knowledge Center transcript corpus. Feeds Hub's AI narrative and recommendation layer. Data source: Qualtrics XM Discover enriched transcripts.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VoW Synthetic</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Persona simulation and synthetic population engine. Provides Hub's benchmark population from day one — solving the classic chicken-and-egg problem that early-stage benchmarking products face. Phase 0: survey diary architecture on Qualtrics panel + GWI subscription.</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University Nodes</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Scientific validation network — Cornell (deep-tech), Indiana/Kelley (practitioner), Denver (enterprise integration). Provides ILS Validation Seal for high-stakes logic. Activates only after KCDE and VoW gates clear.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1A1A"/>
                <w:sz w:val="20"/>
                <w:szCs w:val="20"/>
              </w:rPr>
              <w:t xml:space="preserve">5 — ONGOING</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Internal Innovation Hackathons</w:t>
            </w:r>
          </w:p>
        </w:tc>
        <w:tc>
          <w:tcPr>
            <w:tcW w:type="dxa" w:w="50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Cultural velocity engine. Staff vibe coding sprints using Lovable.dev for rapid prototyping. Already executing — SHRM Innovation Week 2026. Feeds discovery pipeline for future Hub modules and KCDE capabilities.</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i/>
                <w:iCs/>
                <w:color w:val="2E75B6"/>
                <w:sz w:val="20"/>
                <w:szCs w:val="20"/>
              </w:rPr>
              <w:t xml:space="preserve">6 — EMERGENT</w:t>
            </w:r>
          </w:p>
        </w:tc>
        <w:tc>
          <w:tcPr>
            <w:tcW w:type="dxa" w:w="25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iCs/>
                <w:color w:val="1A1A1A"/>
                <w:sz w:val="20"/>
                <w:szCs w:val="20"/>
              </w:rPr>
              <w:t xml:space="preserve">Future initiatives</w:t>
            </w:r>
          </w:p>
        </w:tc>
        <w:tc>
          <w:tcPr>
            <w:tcW w:type="dxa" w:w="5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iCs/>
                <w:color w:val="1A1A1A"/>
                <w:sz w:val="20"/>
                <w:szCs w:val="20"/>
              </w:rPr>
              <w:t xml:space="preserve">Extensions that emerge from the enabling technology and validation work — for example, AI/HRIS certification products born from VoW Synthetic's validation capacity; new decision support domains surfaced through hackathons; research-grade methodologies developed through University Node collaboration. Not committed in this brief; placeholder acknowledges ILS's generative capacity as a catalyst function.</w:t>
            </w:r>
          </w:p>
        </w:tc>
      </w:tr>
    </w:tbl>
    <w:p>
      <w:r>
        <w:t xml:space="preserve"/>
      </w:r>
    </w:p>
    <w:p>
      <w:pPr>
        <w:spacing w:after="60" w:before="60"/>
      </w:pPr>
      <w:r>
        <w:rPr>
          <w:rFonts w:ascii="Arial" w:cs="Arial" w:eastAsia="Arial" w:hAnsi="Arial"/>
          <w:b w:val="false"/>
          <w:bCs w:val="false"/>
          <w:i w:val="false"/>
          <w:iCs w:val="false"/>
          <w:color w:val="1A1A1A"/>
          <w:sz w:val="20"/>
          <w:szCs w:val="20"/>
        </w:rPr>
        <w:t xml:space="preserve">The five current components form a complete Phase 0 and Phase 1 agenda. The sixth row is deliberately open. ILS is a catalyst function, and catalyst functions generate new initiatives over time — some become products, some become components of other products, and some are experiments that push the envelope and inform what comes next. VoW Synthetic's validation capacity, for instance, could credibly become the foundation for an AI/HRIS certification product line that does not yet exist in the market. Hackathon outputs and University Node research may surface entirely new decision support domains. This brief does not commit to those futures, but it acknowledges that ILS's generative capacity is real — and that the governance model needs to accommodate initiatives that don't yet have names.</w:t>
      </w:r>
    </w:p>
    <w:p>
      <w:pPr>
        <w:pBdr>
          <w:bottom w:val="single" w:color="2E75B6" w:sz="6" w:space="1"/>
        </w:pBdr>
        <w:spacing w:after="80" w:before="220"/>
      </w:pPr>
      <w:r>
        <w:rPr>
          <w:rFonts w:ascii="Arial" w:cs="Arial" w:eastAsia="Arial" w:hAnsi="Arial"/>
          <w:b/>
          <w:bCs/>
          <w:color w:val="1F4E79"/>
          <w:sz w:val="26"/>
          <w:szCs w:val="26"/>
        </w:rPr>
        <w:t xml:space="preserve">The Three-Layer Integration Thesis</w:t>
      </w:r>
    </w:p>
    <w:p>
      <w:pPr>
        <w:spacing w:after="60" w:before="60"/>
      </w:pPr>
      <w:r>
        <w:rPr>
          <w:rFonts w:ascii="Arial" w:cs="Arial" w:eastAsia="Arial" w:hAnsi="Arial"/>
          <w:b w:val="false"/>
          <w:bCs w:val="false"/>
          <w:i w:val="false"/>
          <w:iCs w:val="false"/>
          <w:color w:val="1A1A1A"/>
          <w:sz w:val="20"/>
          <w:szCs w:val="20"/>
        </w:rPr>
        <w:t xml:space="preserve">HR-X Solutions Hub's strategic value operates at three integration levels — each expanding the aperture of what SHRM provides:</w:t>
      </w:r>
    </w:p>
    <w:p>
      <w:pPr>
        <w:spacing w:after="60" w:before="160"/>
      </w:pPr>
      <w:r>
        <w:rPr>
          <w:rFonts w:ascii="Arial" w:cs="Arial" w:eastAsia="Arial" w:hAnsi="Arial"/>
          <w:b/>
          <w:bCs/>
          <w:color w:val="1F4E79"/>
          <w:sz w:val="22"/>
          <w:szCs w:val="22"/>
        </w:rPr>
        <w:t xml:space="preserve">Layer 1 — Internal integration: BASK + HR-X</w:t>
      </w:r>
    </w:p>
    <w:p>
      <w:pPr>
        <w:spacing w:after="60" w:before="60"/>
      </w:pPr>
      <w:r>
        <w:rPr>
          <w:rFonts w:ascii="Arial" w:cs="Arial" w:eastAsia="Arial" w:hAnsi="Arial"/>
          <w:b w:val="false"/>
          <w:bCs w:val="false"/>
          <w:i w:val="false"/>
          <w:iCs w:val="false"/>
          <w:color w:val="1A1A1A"/>
          <w:sz w:val="20"/>
          <w:szCs w:val="20"/>
        </w:rPr>
        <w:t xml:space="preserve">Fusing SHRM's proprietary diagnostic instrument (HR-X) with the authoritative competency standard (BASK) creates a unified guidance system where organizational maturity scores connect directly to the capability development SHRM can prescribe. Diagnostic meets prescriptive. Two SHRM assets become more valuable together.</w:t>
      </w:r>
    </w:p>
    <w:p>
      <w:pPr>
        <w:spacing w:after="60" w:before="160"/>
      </w:pPr>
      <w:r>
        <w:rPr>
          <w:rFonts w:ascii="Arial" w:cs="Arial" w:eastAsia="Arial" w:hAnsi="Arial"/>
          <w:b/>
          <w:bCs/>
          <w:color w:val="1F4E79"/>
          <w:sz w:val="22"/>
          <w:szCs w:val="22"/>
        </w:rPr>
        <w:t xml:space="preserve">Layer 2 — Enterprise integration: Hub embeds in customer operations</w:t>
      </w:r>
    </w:p>
    <w:p>
      <w:pPr>
        <w:spacing w:after="60" w:before="60"/>
      </w:pPr>
      <w:r>
        <w:rPr>
          <w:rFonts w:ascii="Arial" w:cs="Arial" w:eastAsia="Arial" w:hAnsi="Arial"/>
          <w:b w:val="false"/>
          <w:bCs w:val="false"/>
          <w:i w:val="false"/>
          <w:iCs w:val="false"/>
          <w:color w:val="1A1A1A"/>
          <w:sz w:val="20"/>
          <w:szCs w:val="20"/>
        </w:rPr>
        <w:t xml:space="preserve">The Hub connects to the customer's HRIS (Workday priority, Phase 2), learning management, and performance systems. Assessment results stop being a report filed and become infrastructure that tracks maturity progression, triggers re-assessment cycles, and correlates SHRM learning completion with capability gains. The Hub becomes a persistent operating layer, not a periodic diagnostic event.</w:t>
      </w:r>
    </w:p>
    <w:p>
      <w:pPr>
        <w:spacing w:after="60" w:before="60"/>
      </w:pPr>
      <w:r>
        <w:rPr>
          <w:rFonts w:ascii="Arial" w:cs="Arial" w:eastAsia="Arial" w:hAnsi="Arial"/>
          <w:b w:val="false"/>
          <w:bCs w:val="false"/>
          <w:i w:val="false"/>
          <w:iCs w:val="false"/>
          <w:color w:val="1A1A1A"/>
          <w:sz w:val="20"/>
          <w:szCs w:val="20"/>
        </w:rPr>
        <w:t xml:space="preserve">This persistence creates a continuous demand dynamic: the Hub surfaces specific organizational capability gaps, and those gaps are precisely what SHRM's broader enterprise portfolio — executive membership, Linkage advisory, L&amp;D programs, certifications, events, and Hub expansion modules — is designed to address. Each captive Hub-engaged enterprise is a qualified lead flag across SHRM's full enterprise catalog. Hub direct revenue becomes the entry point, not the full extent, of the enterprise relationship. A conservative 1.5x cross-sell multiplier implies meaningful downstream revenue — roughly $5.2M over the two-year period — that flows to existing SHRM product lines rather than ILS, amplifying the return without requiring new product investment.</w:t>
      </w:r>
    </w:p>
    <w:p>
      <w:pPr>
        <w:spacing w:after="60" w:before="160"/>
      </w:pPr>
      <w:r>
        <w:rPr>
          <w:rFonts w:ascii="Arial" w:cs="Arial" w:eastAsia="Arial" w:hAnsi="Arial"/>
          <w:b/>
          <w:bCs/>
          <w:color w:val="1F4E79"/>
          <w:sz w:val="22"/>
          <w:szCs w:val="22"/>
        </w:rPr>
        <w:t xml:space="preserve">Layer 3 — Ecosystem integration: Hub fills the workforce capability layer in enterprise maturity frameworks</w:t>
      </w:r>
    </w:p>
    <w:p>
      <w:pPr>
        <w:spacing w:after="60" w:before="60"/>
      </w:pPr>
      <w:r>
        <w:rPr>
          <w:rFonts w:ascii="Arial" w:cs="Arial" w:eastAsia="Arial" w:hAnsi="Arial"/>
          <w:b w:val="false"/>
          <w:bCs w:val="false"/>
          <w:i w:val="false"/>
          <w:iCs w:val="false"/>
          <w:color w:val="1A1A1A"/>
          <w:sz w:val="20"/>
          <w:szCs w:val="20"/>
        </w:rPr>
        <w:t xml:space="preserve">The Hub plugs into whatever enterprise excellence, process maturity, or digital transformation framework the organization already runs — Baldrige, EFQM, CMMI, BCG DAI, and the rest. SHRM does not ask organizations to replace their existing frameworks. SHRM completes them by filling the workforce capability gap these models uniformly lack.</w:t>
      </w:r>
    </w:p>
    <w:p>
      <w:pPr>
        <w:spacing w:after="60" w:before="160"/>
      </w:pPr>
      <w:r>
        <w:rPr>
          <w:rFonts w:ascii="Arial" w:cs="Arial" w:eastAsia="Arial" w:hAnsi="Arial"/>
          <w:b/>
          <w:bCs/>
          <w:color w:val="1F4E79"/>
          <w:sz w:val="22"/>
          <w:szCs w:val="22"/>
        </w:rPr>
        <w:t xml:space="preserve">Internal validation of the integration thesis</w:t>
      </w:r>
    </w:p>
    <w:p>
      <w:pPr>
        <w:spacing w:after="60" w:before="60"/>
      </w:pPr>
      <w:r>
        <w:rPr>
          <w:rFonts w:ascii="Arial" w:cs="Arial" w:eastAsia="Arial" w:hAnsi="Arial"/>
          <w:b w:val="false"/>
          <w:bCs w:val="false"/>
          <w:i w:val="false"/>
          <w:iCs w:val="false"/>
          <w:color w:val="1A1A1A"/>
          <w:sz w:val="20"/>
          <w:szCs w:val="20"/>
        </w:rPr>
        <w:t xml:space="preserve">The three-layer architecture is not only a strategic argument — it is what SHRM staff independently proposed when given creative latitude. The inaugural Innovation Week hackathon (April 2026) produced 55 staff-built AI prototypes that, in aggregate, converge on exactly this architecture. Pathnex operationalizes BASK into employee-level decision support (Layer 1). SignalForge, Evolve, PeopleScope, and CareOS propose CHRO-level workforce decision infrastructure (Layer 2). Apps like SHRM Guardian and SHRM InsightBridge frame workforce capability as input to enterprise-level strategy conversations (Layer 3). When 39 staff members across 7 divisions are given 24 hours and no roadmap, they reach for the same concentric audience structure this brief describes — bottom-up validation that the integration thesis matches the opportunity staff closest to SHRM's business instinctively perceive.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BF3FB" w:val="clear"/>
            <w:tcMar>
              <w:top w:type="dxa" w:w="140"/>
              <w:left w:type="dxa" w:w="200"/>
              <w:bottom w:type="dxa" w:w="140"/>
              <w:right w:type="dxa" w:w="200"/>
            </w:tcMar>
          </w:tcPr>
          <w:p>
            <w:pPr>
              <w:spacing w:after="60" w:before="0"/>
            </w:pPr>
            <w:r>
              <w:rPr>
                <w:rFonts w:ascii="Arial" w:cs="Arial" w:eastAsia="Arial" w:hAnsi="Arial"/>
                <w:b/>
                <w:bCs/>
                <w:color w:val="1F4E79"/>
                <w:sz w:val="22"/>
                <w:szCs w:val="22"/>
              </w:rPr>
              <w:t xml:space="preserve">Why the integration thesis matters</w:t>
            </w:r>
          </w:p>
          <w:p>
            <w:r>
              <w:rPr>
                <w:rFonts w:ascii="Arial" w:cs="Arial" w:eastAsia="Arial" w:hAnsi="Arial"/>
                <w:color w:val="1A1A1A"/>
                <w:sz w:val="20"/>
                <w:szCs w:val="20"/>
              </w:rPr>
              <w:t xml:space="preserve">Layer 1 is an HR story. Layer 2 is a CHRO operations story. Layer 3 is a C-suite and board story. Same system, three concentric audiences, each one broader than the last. This is what separates a sophisticated survey from computational infrastructure.</w:t>
            </w:r>
          </w:p>
        </w:tc>
      </w:tr>
    </w:tbl>
    <w:p>
      <w:r>
        <w:br w:type="page"/>
      </w:r>
    </w:p>
    <w:p>
      <w:pPr>
        <w:pBdr>
          <w:bottom w:val="single" w:color="1F4E79" w:sz="8" w:space="2"/>
        </w:pBdr>
        <w:spacing w:after="120" w:before="320"/>
      </w:pPr>
      <w:r>
        <w:rPr>
          <w:rFonts w:ascii="Arial" w:cs="Arial" w:eastAsia="Arial" w:hAnsi="Arial"/>
          <w:b/>
          <w:bCs/>
          <w:color w:val="1F4E79"/>
          <w:sz w:val="32"/>
          <w:szCs w:val="32"/>
        </w:rPr>
        <w:t xml:space="preserve">5. Execution Roadmap</w:t>
      </w:r>
    </w:p>
    <w:p>
      <w:pPr>
        <w:pBdr>
          <w:bottom w:val="single" w:color="2E75B6" w:sz="6" w:space="1"/>
        </w:pBdr>
        <w:spacing w:after="80" w:before="220"/>
      </w:pPr>
      <w:r>
        <w:rPr>
          <w:rFonts w:ascii="Arial" w:cs="Arial" w:eastAsia="Arial" w:hAnsi="Arial"/>
          <w:b/>
          <w:bCs/>
          <w:color w:val="1F4E79"/>
          <w:sz w:val="26"/>
          <w:szCs w:val="26"/>
        </w:rPr>
        <w:t xml:space="preserve">Phase 0 — Validate (Months 1–6, 2026)</w:t>
      </w:r>
    </w:p>
    <w:p>
      <w:pPr>
        <w:spacing w:after="60" w:before="60"/>
      </w:pPr>
      <w:r>
        <w:rPr>
          <w:rFonts w:ascii="Arial" w:cs="Arial" w:eastAsia="Arial" w:hAnsi="Arial"/>
          <w:b w:val="false"/>
          <w:bCs w:val="false"/>
          <w:i w:val="false"/>
          <w:iCs w:val="false"/>
          <w:color w:val="1A1A1A"/>
          <w:sz w:val="20"/>
          <w:szCs w:val="20"/>
        </w:rPr>
        <w:t xml:space="preserve">Internal use only. No cash revenue expected. Maximum sunk cost before board go/no-go: $80K.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KCDE: </w:t>
      </w:r>
      <w:r>
        <w:rPr>
          <w:rFonts w:ascii="Arial" w:cs="Arial" w:eastAsia="Arial" w:hAnsi="Arial"/>
          <w:b w:val="false"/>
          <w:bCs w:val="false"/>
          <w:i w:val="false"/>
          <w:iCs w:val="false"/>
          <w:color w:val="1A1A1A"/>
          <w:sz w:val="20"/>
          <w:szCs w:val="20"/>
        </w:rPr>
        <w:t xml:space="preserve">Qualtrics XM Discover enriched transcript API integration, BASK vectorization, first reasoning loops. $45K gate cost.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VoW Synthetic: </w:t>
      </w:r>
      <w:r>
        <w:rPr>
          <w:rFonts w:ascii="Arial" w:cs="Arial" w:eastAsia="Arial" w:hAnsi="Arial"/>
          <w:b w:val="false"/>
          <w:bCs w:val="false"/>
          <w:i w:val="false"/>
          <w:iCs w:val="false"/>
          <w:color w:val="1A1A1A"/>
          <w:sz w:val="20"/>
          <w:szCs w:val="20"/>
        </w:rPr>
        <w:t xml:space="preserve">Survey diary architecture on Qualtrics longitudinal panel + GWI global attitudinal data subscription (activated June 2026, $26K Year 1 amortized), 13K seed personas, parallel human vs. synthetic delta report. $35K gate cost.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HR-X Solutions Hub: </w:t>
      </w:r>
      <w:r>
        <w:rPr>
          <w:rFonts w:ascii="Arial" w:cs="Arial" w:eastAsia="Arial" w:hAnsi="Arial"/>
          <w:b w:val="false"/>
          <w:bCs w:val="false"/>
          <w:i w:val="false"/>
          <w:iCs w:val="false"/>
          <w:color w:val="1A1A1A"/>
          <w:sz w:val="20"/>
          <w:szCs w:val="20"/>
        </w:rPr>
        <w:t xml:space="preserve">MVP build on React/Supabase/GCP, first pilot clients onboarded, ~$487K annual vendor platform fees avoided (benchmark-derived). ~$75K build cost.</w:t>
      </w:r>
    </w:p>
    <w:p>
      <w:pPr>
        <w:pBdr>
          <w:bottom w:val="single" w:color="2E75B6" w:sz="6" w:space="1"/>
        </w:pBdr>
        <w:spacing w:after="80" w:before="220"/>
      </w:pPr>
      <w:r>
        <w:rPr>
          <w:rFonts w:ascii="Arial" w:cs="Arial" w:eastAsia="Arial" w:hAnsi="Arial"/>
          <w:b/>
          <w:bCs/>
          <w:color w:val="1F4E79"/>
          <w:sz w:val="26"/>
          <w:szCs w:val="26"/>
        </w:rPr>
        <w:t xml:space="preserve">Phase 1 — Commercialize (Months 7–12, 2026)</w:t>
      </w:r>
    </w:p>
    <w:p>
      <w:pPr>
        <w:spacing w:after="60" w:before="60"/>
      </w:pPr>
      <w:r>
        <w:rPr>
          <w:rFonts w:ascii="Arial" w:cs="Arial" w:eastAsia="Arial" w:hAnsi="Arial"/>
          <w:b w:val="false"/>
          <w:bCs w:val="false"/>
          <w:i w:val="false"/>
          <w:iCs w:val="false"/>
          <w:color w:val="1A1A1A"/>
          <w:sz w:val="20"/>
          <w:szCs w:val="20"/>
        </w:rPr>
        <w:t xml:space="preserve">Post-validation scaling. First cash revenue. SHRM26 commercial launch milestone.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HR-X Solutions Hub: </w:t>
      </w:r>
      <w:r>
        <w:rPr>
          <w:rFonts w:ascii="Arial" w:cs="Arial" w:eastAsia="Arial" w:hAnsi="Arial"/>
          <w:b w:val="false"/>
          <w:bCs w:val="false"/>
          <w:i w:val="false"/>
          <w:iCs w:val="false"/>
          <w:color w:val="1A1A1A"/>
          <w:sz w:val="20"/>
          <w:szCs w:val="20"/>
        </w:rPr>
        <w:t xml:space="preserve">Tier 1/2/3 pricing live, Salesforce integration operational, SHRM26 Tier 2/3 enterprise demos. $930K cash revenue target.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KCDE: </w:t>
      </w:r>
      <w:r>
        <w:rPr>
          <w:rFonts w:ascii="Arial" w:cs="Arial" w:eastAsia="Arial" w:hAnsi="Arial"/>
          <w:b w:val="false"/>
          <w:bCs w:val="false"/>
          <w:i w:val="false"/>
          <w:iCs w:val="false"/>
          <w:color w:val="1A1A1A"/>
          <w:sz w:val="20"/>
          <w:szCs w:val="20"/>
        </w:rPr>
        <w:t xml:space="preserve">First B2B API contracts, Copilot/ChatGPT distribution channel integration. $525K Year 1 revenue.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VoW Synthetic: </w:t>
      </w:r>
      <w:r>
        <w:rPr>
          <w:rFonts w:ascii="Arial" w:cs="Arial" w:eastAsia="Arial" w:hAnsi="Arial"/>
          <w:b w:val="false"/>
          <w:bCs w:val="false"/>
          <w:i w:val="false"/>
          <w:iCs w:val="false"/>
          <w:color w:val="1A1A1A"/>
          <w:sz w:val="20"/>
          <w:szCs w:val="20"/>
        </w:rPr>
        <w:t xml:space="preserve">First Fortune 500 simulation sprint sold, ~50K personas active.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University Nodes: </w:t>
      </w:r>
      <w:r>
        <w:rPr>
          <w:rFonts w:ascii="Arial" w:cs="Arial" w:eastAsia="Arial" w:hAnsi="Arial"/>
          <w:b w:val="false"/>
          <w:bCs w:val="false"/>
          <w:i w:val="false"/>
          <w:iCs w:val="false"/>
          <w:color w:val="1A1A1A"/>
          <w:sz w:val="20"/>
          <w:szCs w:val="20"/>
        </w:rPr>
        <w:t xml:space="preserve">MOUs executed with Cornell, Indiana, Denver. First validation sprints completed.</w:t>
      </w:r>
    </w:p>
    <w:p>
      <w:pPr>
        <w:pBdr>
          <w:bottom w:val="single" w:color="2E75B6" w:sz="6" w:space="1"/>
        </w:pBdr>
        <w:spacing w:after="80" w:before="220"/>
      </w:pPr>
      <w:r>
        <w:rPr>
          <w:rFonts w:ascii="Arial" w:cs="Arial" w:eastAsia="Arial" w:hAnsi="Arial"/>
          <w:b/>
          <w:bCs/>
          <w:color w:val="1F4E79"/>
          <w:sz w:val="26"/>
          <w:szCs w:val="26"/>
        </w:rPr>
        <w:t xml:space="preserve">Phase 2 — Scale (Year 2+, 2027)</w:t>
      </w:r>
    </w:p>
    <w:p>
      <w:pPr>
        <w:spacing w:after="60" w:before="60"/>
      </w:pPr>
      <w:r>
        <w:rPr>
          <w:rFonts w:ascii="Arial" w:cs="Arial" w:eastAsia="Arial" w:hAnsi="Arial"/>
          <w:b w:val="false"/>
          <w:bCs w:val="false"/>
          <w:i w:val="false"/>
          <w:iCs w:val="false"/>
          <w:color w:val="1A1A1A"/>
          <w:sz w:val="20"/>
          <w:szCs w:val="20"/>
        </w:rPr>
        <w:t xml:space="preserve">Full platform operation. Enterprise licensing. HRIS integration. Ecosystem expansion.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HR-X Solutions Hub: </w:t>
      </w:r>
      <w:r>
        <w:rPr>
          <w:rFonts w:ascii="Arial" w:cs="Arial" w:eastAsia="Arial" w:hAnsi="Arial"/>
          <w:b w:val="false"/>
          <w:bCs w:val="false"/>
          <w:i w:val="false"/>
          <w:iCs w:val="false"/>
          <w:color w:val="1A1A1A"/>
          <w:sz w:val="20"/>
          <w:szCs w:val="20"/>
        </w:rPr>
        <w:t xml:space="preserve">Scale to 30 Tier 1 / 15 Tier 2 / 5 Tier 3 engagements. Workday HRIS integration moves Hub from self-reported to verified maturity. I&amp;D module launches. Re-assessment recurring revenue compounds.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KCDE: </w:t>
      </w:r>
      <w:r>
        <w:rPr>
          <w:rFonts w:ascii="Arial" w:cs="Arial" w:eastAsia="Arial" w:hAnsi="Arial"/>
          <w:b w:val="false"/>
          <w:bCs w:val="false"/>
          <w:i w:val="false"/>
          <w:iCs w:val="false"/>
          <w:color w:val="1A1A1A"/>
          <w:sz w:val="20"/>
          <w:szCs w:val="20"/>
        </w:rPr>
        <w:t xml:space="preserve">100K+ active reasoning calls. Major HRIS platform integrations via API.</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VoW Synthetic: </w:t>
      </w:r>
      <w:r>
        <w:rPr>
          <w:rFonts w:ascii="Arial" w:cs="Arial" w:eastAsia="Arial" w:hAnsi="Arial"/>
          <w:b w:val="false"/>
          <w:bCs w:val="false"/>
          <w:i w:val="false"/>
          <w:iCs w:val="false"/>
          <w:color w:val="1A1A1A"/>
          <w:sz w:val="20"/>
          <w:szCs w:val="20"/>
        </w:rPr>
        <w:t xml:space="preserve">Enterprise twin validation stamps, API licensing, behavioral touchpoint layer added via CGI/IT Fabric pipeline (SHRM riding IT's existing roadmap investment, not competing with it).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University Nodes: </w:t>
      </w:r>
      <w:r>
        <w:rPr>
          <w:rFonts w:ascii="Arial" w:cs="Arial" w:eastAsia="Arial" w:hAnsi="Arial"/>
          <w:b w:val="false"/>
          <w:bCs w:val="false"/>
          <w:i w:val="false"/>
          <w:iCs w:val="false"/>
          <w:color w:val="1A1A1A"/>
          <w:sz w:val="20"/>
          <w:szCs w:val="20"/>
        </w:rPr>
        <w:t xml:space="preserve">Full research pipeline. Talent funnel through ILS Fellowships.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BF3FB" w:val="clear"/>
            <w:tcMar>
              <w:top w:type="dxa" w:w="140"/>
              <w:left w:type="dxa" w:w="200"/>
              <w:bottom w:type="dxa" w:w="140"/>
              <w:right w:type="dxa" w:w="200"/>
            </w:tcMar>
          </w:tcPr>
          <w:p>
            <w:pPr>
              <w:spacing w:after="60" w:before="0"/>
            </w:pPr>
            <w:r>
              <w:rPr>
                <w:rFonts w:ascii="Arial" w:cs="Arial" w:eastAsia="Arial" w:hAnsi="Arial"/>
                <w:b/>
                <w:bCs/>
                <w:color w:val="1F4E79"/>
                <w:sz w:val="22"/>
                <w:szCs w:val="22"/>
              </w:rPr>
              <w:t xml:space="preserve">Investment Cascade: Limiting Downside Exposure</w:t>
            </w:r>
          </w:p>
          <w:p>
            <w:r>
              <w:rPr>
                <w:rFonts w:ascii="Arial" w:cs="Arial" w:eastAsia="Arial" w:hAnsi="Arial"/>
                <w:color w:val="1A1A1A"/>
                <w:sz w:val="20"/>
                <w:szCs w:val="20"/>
              </w:rPr>
              <w:t xml:space="preserve">The roadmap operates as a strict investment cascade: each phase gate must be cleared before the next tranche is committed. Phase 0's combined KCDE and VoW validation spend ($80K) is the maximum sunk cost before a board-level go/no-go decision. If the 60-day technical gates fail, SHRM's total exposure is limited to that amount. If they pass, Phase 1 unlocks with demonstrated proof of concept. The HR-X Solutions Hub's Phase 0 build (~$75K) is offset within the first year by approximately $487K in avoided annual vendor platform fees, derived from a ten-company enterprise benchmark — meaning the internal build economically outperforms vendor contracting on an ongoing basis. University Nodes ($225K) activate only after the KCDE and VoW gates are cleared. Leadership never faces an all-or-nothing funding decision; each gate earns the next.</w:t>
            </w:r>
          </w:p>
        </w:tc>
      </w:tr>
    </w:tbl>
    <w:p>
      <w:r>
        <w:br w:type="page"/>
      </w:r>
    </w:p>
    <w:p>
      <w:pPr>
        <w:pBdr>
          <w:bottom w:val="single" w:color="1F4E79" w:sz="8" w:space="2"/>
        </w:pBdr>
        <w:spacing w:after="120" w:before="320"/>
      </w:pPr>
      <w:r>
        <w:rPr>
          <w:rFonts w:ascii="Arial" w:cs="Arial" w:eastAsia="Arial" w:hAnsi="Arial"/>
          <w:b/>
          <w:bCs/>
          <w:color w:val="1F4E79"/>
          <w:sz w:val="32"/>
          <w:szCs w:val="32"/>
        </w:rPr>
        <w:t xml:space="preserve">6. Platform &amp; Infrastructure</w:t>
      </w:r>
    </w:p>
    <w:p>
      <w:pPr>
        <w:pBdr>
          <w:bottom w:val="single" w:color="2E75B6" w:sz="6" w:space="1"/>
        </w:pBdr>
        <w:spacing w:after="80" w:before="220"/>
      </w:pPr>
      <w:r>
        <w:rPr>
          <w:rFonts w:ascii="Arial" w:cs="Arial" w:eastAsia="Arial" w:hAnsi="Arial"/>
          <w:b/>
          <w:bCs/>
          <w:color w:val="1F4E79"/>
          <w:sz w:val="26"/>
          <w:szCs w:val="26"/>
        </w:rPr>
        <w:t xml:space="preserve">Build Platform: Google Cloud</w:t>
      </w:r>
    </w:p>
    <w:p>
      <w:pPr>
        <w:spacing w:after="60" w:before="60"/>
      </w:pPr>
      <w:r>
        <w:rPr>
          <w:rFonts w:ascii="Arial" w:cs="Arial" w:eastAsia="Arial" w:hAnsi="Arial"/>
          <w:b w:val="false"/>
          <w:bCs w:val="false"/>
          <w:i w:val="false"/>
          <w:iCs w:val="false"/>
          <w:color w:val="1A1A1A"/>
          <w:sz w:val="20"/>
          <w:szCs w:val="20"/>
        </w:rPr>
        <w:t xml:space="preserve">ILS infrastructure runs on Google Cloud — enterprise-grade, SOC2 / ISO 27001 / FedRAMP certified, with an existing SHRM vendor relationship through Gemini access. GCP provides BigQuery for data warehousing, Vertex AI for model operations, Gemini for inference, and IAM-scoped service accounts for clean external collaborator access without corporate tenant expansion.</w:t>
      </w:r>
    </w:p>
    <w:p>
      <w:pPr>
        <w:spacing w:after="60" w:before="60"/>
      </w:pPr>
      <w:r>
        <w:rPr>
          <w:rFonts w:ascii="Arial" w:cs="Arial" w:eastAsia="Arial" w:hAnsi="Arial"/>
          <w:b w:val="false"/>
          <w:bCs w:val="false"/>
          <w:i w:val="false"/>
          <w:iCs w:val="false"/>
          <w:color w:val="1A1A1A"/>
          <w:sz w:val="20"/>
          <w:szCs w:val="20"/>
        </w:rPr>
        <w:t xml:space="preserve">This decision resolves several organizational constraints simultaneously: no new enterprise procurement, no CGI/IT roadmap dependency for Phase 0, no tenant management burden as ILS adds contractors and university partners, and a model-agnostic architecture (Gemini, Claude, plus open-source options) that prevents single-vendor lock-in.</w:t>
      </w:r>
    </w:p>
    <w:p>
      <w:pPr>
        <w:pBdr>
          <w:bottom w:val="single" w:color="2E75B6" w:sz="6" w:space="1"/>
        </w:pBdr>
        <w:spacing w:after="80" w:before="220"/>
      </w:pPr>
      <w:r>
        <w:rPr>
          <w:rFonts w:ascii="Arial" w:cs="Arial" w:eastAsia="Arial" w:hAnsi="Arial"/>
          <w:b/>
          <w:bCs/>
          <w:color w:val="1F4E79"/>
          <w:sz w:val="26"/>
          <w:szCs w:val="26"/>
        </w:rPr>
        <w:t xml:space="preserve">Build Stack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Front end: </w:t>
      </w:r>
      <w:r>
        <w:rPr>
          <w:rFonts w:ascii="Arial" w:cs="Arial" w:eastAsia="Arial" w:hAnsi="Arial"/>
          <w:b w:val="false"/>
          <w:bCs w:val="false"/>
          <w:i w:val="false"/>
          <w:iCs w:val="false"/>
          <w:color w:val="1A1A1A"/>
          <w:sz w:val="20"/>
          <w:szCs w:val="20"/>
        </w:rPr>
        <w:t xml:space="preserve">React — standard, portable, auditable.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Operational data layer: </w:t>
      </w:r>
      <w:r>
        <w:rPr>
          <w:rFonts w:ascii="Arial" w:cs="Arial" w:eastAsia="Arial" w:hAnsi="Arial"/>
          <w:b w:val="false"/>
          <w:bCs w:val="false"/>
          <w:i w:val="false"/>
          <w:iCs w:val="false"/>
          <w:color w:val="1A1A1A"/>
          <w:sz w:val="20"/>
          <w:szCs w:val="20"/>
        </w:rPr>
        <w:t xml:space="preserve">Supabase — Postgres-based, production-grade, enterprise-suitable.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Intelligence layer: </w:t>
      </w:r>
      <w:r>
        <w:rPr>
          <w:rFonts w:ascii="Arial" w:cs="Arial" w:eastAsia="Arial" w:hAnsi="Arial"/>
          <w:b w:val="false"/>
          <w:bCs w:val="false"/>
          <w:i w:val="false"/>
          <w:iCs w:val="false"/>
          <w:color w:val="1A1A1A"/>
          <w:sz w:val="20"/>
          <w:szCs w:val="20"/>
        </w:rPr>
        <w:t xml:space="preserve">Google Cloud (BigQuery, Vertex AI, Gemini) plus Anthropic Claude API — dual frontier model architecture.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CRM integration: </w:t>
      </w:r>
      <w:r>
        <w:rPr>
          <w:rFonts w:ascii="Arial" w:cs="Arial" w:eastAsia="Arial" w:hAnsi="Arial"/>
          <w:b w:val="false"/>
          <w:bCs w:val="false"/>
          <w:i w:val="false"/>
          <w:iCs w:val="false"/>
          <w:color w:val="1A1A1A"/>
          <w:sz w:val="20"/>
          <w:szCs w:val="20"/>
        </w:rPr>
        <w:t xml:space="preserve">Salesforce native connectors — the Hub feeds account intelligence into Salesforce so SHRM Business reps work in one system, not two.</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Rapid prototyping: </w:t>
      </w:r>
      <w:r>
        <w:rPr>
          <w:rFonts w:ascii="Arial" w:cs="Arial" w:eastAsia="Arial" w:hAnsi="Arial"/>
          <w:b w:val="false"/>
          <w:bCs w:val="false"/>
          <w:i w:val="false"/>
          <w:iCs w:val="false"/>
          <w:color w:val="1A1A1A"/>
          <w:sz w:val="20"/>
          <w:szCs w:val="20"/>
        </w:rPr>
        <w:t xml:space="preserve">Lovable.dev for hackathons and early sprints only — not production infrastructure.</w:t>
      </w:r>
    </w:p>
    <w:p>
      <w:pPr>
        <w:pBdr>
          <w:bottom w:val="single" w:color="2E75B6" w:sz="6" w:space="1"/>
        </w:pBdr>
        <w:spacing w:after="80" w:before="220"/>
      </w:pPr>
      <w:r>
        <w:rPr>
          <w:rFonts w:ascii="Arial" w:cs="Arial" w:eastAsia="Arial" w:hAnsi="Arial"/>
          <w:b/>
          <w:bCs/>
          <w:color w:val="1F4E79"/>
          <w:sz w:val="26"/>
          <w:szCs w:val="26"/>
        </w:rPr>
        <w:t xml:space="preserve">Distribution Channels</w:t>
      </w:r>
    </w:p>
    <w:p>
      <w:pPr>
        <w:spacing w:after="60" w:before="60"/>
      </w:pPr>
      <w:r>
        <w:rPr>
          <w:rFonts w:ascii="Arial" w:cs="Arial" w:eastAsia="Arial" w:hAnsi="Arial"/>
          <w:b w:val="false"/>
          <w:bCs w:val="false"/>
          <w:i w:val="false"/>
          <w:iCs w:val="false"/>
          <w:color w:val="1A1A1A"/>
          <w:sz w:val="20"/>
          <w:szCs w:val="20"/>
        </w:rPr>
        <w:t xml:space="preserve">ILS is model-agnostic and platform-agnostic at the distribution layer. SHRM's computational authority needs to reach professionals wherever they work: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Microsoft Copilot / M365: </w:t>
      </w:r>
      <w:r>
        <w:rPr>
          <w:rFonts w:ascii="Arial" w:cs="Arial" w:eastAsia="Arial" w:hAnsi="Arial"/>
          <w:b w:val="false"/>
          <w:bCs w:val="false"/>
          <w:i w:val="false"/>
          <w:iCs w:val="false"/>
          <w:color w:val="1A1A1A"/>
          <w:sz w:val="20"/>
          <w:szCs w:val="20"/>
        </w:rPr>
        <w:t xml:space="preserve">Via Copilot Studio agent authoring. Distribution channel only — not build platform.</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ChatGPT / OpenAI ecosystems: </w:t>
      </w:r>
      <w:r>
        <w:rPr>
          <w:rFonts w:ascii="Arial" w:cs="Arial" w:eastAsia="Arial" w:hAnsi="Arial"/>
          <w:b w:val="false"/>
          <w:bCs w:val="false"/>
          <w:i w:val="false"/>
          <w:iCs w:val="false"/>
          <w:color w:val="1A1A1A"/>
          <w:sz w:val="20"/>
          <w:szCs w:val="20"/>
        </w:rPr>
        <w:t xml:space="preserve">Via Actions and custom GPT endpoints. Distribution channel only.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Google Gemini / Workspace: </w:t>
      </w:r>
      <w:r>
        <w:rPr>
          <w:rFonts w:ascii="Arial" w:cs="Arial" w:eastAsia="Arial" w:hAnsi="Arial"/>
          <w:b w:val="false"/>
          <w:bCs w:val="false"/>
          <w:i w:val="false"/>
          <w:iCs w:val="false"/>
          <w:color w:val="1A1A1A"/>
          <w:sz w:val="20"/>
          <w:szCs w:val="20"/>
        </w:rPr>
        <w:t xml:space="preserve">Via Extensions. Natural fit given Gemini is the native model.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Enterprise HRIS: </w:t>
      </w:r>
      <w:r>
        <w:rPr>
          <w:rFonts w:ascii="Arial" w:cs="Arial" w:eastAsia="Arial" w:hAnsi="Arial"/>
          <w:b w:val="false"/>
          <w:bCs w:val="false"/>
          <w:i w:val="false"/>
          <w:iCs w:val="false"/>
          <w:color w:val="1A1A1A"/>
          <w:sz w:val="20"/>
          <w:szCs w:val="20"/>
        </w:rPr>
        <w:t xml:space="preserve">Workday, SAP SuccessFactors, Rippling via API. Workday is Phase 2 priority.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OpenClaw and other agentic frameworks: </w:t>
      </w:r>
      <w:r>
        <w:rPr>
          <w:rFonts w:ascii="Arial" w:cs="Arial" w:eastAsia="Arial" w:hAnsi="Arial"/>
          <w:b w:val="false"/>
          <w:bCs w:val="false"/>
          <w:i w:val="false"/>
          <w:iCs w:val="false"/>
          <w:color w:val="1A1A1A"/>
          <w:sz w:val="20"/>
          <w:szCs w:val="20"/>
        </w:rPr>
        <w:t xml:space="preserve">Open-source distribution for technically sophisticated practitioners.</w:t>
      </w:r>
    </w:p>
    <w:p>
      <w:pPr>
        <w:pBdr>
          <w:bottom w:val="single" w:color="2E75B6" w:sz="6" w:space="1"/>
        </w:pBdr>
        <w:spacing w:after="80" w:before="220"/>
      </w:pPr>
      <w:r>
        <w:rPr>
          <w:rFonts w:ascii="Arial" w:cs="Arial" w:eastAsia="Arial" w:hAnsi="Arial"/>
          <w:b/>
          <w:bCs/>
          <w:color w:val="1F4E79"/>
          <w:sz w:val="26"/>
          <w:szCs w:val="26"/>
        </w:rPr>
        <w:t xml:space="preserve">Proprietary Intelligence Boundary</w:t>
      </w:r>
    </w:p>
    <w:p>
      <w:pPr>
        <w:spacing w:after="60" w:before="60"/>
      </w:pPr>
      <w:r>
        <w:rPr>
          <w:rFonts w:ascii="Arial" w:cs="Arial" w:eastAsia="Arial" w:hAnsi="Arial"/>
          <w:b w:val="false"/>
          <w:bCs w:val="false"/>
          <w:i w:val="false"/>
          <w:iCs w:val="false"/>
          <w:color w:val="1A1A1A"/>
          <w:sz w:val="20"/>
          <w:szCs w:val="20"/>
        </w:rPr>
        <w:t xml:space="preserve">SHRM's core IP — the scoring engine, vectorized BASK corpus, benchmark panel, and VoW Synthetic infrastructure — resides inside the SHRM-controlled GCP environment and is accessed via API only. No SHRM proprietary asset is stored in a vendor platform or exposed to third-party infrastructure. This architectural principle is non-negotiable and is enforceable on GCP through IAM policies, VPC Service Controls, and data export restrictions.</w:t>
      </w:r>
    </w:p>
    <w:p>
      <w:pPr>
        <w:pBdr>
          <w:bottom w:val="single" w:color="2E75B6" w:sz="6" w:space="1"/>
        </w:pBdr>
        <w:spacing w:after="80" w:before="220"/>
      </w:pPr>
      <w:r>
        <w:rPr>
          <w:rFonts w:ascii="Arial" w:cs="Arial" w:eastAsia="Arial" w:hAnsi="Arial"/>
          <w:b/>
          <w:bCs/>
          <w:color w:val="1F4E79"/>
          <w:sz w:val="26"/>
          <w:szCs w:val="26"/>
        </w:rPr>
        <w:t xml:space="preserve">AI Research Infrastructure — ILS Laboratory Equipment</w:t>
      </w:r>
    </w:p>
    <w:p>
      <w:pPr>
        <w:spacing w:after="60" w:before="60"/>
      </w:pPr>
      <w:r>
        <w:rPr>
          <w:rFonts w:ascii="Arial" w:cs="Arial" w:eastAsia="Arial" w:hAnsi="Arial"/>
          <w:b w:val="false"/>
          <w:bCs w:val="false"/>
          <w:i w:val="false"/>
          <w:iCs w:val="false"/>
          <w:color w:val="1A1A1A"/>
          <w:sz w:val="20"/>
          <w:szCs w:val="20"/>
        </w:rPr>
        <w:t xml:space="preserve">ILS operates as a research and incubation environment. Its laboratory equipment is a coordinated portfolio of AI platform subscriptions, cloud services, and tooling — shared across all five initiatives and treated as a distinct infrastructure layer from project-specific inference and compute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Platform / Service</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Year 1</w:t>
            </w:r>
          </w:p>
        </w:tc>
        <w:tc>
          <w:tcPr>
            <w:tcW w:type="dxa" w:w="14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Year 2</w:t>
            </w:r>
          </w:p>
        </w:tc>
        <w:tc>
          <w:tcPr>
            <w:tcW w:type="dxa" w:w="37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 in ILS Architecture</w:t>
            </w:r>
          </w:p>
        </w:tc>
      </w:tr>
      <w:tr>
        <w:tc>
          <w:tcPr>
            <w:tcW w:type="dxa" w:w="28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Google Cloud / GCP</w:t>
            </w:r>
          </w:p>
        </w:tc>
        <w:tc>
          <w:tcPr>
            <w:tcW w:type="dxa" w:w="14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$55,000</w:t>
            </w:r>
          </w:p>
        </w:tc>
        <w:tc>
          <w:tcPr>
            <w:tcW w:type="dxa" w:w="14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$75,277</w:t>
            </w:r>
          </w:p>
        </w:tc>
        <w:tc>
          <w:tcPr>
            <w:tcW w:type="dxa" w:w="376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PRIMARY build platform — GCP project, Vertex AI, BigQuery, Gemini API</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Anthropic (Claude Pro/Team + API)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$24,000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$15,631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Foundational reasoning for KCDE and Hub narrative generation; 3 team seats plus API token budget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Microsoft Copilot Studio</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$18,000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$15,631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Distribution channel — agent authoring for Copilot / M365 endpoints (not build platform)</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OpenAI (API tokens)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$8,000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$6,947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Distribution channel benchmarking + ChatGPT endpoint testing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OpenClaw (OSS agent hosting)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$3,000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$2,605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Open-source agentic framework for automated competitive intelligence monitoring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Perplexity Pro (3 seats)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$2,400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$2,084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Research acceleration and external signal processing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Emerging provider contingency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$5,000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$4,342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Mid-cycle model releases + new provider access as the AI landscape evolves</w:t>
            </w:r>
          </w:p>
        </w:tc>
      </w:tr>
      <w:tr>
        <w:tc>
          <w:tcPr>
            <w:tcW w:type="dxa" w:w="28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TOTAL</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right"/>
            </w:pPr>
            <w:r>
              <w:rPr>
                <w:rFonts w:ascii="Arial" w:cs="Arial" w:eastAsia="Arial" w:hAnsi="Arial"/>
                <w:b/>
                <w:bCs/>
                <w:i w:val="false"/>
                <w:iCs w:val="false"/>
                <w:color w:val="1F4E79"/>
                <w:sz w:val="20"/>
                <w:szCs w:val="20"/>
              </w:rPr>
              <w:t xml:space="preserve">$115,400</w:t>
            </w:r>
          </w:p>
        </w:tc>
        <w:tc>
          <w:tcPr>
            <w:tcW w:type="dxa" w:w="14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right"/>
            </w:pPr>
            <w:r>
              <w:rPr>
                <w:rFonts w:ascii="Arial" w:cs="Arial" w:eastAsia="Arial" w:hAnsi="Arial"/>
                <w:b/>
                <w:bCs/>
                <w:i w:val="false"/>
                <w:iCs w:val="false"/>
                <w:color w:val="1F4E79"/>
                <w:sz w:val="20"/>
                <w:szCs w:val="20"/>
              </w:rPr>
              <w:t xml:space="preserve">$122,516</w:t>
            </w:r>
          </w:p>
        </w:tc>
        <w:tc>
          <w:tcPr>
            <w:tcW w:type="dxa" w:w="37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1F4E79"/>
                <w:sz w:val="20"/>
                <w:szCs w:val="20"/>
              </w:rPr>
              <w:t xml:space="preserve">~$238K cumulative two-year infrastructure investment</w:t>
            </w:r>
          </w:p>
        </w:tc>
      </w:tr>
    </w:tbl>
    <w:p>
      <w:pPr>
        <w:spacing w:after="60" w:before="80"/>
      </w:pPr>
      <w:r>
        <w:rPr>
          <w:rFonts w:ascii="Arial" w:cs="Arial" w:eastAsia="Arial" w:hAnsi="Arial"/>
          <w:b w:val="false"/>
          <w:bCs w:val="false"/>
          <w:i/>
          <w:iCs/>
          <w:color w:val="1A1A1A"/>
          <w:sz w:val="20"/>
          <w:szCs w:val="20"/>
        </w:rPr>
        <w:t xml:space="preserve">This research instrumentation enables ILS to operate as a credible AI innovation studio — prototyping SHRM's authority across multiple platforms rather than betting on a single vendor. Project-specific inference, storage, and compute costs (Hub narrative generation at scale, KCDE reasoning load, VoW persona simulation) are tracked separately under each initiative's P&amp;L.</w:t>
      </w:r>
    </w:p>
    <w:p>
      <w:pPr>
        <w:spacing w:after="60" w:before="80"/>
      </w:pPr>
      <w:r>
        <w:rPr>
          <w:rFonts w:ascii="Arial" w:cs="Arial" w:eastAsia="Arial" w:hAnsi="Arial"/>
          <w:b w:val="false"/>
          <w:bCs w:val="false"/>
          <w:i/>
          <w:iCs/>
          <w:color w:val="1A1A1A"/>
          <w:sz w:val="20"/>
          <w:szCs w:val="20"/>
        </w:rPr>
        <w:t xml:space="preserve">A structural note on this line: the majority of these costs are usage-metered rather than committed subscriptions. Anthropic API, OpenAI API, GCP inference and storage, and OpenClaw hosting all scale with actual prototyping volume — if Phase 0 gates do not clear, token spend does not accrue at projected levels. Committed subscription costs (Perplexity Pro seats, Anthropic Pro/Team seats, Microsoft Copilot Studio) represent a smaller portion of the total. The Microsoft Copilot Studio allocation specifically (~$18K Year 1) is subject to CFO determination given SHRM's broader enterprise Microsoft strategy — if CGI/IT's existing Copilot Studio licensing under the enterprise strategy budget already covers ILS use, this line transfers out of ILS. The AI Research Infrastructure line should be read as a ceiling that flexes with gate progression, not as committed Day 1 spend.</w:t>
      </w:r>
    </w:p>
    <w:p>
      <w:pPr>
        <w:pBdr>
          <w:bottom w:val="single" w:color="2E75B6" w:sz="6" w:space="1"/>
        </w:pBdr>
        <w:spacing w:after="80" w:before="220"/>
      </w:pPr>
      <w:r>
        <w:rPr>
          <w:rFonts w:ascii="Arial" w:cs="Arial" w:eastAsia="Arial" w:hAnsi="Arial"/>
          <w:b/>
          <w:bCs/>
          <w:color w:val="1F4E79"/>
          <w:sz w:val="26"/>
          <w:szCs w:val="26"/>
        </w:rPr>
        <w:t xml:space="preserve">Research &amp; Validation Instrumentation — ILS as Lab</w:t>
      </w:r>
    </w:p>
    <w:p>
      <w:pPr>
        <w:spacing w:after="60" w:before="60"/>
      </w:pPr>
      <w:r>
        <w:rPr>
          <w:rFonts w:ascii="Arial" w:cs="Arial" w:eastAsia="Arial" w:hAnsi="Arial"/>
          <w:b w:val="false"/>
          <w:bCs w:val="false"/>
          <w:i w:val="false"/>
          <w:iCs w:val="false"/>
          <w:color w:val="1A1A1A"/>
          <w:sz w:val="20"/>
          <w:szCs w:val="20"/>
        </w:rPr>
        <w:t xml:space="preserve">If ILS is a catalyst function — part market research, part innovation — then research instrumentation is what distinguishes the work from pure engineering incubation. A lab without measurement instruments is just a workshop. The reputational pivot ILS is designed to produce — repositioning SHRM as computational authority for HR decision-making — cannot be claimed without measuring it, cannot be calibrated without evidence, and cannot be defended to leadership without tracking the gap it is supposed to close. Research instrumentation is load-bearing.</w:t>
      </w:r>
    </w:p>
    <w:p>
      <w:pPr>
        <w:spacing w:after="60" w:before="60"/>
      </w:pPr>
      <w:r>
        <w:rPr>
          <w:rFonts w:ascii="Arial" w:cs="Arial" w:eastAsia="Arial" w:hAnsi="Arial"/>
          <w:b w:val="false"/>
          <w:bCs w:val="false"/>
          <w:i w:val="false"/>
          <w:iCs w:val="false"/>
          <w:color w:val="1A1A1A"/>
          <w:sz w:val="20"/>
          <w:szCs w:val="20"/>
        </w:rPr>
        <w:t xml:space="preserve">The research architecture spans four distinct functions across every ILS initiative: commercial validation (does the market want this, at what price), technical validation (does the product actually work against expert and behavioral benchmarks), positioning intelligence (how should SHRM frame and differentiate against peer institutions and incumbents), and ongoing voice of the customer (what do users experience, what are they asking for next). Every study in the architecture maps to one or more of these functions and to a specific ILS initiative or portfolio-level decision.</w:t>
      </w:r>
    </w:p>
    <w:p>
      <w:pPr>
        <w:spacing w:after="60" w:before="160"/>
      </w:pPr>
      <w:r>
        <w:rPr>
          <w:rFonts w:ascii="Arial" w:cs="Arial" w:eastAsia="Arial" w:hAnsi="Arial"/>
          <w:b/>
          <w:bCs/>
          <w:color w:val="1F4E79"/>
          <w:sz w:val="22"/>
          <w:szCs w:val="22"/>
        </w:rPr>
        <w:t xml:space="preserve">Study architecture across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Tier</w:t>
            </w:r>
          </w:p>
        </w:tc>
        <w:tc>
          <w:tcPr>
            <w:tcW w:type="dxa" w:w="41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Primary Studies</w:t>
            </w:r>
          </w:p>
        </w:tc>
        <w:tc>
          <w:tcPr>
            <w:tcW w:type="dxa" w:w="26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Function Served</w:t>
            </w:r>
          </w:p>
        </w:tc>
      </w:tr>
      <w:tr>
        <w:tc>
          <w:tcPr>
            <w:tcW w:type="dxa" w:w="26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1 — Portfolio-Level</w:t>
            </w:r>
          </w:p>
        </w:tc>
        <w:tc>
          <w:tcPr>
            <w:tcW w:type="dxa" w:w="410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SHRM Computational Authority Perception Study (baseline + 12-month tracker); Enterprise Buyer Journey Study; HR SaaS Vendor Landscape Monitor.</w:t>
            </w:r>
          </w:p>
        </w:tc>
        <w:tc>
          <w:tcPr>
            <w:tcW w:type="dxa" w:w="2660"/>
            <w:gridSpan w:val="1"/>
            <w:tcBorders>
              <w:top w:val="single" w:color="CCCCCC" w:sz="1"/>
              <w:left w:val="single" w:color="CCCCCC" w:sz="1"/>
              <w:bottom w:val="single" w:color="CCCCCC" w:sz="1"/>
              <w:right w:val="single" w:color="CCCCCC" w:sz="1"/>
            </w:tcBorders>
            <w:shd w:fill="D6ED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Positioning intelligence; Commercial validation; Reputational pivot measurement.</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2 — KCDE</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Knowledge Center Advisor IDIs (workflow and augmentation design); Graph-RAG Accuracy Validation against advisor baseline.</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Technical validation; Ongoing VoC.</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3 — VoW Synthetic</w:t>
            </w:r>
          </w:p>
        </w:tc>
        <w:tc>
          <w:tcPr>
            <w:tcW w:type="dxa" w:w="4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Synthetic-to-Human Correlation Study (Indiana Kelley validation partner); Survey Respondent Fatigue &amp; Engagement Study; HR SaaS Vendor AI Certification Demand Study.</w:t>
            </w:r>
          </w:p>
        </w:tc>
        <w:tc>
          <w:tcPr>
            <w:tcW w:type="dxa" w:w="2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Technical validation; Commercial validation; Ongoing VoC.</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4 — HR-X Solutions Hub</w:t>
            </w:r>
          </w:p>
        </w:tc>
        <w:tc>
          <w:tcPr>
            <w:tcW w:type="dxa" w:w="4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Hub Concept Test &amp; Pricing Study (CHRO + enterprise buyer); HRCI Defection Risk Study (MaxDiff + Conjoint); Trust &amp; Credibility Monitor with decomposition expansion.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Commercial validation; Positioning intelligence; Ongoing VoC.</w:t>
            </w:r>
          </w:p>
        </w:tc>
      </w:tr>
    </w:tbl>
    <w:p>
      <w:pPr>
        <w:spacing w:after="60" w:before="160"/>
      </w:pPr>
      <w:r>
        <w:rPr>
          <w:rFonts w:ascii="Arial" w:cs="Arial" w:eastAsia="Arial" w:hAnsi="Arial"/>
          <w:b/>
          <w:bCs/>
          <w:color w:val="1F4E79"/>
          <w:sz w:val="22"/>
          <w:szCs w:val="22"/>
        </w:rPr>
        <w:t xml:space="preserve">Sequencing with the investment cascade</w:t>
      </w:r>
    </w:p>
    <w:p>
      <w:pPr>
        <w:spacing w:after="60" w:before="60"/>
      </w:pPr>
      <w:r>
        <w:rPr>
          <w:rFonts w:ascii="Arial" w:cs="Arial" w:eastAsia="Arial" w:hAnsi="Arial"/>
          <w:b w:val="false"/>
          <w:bCs w:val="false"/>
          <w:i w:val="false"/>
          <w:iCs w:val="false"/>
          <w:color w:val="1A1A1A"/>
          <w:sz w:val="20"/>
          <w:szCs w:val="20"/>
        </w:rPr>
        <w:t xml:space="preserve">Research sequencing mirrors the investment cascade. Studies that gate go/no-go decisions run first; studies that refine and optimize run after each go decision. The first 60 days prioritize the Computational Authority Perception baseline (establishes the metric the reputational pivot is claimed to move), the Knowledge Center Advisor IDIs (required input for KCDE Phase 0 design), and the Synthetic-to-Human Correlation study (which IS the VoW Phase 0 technical validation deliverable). The Enterprise Buyer Journey study and Hub Concept Test are fielded by Month 3, before Phase 1 commercial scaling commitments. Longitudinal trackers — the Authority Perception Study, HR-X Benchmark Panel, Trust Monitor — are designed for multi-year durability from the start.</w:t>
      </w:r>
    </w:p>
    <w:p>
      <w:pPr>
        <w:spacing w:after="60" w:before="160"/>
      </w:pPr>
      <w:r>
        <w:rPr>
          <w:rFonts w:ascii="Arial" w:cs="Arial" w:eastAsia="Arial" w:hAnsi="Arial"/>
          <w:b/>
          <w:bCs/>
          <w:color w:val="1F4E79"/>
          <w:sz w:val="22"/>
          <w:szCs w:val="22"/>
        </w:rPr>
        <w:t xml:space="preserve">Cost structure and portability</w:t>
      </w:r>
    </w:p>
    <w:p>
      <w:pPr>
        <w:spacing w:after="60" w:before="60"/>
      </w:pPr>
      <w:r>
        <w:rPr>
          <w:rFonts w:ascii="Arial" w:cs="Arial" w:eastAsia="Arial" w:hAnsi="Arial"/>
          <w:b w:val="false"/>
          <w:bCs w:val="false"/>
          <w:i w:val="false"/>
          <w:iCs w:val="false"/>
          <w:color w:val="1A1A1A"/>
          <w:sz w:val="20"/>
          <w:szCs w:val="20"/>
        </w:rPr>
        <w:t xml:space="preserve">ILS research is staffed by SHRM's Market Research department (no incremental headcount cost to ILS), drawing on existing Qualtrics platform infrastructure and SHRM's proprietary panel. The line item below reflects hard costs only — external sample purchases where SHRM's panel cannot fulfill (HR tech vendor product leaders, non-HR C-suite audiences), IDI participant honoraria for hard-to-reach populations, specialized tooling, and occasional industry data subscriptions. By design, this entire budget category is cleanly separable from ILS operational spend: if SHRM's Market Research function and Thought Leadership team within the Knowledge Division absorb these studies into their departmental budgets, the category transfers without disrupting ILS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Research Hard Costs</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Year 1</w:t>
            </w:r>
          </w:p>
        </w:tc>
        <w:tc>
          <w:tcPr>
            <w:tcW w:type="dxa" w:w="16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Year 2</w:t>
            </w:r>
          </w:p>
        </w:tc>
        <w:tc>
          <w:tcPr>
            <w:tcW w:type="dxa" w:w="296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1 — Portfolio studies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$30,000–$50,000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$35,000–$55,000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External sample for non-HR C-suite; longitudinal tracker fielding</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2 — KCDE research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$5,000–$10,000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$5,000–$10,000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Mostly internal (advisor IDIs); minimal incentive costs</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3 — VoW Synthetic research</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$25,000–$40,000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$30,000–$45,000</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Vendor sample for AI Certification Demand Study; university validation fees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Tier 4 — Hub research</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$20,000–$30,000</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$25,000–$35,000</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Enterprise buyer IDI honoraria; CHRO concept test sample</w:t>
            </w:r>
          </w:p>
        </w:tc>
      </w:tr>
      <w:tr>
        <w:tc>
          <w:tcPr>
            <w:tcW w:type="dxa" w:w="3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HRCI Defection + Trust Monitor (ongoing)</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$15,000–$25,000</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20"/>
                <w:szCs w:val="20"/>
              </w:rPr>
              <w:t xml:space="preserve">$15,000–$25,000</w:t>
            </w:r>
          </w:p>
        </w:tc>
        <w:tc>
          <w:tcPr>
            <w:tcW w:type="dxa" w:w="29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Incremental fielding costs; already scoped</w:t>
            </w:r>
          </w:p>
        </w:tc>
      </w:tr>
      <w:tr>
        <w:tc>
          <w:tcPr>
            <w:tcW w:type="dxa" w:w="32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i w:val="false"/>
                <w:iCs w:val="false"/>
                <w:color w:val="1F4E79"/>
                <w:sz w:val="20"/>
                <w:szCs w:val="20"/>
              </w:rPr>
              <w:t xml:space="preserve">TOTAL Research Hard Costs</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right"/>
            </w:pPr>
            <w:r>
              <w:rPr>
                <w:rFonts w:ascii="Arial" w:cs="Arial" w:eastAsia="Arial" w:hAnsi="Arial"/>
                <w:b/>
                <w:bCs/>
                <w:i w:val="false"/>
                <w:iCs w:val="false"/>
                <w:color w:val="1F4E79"/>
                <w:sz w:val="20"/>
                <w:szCs w:val="20"/>
              </w:rPr>
              <w:t xml:space="preserve">$95,000–$155,000</w:t>
            </w:r>
          </w:p>
        </w:tc>
        <w:tc>
          <w:tcPr>
            <w:tcW w:type="dxa" w:w="160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right"/>
            </w:pPr>
            <w:r>
              <w:rPr>
                <w:rFonts w:ascii="Arial" w:cs="Arial" w:eastAsia="Arial" w:hAnsi="Arial"/>
                <w:b/>
                <w:bCs/>
                <w:i w:val="false"/>
                <w:iCs w:val="false"/>
                <w:color w:val="1F4E79"/>
                <w:sz w:val="20"/>
                <w:szCs w:val="20"/>
              </w:rPr>
              <w:t xml:space="preserve">$110,000–$170,000</w:t>
            </w:r>
          </w:p>
        </w:tc>
        <w:tc>
          <w:tcPr>
            <w:tcW w:type="dxa" w:w="2960"/>
            <w:gridSpan w:val="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i/>
                <w:iCs/>
                <w:color w:val="1F4E79"/>
                <w:sz w:val="18"/>
                <w:szCs w:val="18"/>
              </w:rPr>
              <w:t xml:space="preserve">Transferable to Market Research / Thought Leadership budgets at executive discretion</w:t>
            </w:r>
          </w:p>
        </w:tc>
      </w:tr>
    </w:tbl>
    <w:p>
      <w:pPr>
        <w:spacing w:after="60" w:before="80"/>
      </w:pPr>
      <w:r>
        <w:rPr>
          <w:rFonts w:ascii="Arial" w:cs="Arial" w:eastAsia="Arial" w:hAnsi="Arial"/>
          <w:b w:val="false"/>
          <w:bCs w:val="false"/>
          <w:i/>
          <w:iCs/>
          <w:color w:val="1A1A1A"/>
          <w:sz w:val="20"/>
          <w:szCs w:val="20"/>
        </w:rPr>
        <w:t xml:space="preserve">The dramatic difference between this figure and the full commercial cost of equivalent research (~$500K+ annually if externally fielded) reflects the labor subsidy from SHRM's Market Research department, the discount from operating on SHRM's own panel (~$2 per respondent internal cost vs. $10–$25 external market rate), and the leverage of existing Qualtrics infrastructure. This is the quiet efficiency of running the research function inside the organization that generates and uses the data.</w:t>
      </w:r>
    </w:p>
    <w:p>
      <w:pPr>
        <w:pBdr>
          <w:bottom w:val="single" w:color="2E75B6" w:sz="6" w:space="1"/>
        </w:pBdr>
        <w:spacing w:after="80" w:before="220"/>
      </w:pPr>
      <w:r>
        <w:rPr>
          <w:rFonts w:ascii="Arial" w:cs="Arial" w:eastAsia="Arial" w:hAnsi="Arial"/>
          <w:b/>
          <w:bCs/>
          <w:color w:val="1F4E79"/>
          <w:sz w:val="26"/>
          <w:szCs w:val="26"/>
        </w:rPr>
        <w:t xml:space="preserve">Team Structure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ILS Core: </w:t>
      </w:r>
      <w:r>
        <w:rPr>
          <w:rFonts w:ascii="Arial" w:cs="Arial" w:eastAsia="Arial" w:hAnsi="Arial"/>
          <w:b w:val="false"/>
          <w:bCs w:val="false"/>
          <w:i w:val="false"/>
          <w:iCs w:val="false"/>
          <w:color w:val="1A1A1A"/>
          <w:sz w:val="20"/>
          <w:szCs w:val="20"/>
        </w:rPr>
        <w:t xml:space="preserve">3 FTE — Architect, AI Engineer, Strategist.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AI &amp; Innovation Freelance Consultants (SHRM Upwork enterprise @ $160/hr): </w:t>
      </w:r>
      <w:r>
        <w:rPr>
          <w:rFonts w:ascii="Arial" w:cs="Arial" w:eastAsia="Arial" w:hAnsi="Arial"/>
          <w:b w:val="false"/>
          <w:bCs w:val="false"/>
          <w:i w:val="false"/>
          <w:iCs w:val="false"/>
          <w:color w:val="1A1A1A"/>
          <w:sz w:val="20"/>
          <w:szCs w:val="20"/>
        </w:rPr>
        <w:t xml:space="preserve">Approximately 40 hrs/wk combined capacity — build lead and senior technology advisor. Sourced specifically for AI/innovation capability; operates sprint-based rather than service-contract model. ~$333K/yr combined.</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Internal extension partners: </w:t>
      </w:r>
      <w:r>
        <w:rPr>
          <w:rFonts w:ascii="Arial" w:cs="Arial" w:eastAsia="Arial" w:hAnsi="Arial"/>
          <w:b w:val="false"/>
          <w:bCs w:val="false"/>
          <w:i w:val="false"/>
          <w:iCs w:val="false"/>
          <w:color w:val="1A1A1A"/>
          <w:sz w:val="20"/>
          <w:szCs w:val="20"/>
        </w:rPr>
        <w:t xml:space="preserve">2 part-time SHRM staff secondments — reduced from original plan of 5 given freelance consultant capacity. Dynamic hybrid staffing designed to minimize resource impact on current IT initiatives.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University Node leads: </w:t>
      </w:r>
      <w:r>
        <w:rPr>
          <w:rFonts w:ascii="Arial" w:cs="Arial" w:eastAsia="Arial" w:hAnsi="Arial"/>
          <w:b w:val="false"/>
          <w:bCs w:val="false"/>
          <w:i w:val="false"/>
          <w:iCs w:val="false"/>
          <w:color w:val="1A1A1A"/>
          <w:sz w:val="20"/>
          <w:szCs w:val="20"/>
        </w:rPr>
        <w:t xml:space="preserve">3 institutional partners (Cornell, Indiana, Denver).</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ILS Fellows: </w:t>
      </w:r>
      <w:r>
        <w:rPr>
          <w:rFonts w:ascii="Arial" w:cs="Arial" w:eastAsia="Arial" w:hAnsi="Arial"/>
          <w:b w:val="false"/>
          <w:bCs w:val="false"/>
          <w:i w:val="false"/>
          <w:iCs w:val="false"/>
          <w:color w:val="1A1A1A"/>
          <w:sz w:val="20"/>
          <w:szCs w:val="20"/>
        </w:rPr>
        <w:t xml:space="preserve">6 PhD/Masters researchers across nodes.</w:t>
      </w:r>
    </w:p>
    <w:p>
      <w:r>
        <w:br w:type="page"/>
      </w:r>
    </w:p>
    <w:p>
      <w:pPr>
        <w:pBdr>
          <w:bottom w:val="single" w:color="1F4E79" w:sz="8" w:space="2"/>
        </w:pBdr>
        <w:spacing w:after="120" w:before="320"/>
      </w:pPr>
      <w:r>
        <w:rPr>
          <w:rFonts w:ascii="Arial" w:cs="Arial" w:eastAsia="Arial" w:hAnsi="Arial"/>
          <w:b/>
          <w:bCs/>
          <w:color w:val="1F4E79"/>
          <w:sz w:val="32"/>
          <w:szCs w:val="32"/>
        </w:rPr>
        <w:t xml:space="preserve">7. Component Deep Dives</w:t>
      </w:r>
    </w:p>
    <w:p>
      <w:pPr>
        <w:pBdr>
          <w:bottom w:val="single" w:color="2E75B6" w:sz="6" w:space="1"/>
        </w:pBdr>
        <w:spacing w:after="80" w:before="220"/>
      </w:pPr>
      <w:r>
        <w:rPr>
          <w:rFonts w:ascii="Arial" w:cs="Arial" w:eastAsia="Arial" w:hAnsi="Arial"/>
          <w:b/>
          <w:bCs/>
          <w:color w:val="1F4E79"/>
          <w:sz w:val="26"/>
          <w:szCs w:val="26"/>
        </w:rPr>
        <w:t xml:space="preserve">7.1 HR-X Solutions Hub (Priority 1 — Revenue Lead)</w:t>
      </w:r>
    </w:p>
    <w:p>
      <w:pPr>
        <w:spacing w:after="60" w:before="60"/>
      </w:pPr>
      <w:r>
        <w:rPr>
          <w:rFonts w:ascii="Arial" w:cs="Arial" w:eastAsia="Arial" w:hAnsi="Arial"/>
          <w:b w:val="false"/>
          <w:bCs w:val="false"/>
          <w:i w:val="false"/>
          <w:iCs w:val="false"/>
          <w:color w:val="1A1A1A"/>
          <w:sz w:val="20"/>
          <w:szCs w:val="20"/>
        </w:rPr>
        <w:t xml:space="preserve">The Hub transitions SHRM from delivering a manual diagnostic service into operating as a scalable workforce decision intelligence provider for CHROs and senior HR leadership.</w:t>
      </w:r>
    </w:p>
    <w:p>
      <w:pPr>
        <w:spacing w:after="60" w:before="160"/>
      </w:pPr>
      <w:r>
        <w:rPr>
          <w:rFonts w:ascii="Arial" w:cs="Arial" w:eastAsia="Arial" w:hAnsi="Arial"/>
          <w:b/>
          <w:bCs/>
          <w:color w:val="1F4E79"/>
          <w:sz w:val="22"/>
          <w:szCs w:val="22"/>
        </w:rPr>
        <w:t xml:space="preserve">Commercial model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Tier 1 Diagnostic ($15K): </w:t>
      </w:r>
      <w:r>
        <w:rPr>
          <w:rFonts w:ascii="Arial" w:cs="Arial" w:eastAsia="Arial" w:hAnsi="Arial"/>
          <w:b w:val="false"/>
          <w:bCs w:val="false"/>
          <w:i w:val="false"/>
          <w:iCs w:val="false"/>
          <w:color w:val="1A1A1A"/>
          <w:sz w:val="20"/>
          <w:szCs w:val="20"/>
        </w:rPr>
        <w:t xml:space="preserve">Assessment, benchmark, static report. Entry point for enterprise relationships.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Tier 2 Strategic Hub ($75K): </w:t>
      </w:r>
      <w:r>
        <w:rPr>
          <w:rFonts w:ascii="Arial" w:cs="Arial" w:eastAsia="Arial" w:hAnsi="Arial"/>
          <w:b w:val="false"/>
          <w:bCs w:val="false"/>
          <w:i w:val="false"/>
          <w:iCs w:val="false"/>
          <w:color w:val="1A1A1A"/>
          <w:sz w:val="20"/>
          <w:szCs w:val="20"/>
        </w:rPr>
        <w:t xml:space="preserve">AI narrative, prescriptive roadmap grounded in BASK, 12-month Hub access, Salesforce integration.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Tier 3 Enterprise Intelligence ($150K): </w:t>
      </w:r>
      <w:r>
        <w:rPr>
          <w:rFonts w:ascii="Arial" w:cs="Arial" w:eastAsia="Arial" w:hAnsi="Arial"/>
          <w:b w:val="false"/>
          <w:bCs w:val="false"/>
          <w:i w:val="false"/>
          <w:iCs w:val="false"/>
          <w:color w:val="1A1A1A"/>
          <w:sz w:val="20"/>
          <w:szCs w:val="20"/>
        </w:rPr>
        <w:t xml:space="preserve">Custom benchmarks, VoW Synthetic simulation, re-assessment cycle, persistent intelligence layer.</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Re-assessment recurring: </w:t>
      </w:r>
      <w:r>
        <w:rPr>
          <w:rFonts w:ascii="Arial" w:cs="Arial" w:eastAsia="Arial" w:hAnsi="Arial"/>
          <w:b w:val="false"/>
          <w:bCs w:val="false"/>
          <w:i w:val="false"/>
          <w:iCs w:val="false"/>
          <w:color w:val="1A1A1A"/>
          <w:sz w:val="20"/>
          <w:szCs w:val="20"/>
        </w:rPr>
        <w:t xml:space="preserve">~$20K per returning Year 1 client in Year 2.</w:t>
      </w:r>
    </w:p>
    <w:p>
      <w:pPr>
        <w:spacing w:after="60" w:before="160"/>
      </w:pPr>
      <w:r>
        <w:rPr>
          <w:rFonts w:ascii="Arial" w:cs="Arial" w:eastAsia="Arial" w:hAnsi="Arial"/>
          <w:b/>
          <w:bCs/>
          <w:color w:val="1F4E79"/>
          <w:sz w:val="22"/>
          <w:szCs w:val="22"/>
        </w:rPr>
        <w:t xml:space="preserve">Five-mode operating architecture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 1: </w:t>
      </w:r>
      <w:r>
        <w:rPr>
          <w:rFonts w:ascii="Arial" w:cs="Arial" w:eastAsia="Arial" w:hAnsi="Arial"/>
          <w:b w:val="false"/>
          <w:bCs w:val="false"/>
          <w:i w:val="false"/>
          <w:iCs w:val="false"/>
          <w:color w:val="1A1A1A"/>
          <w:sz w:val="20"/>
          <w:szCs w:val="20"/>
        </w:rPr>
        <w:t xml:space="preserve">SHRM Build — survey + scoring engine + hub UI.</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 2a: </w:t>
      </w:r>
      <w:r>
        <w:rPr>
          <w:rFonts w:ascii="Arial" w:cs="Arial" w:eastAsia="Arial" w:hAnsi="Arial"/>
          <w:b w:val="false"/>
          <w:bCs w:val="false"/>
          <w:i w:val="false"/>
          <w:iCs w:val="false"/>
          <w:color w:val="1A1A1A"/>
          <w:sz w:val="20"/>
          <w:szCs w:val="20"/>
        </w:rPr>
        <w:t xml:space="preserve">Enterprise Setup &amp; Deployment — configuration, respondent management, data collection.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 2b: </w:t>
      </w:r>
      <w:r>
        <w:rPr>
          <w:rFonts w:ascii="Arial" w:cs="Arial" w:eastAsia="Arial" w:hAnsi="Arial"/>
          <w:b w:val="false"/>
          <w:bCs w:val="false"/>
          <w:i w:val="false"/>
          <w:iCs w:val="false"/>
          <w:color w:val="1A1A1A"/>
          <w:sz w:val="20"/>
          <w:szCs w:val="20"/>
        </w:rPr>
        <w:t xml:space="preserve">Enterprise Results Hub — persistent CHRO-facing intelligence platform.</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 3a: </w:t>
      </w:r>
      <w:r>
        <w:rPr>
          <w:rFonts w:ascii="Arial" w:cs="Arial" w:eastAsia="Arial" w:hAnsi="Arial"/>
          <w:b w:val="false"/>
          <w:bCs w:val="false"/>
          <w:i w:val="false"/>
          <w:iCs w:val="false"/>
          <w:color w:val="1A1A1A"/>
          <w:sz w:val="20"/>
          <w:szCs w:val="20"/>
        </w:rPr>
        <w:t xml:space="preserve">SHRM Customer Success — account intelligence for Solutions team via Salesforce integration.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 3b: </w:t>
      </w:r>
      <w:r>
        <w:rPr>
          <w:rFonts w:ascii="Arial" w:cs="Arial" w:eastAsia="Arial" w:hAnsi="Arial"/>
          <w:b w:val="false"/>
          <w:bCs w:val="false"/>
          <w:i w:val="false"/>
          <w:iCs w:val="false"/>
          <w:color w:val="1A1A1A"/>
          <w:sz w:val="20"/>
          <w:szCs w:val="20"/>
        </w:rPr>
        <w:t xml:space="preserve">Enterprise Progression &amp; Re-Assessment — maturity tracking over time, closing the commercial loop.</w:t>
      </w:r>
    </w:p>
    <w:p>
      <w:pPr>
        <w:spacing w:after="60" w:before="160"/>
      </w:pPr>
      <w:r>
        <w:rPr>
          <w:rFonts w:ascii="Arial" w:cs="Arial" w:eastAsia="Arial" w:hAnsi="Arial"/>
          <w:b/>
          <w:bCs/>
          <w:color w:val="1F4E79"/>
          <w:sz w:val="22"/>
          <w:szCs w:val="22"/>
        </w:rPr>
        <w:t xml:space="preserve">Competitive positioning</w:t>
      </w:r>
    </w:p>
    <w:p>
      <w:pPr>
        <w:spacing w:after="60" w:before="60"/>
      </w:pPr>
      <w:r>
        <w:rPr>
          <w:rFonts w:ascii="Arial" w:cs="Arial" w:eastAsia="Arial" w:hAnsi="Arial"/>
          <w:b w:val="false"/>
          <w:bCs w:val="false"/>
          <w:i w:val="false"/>
          <w:iCs w:val="false"/>
          <w:color w:val="1A1A1A"/>
          <w:sz w:val="20"/>
          <w:szCs w:val="20"/>
        </w:rPr>
        <w:t xml:space="preserve">PwC Saratoga operates under audit conflict constraints — Saratoga buyers cannot purchase PwC audit services, creating quantifiable white space. Mercer and McLean deliver through legacy consulting models without AI-native infrastructure or persistent intelligence layers. SHRM's unique position combines the validated HR-X instrument, the authoritative BASK standard, the VoW Synthetic benchmark population, and KCDE reasoning infrastructure — none of which competitors can replicate.</w:t>
      </w:r>
    </w:p>
    <w:p>
      <w:pPr>
        <w:pBdr>
          <w:bottom w:val="single" w:color="2E75B6" w:sz="6" w:space="1"/>
        </w:pBdr>
        <w:spacing w:after="80" w:before="220"/>
      </w:pPr>
      <w:r>
        <w:rPr>
          <w:rFonts w:ascii="Arial" w:cs="Arial" w:eastAsia="Arial" w:hAnsi="Arial"/>
          <w:b/>
          <w:bCs/>
          <w:color w:val="1F4E79"/>
          <w:sz w:val="26"/>
          <w:szCs w:val="26"/>
        </w:rPr>
        <w:t xml:space="preserve">7.2 Knowledge Center Decision Engine (KCDE)</w:t>
      </w:r>
    </w:p>
    <w:p>
      <w:pPr>
        <w:spacing w:after="60" w:before="60"/>
      </w:pPr>
      <w:r>
        <w:rPr>
          <w:rFonts w:ascii="Arial" w:cs="Arial" w:eastAsia="Arial" w:hAnsi="Arial"/>
          <w:b w:val="false"/>
          <w:bCs w:val="false"/>
          <w:i w:val="false"/>
          <w:iCs w:val="false"/>
          <w:color w:val="1A1A1A"/>
          <w:sz w:val="20"/>
          <w:szCs w:val="20"/>
        </w:rPr>
        <w:t xml:space="preserve">Moves SHRM from a search-and-retrieval model to a reasoning-and-recommendation model.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Graph-RAG architecture: </w:t>
      </w:r>
      <w:r>
        <w:rPr>
          <w:rFonts w:ascii="Arial" w:cs="Arial" w:eastAsia="Arial" w:hAnsi="Arial"/>
          <w:b w:val="false"/>
          <w:bCs w:val="false"/>
          <w:i w:val="false"/>
          <w:iCs w:val="false"/>
          <w:color w:val="1A1A1A"/>
          <w:sz w:val="20"/>
          <w:szCs w:val="20"/>
        </w:rPr>
        <w:t xml:space="preserve">Reasoning grounded exclusively in SHRM standards to prevent hallucinations.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Data source: </w:t>
      </w:r>
      <w:r>
        <w:rPr>
          <w:rFonts w:ascii="Arial" w:cs="Arial" w:eastAsia="Arial" w:hAnsi="Arial"/>
          <w:b w:val="false"/>
          <w:bCs w:val="false"/>
          <w:i w:val="false"/>
          <w:iCs w:val="false"/>
          <w:color w:val="1A1A1A"/>
          <w:sz w:val="20"/>
          <w:szCs w:val="20"/>
        </w:rPr>
        <w:t xml:space="preserve">Qualtrics XM Discover enriched Knowledge Center transcripts (chat + phone) via API. XM Discover's enrichment — topic classification, intent signals, effort scoring — is more valuable than raw transcripts.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Deterministic guardrails: </w:t>
      </w:r>
      <w:r>
        <w:rPr>
          <w:rFonts w:ascii="Arial" w:cs="Arial" w:eastAsia="Arial" w:hAnsi="Arial"/>
          <w:b w:val="false"/>
          <w:bCs w:val="false"/>
          <w:i w:val="false"/>
          <w:iCs w:val="false"/>
          <w:color w:val="1A1A1A"/>
          <w:sz w:val="20"/>
          <w:szCs w:val="20"/>
        </w:rPr>
        <w:t xml:space="preserve">Constraint-based reasoning triggers human escalation paths for high-risk queries.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Revenue model: </w:t>
      </w:r>
      <w:r>
        <w:rPr>
          <w:rFonts w:ascii="Arial" w:cs="Arial" w:eastAsia="Arial" w:hAnsi="Arial"/>
          <w:b w:val="false"/>
          <w:bCs w:val="false"/>
          <w:i w:val="false"/>
          <w:iCs w:val="false"/>
          <w:color w:val="1A1A1A"/>
          <w:sz w:val="20"/>
          <w:szCs w:val="20"/>
        </w:rPr>
        <w:t xml:space="preserve">API metered usage ($0.50–$1.50 per reasoning sprint), skill store licensing, enterprise contracts ($125K+ annual).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Internal value: </w:t>
      </w:r>
      <w:r>
        <w:rPr>
          <w:rFonts w:ascii="Arial" w:cs="Arial" w:eastAsia="Arial" w:hAnsi="Arial"/>
          <w:b w:val="false"/>
          <w:bCs w:val="false"/>
          <w:i w:val="false"/>
          <w:iCs w:val="false"/>
          <w:color w:val="1A1A1A"/>
          <w:sz w:val="20"/>
          <w:szCs w:val="20"/>
        </w:rPr>
        <w:t xml:space="preserve">70% reduction in Knowledge Center advisor lookup time — $200K+ annual cost avoidance.</w:t>
      </w:r>
    </w:p>
    <w:p>
      <w:pPr>
        <w:pBdr>
          <w:bottom w:val="single" w:color="2E75B6" w:sz="6" w:space="1"/>
        </w:pBdr>
        <w:spacing w:after="80" w:before="220"/>
      </w:pPr>
      <w:r>
        <w:rPr>
          <w:rFonts w:ascii="Arial" w:cs="Arial" w:eastAsia="Arial" w:hAnsi="Arial"/>
          <w:b/>
          <w:bCs/>
          <w:color w:val="1F4E79"/>
          <w:sz w:val="26"/>
          <w:szCs w:val="26"/>
        </w:rPr>
        <w:t xml:space="preserve">7.3 Voice of Work (VoW) Synthetic</w:t>
      </w:r>
    </w:p>
    <w:p>
      <w:pPr>
        <w:spacing w:after="60" w:before="60"/>
      </w:pPr>
      <w:r>
        <w:rPr>
          <w:rFonts w:ascii="Arial" w:cs="Arial" w:eastAsia="Arial" w:hAnsi="Arial"/>
          <w:b w:val="false"/>
          <w:bCs w:val="false"/>
          <w:i w:val="false"/>
          <w:iCs w:val="false"/>
          <w:color w:val="1A1A1A"/>
          <w:sz w:val="20"/>
          <w:szCs w:val="20"/>
        </w:rPr>
        <w:t xml:space="preserve">Persona simulation and synthetic population engine. Provides the Hub's benchmark population from day one.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Phase 0 architecture: </w:t>
      </w:r>
      <w:r>
        <w:rPr>
          <w:rFonts w:ascii="Arial" w:cs="Arial" w:eastAsia="Arial" w:hAnsi="Arial"/>
          <w:b w:val="false"/>
          <w:bCs w:val="false"/>
          <w:i w:val="false"/>
          <w:iCs w:val="false"/>
          <w:color w:val="1A1A1A"/>
          <w:sz w:val="20"/>
          <w:szCs w:val="20"/>
        </w:rPr>
        <w:t xml:space="preserve">Survey diary built on SHRM Qualtrics longitudinal panel as the spine, extended by GWI global workforce attitudinal data (ILS-controlled subscription).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Phase 1 extension: </w:t>
      </w:r>
      <w:r>
        <w:rPr>
          <w:rFonts w:ascii="Arial" w:cs="Arial" w:eastAsia="Arial" w:hAnsi="Arial"/>
          <w:b w:val="false"/>
          <w:bCs w:val="false"/>
          <w:i w:val="false"/>
          <w:iCs w:val="false"/>
          <w:color w:val="1A1A1A"/>
          <w:sz w:val="20"/>
          <w:szCs w:val="20"/>
        </w:rPr>
        <w:t xml:space="preserve">Behavioral touchpoint layer added when CGI/IT Fabric pipeline delivers. SHRM rides IT's existing roadmap investment rather than competing with it.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Accuracy benchmark: </w:t>
      </w:r>
      <w:r>
        <w:rPr>
          <w:rFonts w:ascii="Arial" w:cs="Arial" w:eastAsia="Arial" w:hAnsi="Arial"/>
          <w:b w:val="false"/>
          <w:bCs w:val="false"/>
          <w:i w:val="false"/>
          <w:iCs w:val="false"/>
          <w:color w:val="1A1A1A"/>
          <w:sz w:val="20"/>
          <w:szCs w:val="20"/>
        </w:rPr>
        <w:t xml:space="preserve">90% synthetic-to-human correlation target via parallel fielding validation.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Hub contribution: </w:t>
      </w:r>
      <w:r>
        <w:rPr>
          <w:rFonts w:ascii="Arial" w:cs="Arial" w:eastAsia="Arial" w:hAnsi="Arial"/>
          <w:b w:val="false"/>
          <w:bCs w:val="false"/>
          <w:i w:val="false"/>
          <w:iCs w:val="false"/>
          <w:color w:val="1A1A1A"/>
          <w:sz w:val="20"/>
          <w:szCs w:val="20"/>
        </w:rPr>
        <w:t xml:space="preserve">Solves the cold-start benchmark problem — the Hub has a credible comparison population before accumulating real enterprise assessment data.</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Commercial modes: </w:t>
      </w:r>
      <w:r>
        <w:rPr>
          <w:rFonts w:ascii="Arial" w:cs="Arial" w:eastAsia="Arial" w:hAnsi="Arial"/>
          <w:b w:val="false"/>
          <w:bCs w:val="false"/>
          <w:i w:val="false"/>
          <w:iCs w:val="false"/>
          <w:color w:val="1A1A1A"/>
          <w:sz w:val="20"/>
          <w:szCs w:val="20"/>
        </w:rPr>
        <w:t xml:space="preserve">Internal research acceleration, B2B simulation sprints, enterprise twin validation, proxy partner API.</w:t>
      </w:r>
    </w:p>
    <w:p>
      <w:pPr>
        <w:pBdr>
          <w:bottom w:val="single" w:color="2E75B6" w:sz="6" w:space="1"/>
        </w:pBdr>
        <w:spacing w:after="80" w:before="220"/>
      </w:pPr>
      <w:r>
        <w:rPr>
          <w:rFonts w:ascii="Arial" w:cs="Arial" w:eastAsia="Arial" w:hAnsi="Arial"/>
          <w:b/>
          <w:bCs/>
          <w:color w:val="1F4E79"/>
          <w:sz w:val="26"/>
          <w:szCs w:val="26"/>
        </w:rPr>
        <w:t xml:space="preserve">7.4 University Nodes</w:t>
      </w:r>
    </w:p>
    <w:p>
      <w:pPr>
        <w:spacing w:after="60" w:before="60"/>
      </w:pPr>
      <w:r>
        <w:rPr>
          <w:rFonts w:ascii="Arial" w:cs="Arial" w:eastAsia="Arial" w:hAnsi="Arial"/>
          <w:b w:val="false"/>
          <w:bCs w:val="false"/>
          <w:i w:val="false"/>
          <w:iCs w:val="false"/>
          <w:color w:val="1A1A1A"/>
          <w:sz w:val="20"/>
          <w:szCs w:val="20"/>
        </w:rPr>
        <w:t xml:space="preserve">Scientific validation network providing academic Seal of Quality for high-stakes SHRM reasoning logic.</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Cornell (ILR + Engineering): </w:t>
      </w:r>
      <w:r>
        <w:rPr>
          <w:rFonts w:ascii="Arial" w:cs="Arial" w:eastAsia="Arial" w:hAnsi="Arial"/>
          <w:b w:val="false"/>
          <w:bCs w:val="false"/>
          <w:i w:val="false"/>
          <w:iCs w:val="false"/>
          <w:color w:val="1A1A1A"/>
          <w:sz w:val="20"/>
          <w:szCs w:val="20"/>
        </w:rPr>
        <w:t xml:space="preserve">Deep-tech node — Graph-RAG optimization, BASK retrieval accuracy.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Indiana (Kelley School): </w:t>
      </w:r>
      <w:r>
        <w:rPr>
          <w:rFonts w:ascii="Arial" w:cs="Arial" w:eastAsia="Arial" w:hAnsi="Arial"/>
          <w:b w:val="false"/>
          <w:bCs w:val="false"/>
          <w:i w:val="false"/>
          <w:iCs w:val="false"/>
          <w:color w:val="1A1A1A"/>
          <w:sz w:val="20"/>
          <w:szCs w:val="20"/>
        </w:rPr>
        <w:t xml:space="preserve">Practitioner node — human-in-the-loop studies, AI-augmented workflow research.</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University of Denver (Daniels + Ritchie): </w:t>
      </w:r>
      <w:r>
        <w:rPr>
          <w:rFonts w:ascii="Arial" w:cs="Arial" w:eastAsia="Arial" w:hAnsi="Arial"/>
          <w:b w:val="false"/>
          <w:bCs w:val="false"/>
          <w:i w:val="false"/>
          <w:iCs w:val="false"/>
          <w:color w:val="1A1A1A"/>
          <w:sz w:val="20"/>
          <w:szCs w:val="20"/>
        </w:rPr>
        <w:t xml:space="preserve">Enterprise integration node — Workday / SAP integration stress-testing.</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Activation trigger: </w:t>
      </w:r>
      <w:r>
        <w:rPr>
          <w:rFonts w:ascii="Arial" w:cs="Arial" w:eastAsia="Arial" w:hAnsi="Arial"/>
          <w:b w:val="false"/>
          <w:bCs w:val="false"/>
          <w:i w:val="false"/>
          <w:iCs w:val="false"/>
          <w:color w:val="1A1A1A"/>
          <w:sz w:val="20"/>
          <w:szCs w:val="20"/>
        </w:rPr>
        <w:t xml:space="preserve">Only after KCDE and VoW Phase 0 gates clear. $225K budget.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IP protection: </w:t>
      </w:r>
      <w:r>
        <w:rPr>
          <w:rFonts w:ascii="Arial" w:cs="Arial" w:eastAsia="Arial" w:hAnsi="Arial"/>
          <w:b w:val="false"/>
          <w:bCs w:val="false"/>
          <w:i w:val="false"/>
          <w:iCs w:val="false"/>
          <w:color w:val="1A1A1A"/>
          <w:sz w:val="20"/>
          <w:szCs w:val="20"/>
        </w:rPr>
        <w:t xml:space="preserve">Researchers work inside SHRM-controlled GCP environment via IAM-scoped service accounts. No-download policy enforceable at infrastructure level.</w:t>
      </w:r>
    </w:p>
    <w:p>
      <w:pPr>
        <w:pBdr>
          <w:bottom w:val="single" w:color="2E75B6" w:sz="6" w:space="1"/>
        </w:pBdr>
        <w:spacing w:after="80" w:before="220"/>
      </w:pPr>
      <w:r>
        <w:rPr>
          <w:rFonts w:ascii="Arial" w:cs="Arial" w:eastAsia="Arial" w:hAnsi="Arial"/>
          <w:b/>
          <w:bCs/>
          <w:color w:val="1F4E79"/>
          <w:sz w:val="26"/>
          <w:szCs w:val="26"/>
        </w:rPr>
        <w:t xml:space="preserve">7.5 Internal Innovation Hackathons</w:t>
      </w:r>
    </w:p>
    <w:p>
      <w:pPr>
        <w:spacing w:after="60" w:before="60"/>
      </w:pPr>
      <w:r>
        <w:rPr>
          <w:rFonts w:ascii="Arial" w:cs="Arial" w:eastAsia="Arial" w:hAnsi="Arial"/>
          <w:b w:val="false"/>
          <w:bCs w:val="false"/>
          <w:i w:val="false"/>
          <w:iCs w:val="false"/>
          <w:color w:val="1A1A1A"/>
          <w:sz w:val="20"/>
          <w:szCs w:val="20"/>
        </w:rPr>
        <w:t xml:space="preserve">Cultural velocity engine transitioning SHRM staff from ad-hoc AI use to agentic fluency. Hackathon methodology is validated — the inaugural SHRM Innovation Week hackathon (April 16–17, 2026) produced concrete evidence that ILS methodology works at scale.</w:t>
      </w:r>
    </w:p>
    <w:p>
      <w:pPr>
        <w:spacing w:after="60" w:before="160"/>
      </w:pPr>
      <w:r>
        <w:rPr>
          <w:rFonts w:ascii="Arial" w:cs="Arial" w:eastAsia="Arial" w:hAnsi="Arial"/>
          <w:b/>
          <w:bCs/>
          <w:color w:val="1F4E79"/>
          <w:sz w:val="22"/>
          <w:szCs w:val="22"/>
        </w:rPr>
        <w:t xml:space="preserve">Inaugural Event Results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55 apps built in 24 hours </w:t>
      </w:r>
      <w:r>
        <w:rPr>
          <w:rFonts w:ascii="Arial" w:cs="Arial" w:eastAsia="Arial" w:hAnsi="Arial"/>
          <w:b w:val="false"/>
          <w:bCs w:val="false"/>
          <w:i w:val="false"/>
          <w:iCs w:val="false"/>
          <w:color w:val="1A1A1A"/>
          <w:sz w:val="20"/>
          <w:szCs w:val="20"/>
        </w:rPr>
        <w:t xml:space="preserve">— voluntary participation, no product roadmap, no mandatory training requirement.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88% Mission-Complete rate </w:t>
      </w:r>
      <w:r>
        <w:rPr>
          <w:rFonts w:ascii="Arial" w:cs="Arial" w:eastAsia="Arial" w:hAnsi="Arial"/>
          <w:b w:val="false"/>
          <w:bCs w:val="false"/>
          <w:i w:val="false"/>
          <w:iCs w:val="false"/>
          <w:color w:val="1A1A1A"/>
          <w:sz w:val="20"/>
          <w:szCs w:val="20"/>
        </w:rPr>
        <w:t xml:space="preserve">— 43 of 49 documented apps delivered end-to-end working prototypes. 10% Mission-Partial, 2% Mission-Concept.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39 unique builders </w:t>
      </w:r>
      <w:r>
        <w:rPr>
          <w:rFonts w:ascii="Arial" w:cs="Arial" w:eastAsia="Arial" w:hAnsi="Arial"/>
          <w:b w:val="false"/>
          <w:bCs w:val="false"/>
          <w:i w:val="false"/>
          <w:iCs w:val="false"/>
          <w:color w:val="1A1A1A"/>
          <w:sz w:val="20"/>
          <w:szCs w:val="20"/>
        </w:rPr>
        <w:t xml:space="preserve">across 7 divisions and 2 countries — U.S. offices and SHRM East (India). Per-capita SHRM East output exceeded every U.S. division.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12 HR domains covered </w:t>
      </w:r>
      <w:r>
        <w:rPr>
          <w:rFonts w:ascii="Arial" w:cs="Arial" w:eastAsia="Arial" w:hAnsi="Arial"/>
          <w:b w:val="false"/>
          <w:bCs w:val="false"/>
          <w:i w:val="false"/>
          <w:iCs w:val="false"/>
          <w:color w:val="1A1A1A"/>
          <w:sz w:val="20"/>
          <w:szCs w:val="20"/>
        </w:rPr>
        <w:t xml:space="preserve">— bottom-up, staff-driven coverage map spanning compliance, analytics, talent, operations, member value, and more.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All 42 platform-detected apps used Lovable </w:t>
      </w:r>
      <w:r>
        <w:rPr>
          <w:rFonts w:ascii="Arial" w:cs="Arial" w:eastAsia="Arial" w:hAnsi="Arial"/>
          <w:b w:val="false"/>
          <w:bCs w:val="false"/>
          <w:i w:val="false"/>
          <w:iCs w:val="false"/>
          <w:color w:val="1A1A1A"/>
          <w:sz w:val="20"/>
          <w:szCs w:val="20"/>
        </w:rPr>
        <w:t xml:space="preserve">— validates the prototyping stack at volume across non-technical staff. Infrastructure is proven; the learning curve is surmountable.</w:t>
      </w:r>
    </w:p>
    <w:p>
      <w:pPr>
        <w:spacing w:after="60" w:before="160"/>
      </w:pPr>
      <w:r>
        <w:rPr>
          <w:rFonts w:ascii="Arial" w:cs="Arial" w:eastAsia="Arial" w:hAnsi="Arial"/>
          <w:b/>
          <w:bCs/>
          <w:color w:val="1F4E79"/>
          <w:sz w:val="22"/>
          <w:szCs w:val="22"/>
        </w:rPr>
        <w:t xml:space="preserve">Strategic Signal — What Staff Built Validates ILS Thesis</w:t>
      </w:r>
    </w:p>
    <w:p>
      <w:pPr>
        <w:spacing w:after="60" w:before="60"/>
      </w:pPr>
      <w:r>
        <w:rPr>
          <w:rFonts w:ascii="Arial" w:cs="Arial" w:eastAsia="Arial" w:hAnsi="Arial"/>
          <w:b w:val="false"/>
          <w:bCs w:val="false"/>
          <w:i w:val="false"/>
          <w:iCs w:val="false"/>
          <w:color w:val="1A1A1A"/>
          <w:sz w:val="20"/>
          <w:szCs w:val="20"/>
        </w:rPr>
        <w:t xml:space="preserve">Given 24 hours and no constraints, SHRM staff independently converged on exactly the product architecture ILS is designed to produce. This is validation from inside the organization — not from a strategic argument or external consultant, but from what the staff closest to SHRM's business reached for when given creative latitude: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BASK as application substrate validated: </w:t>
      </w:r>
      <w:r>
        <w:rPr>
          <w:rFonts w:ascii="Arial" w:cs="Arial" w:eastAsia="Arial" w:hAnsi="Arial"/>
          <w:b w:val="false"/>
          <w:bCs w:val="false"/>
          <w:i w:val="false"/>
          <w:iCs w:val="false"/>
          <w:color w:val="1A1A1A"/>
          <w:sz w:val="20"/>
          <w:szCs w:val="20"/>
        </w:rPr>
        <w:t xml:space="preserve">Pathnex (Karan Singh, SHRM East) operationalizes BASK into a personalized IDP generator — an enterprise workforce tool HR teams deploy for their full workforce. This is the HR-X Solutions Hub thesis, demonstrated from inside. Earned Elite Recognition (5 of 6 panel votes).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Interactive benchmarking category validated: </w:t>
      </w:r>
      <w:r>
        <w:rPr>
          <w:rFonts w:ascii="Arial" w:cs="Arial" w:eastAsia="Arial" w:hAnsi="Arial"/>
          <w:b w:val="false"/>
          <w:bCs w:val="false"/>
          <w:i w:val="false"/>
          <w:iCs w:val="false"/>
          <w:color w:val="1A1A1A"/>
          <w:sz w:val="20"/>
          <w:szCs w:val="20"/>
        </w:rPr>
        <w:t xml:space="preserve">SHRM Metric Matchup (Nathan Ebikwo) transforms Human Capital Benchmarking data into an AI-narrated executive scorecard — the clearest commercial product candidate in the batch. Earned Elite Recognition (5 of 6 panel votes).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KCDE thesis validated pre-build: </w:t>
      </w:r>
      <w:r>
        <w:rPr>
          <w:rFonts w:ascii="Arial" w:cs="Arial" w:eastAsia="Arial" w:hAnsi="Arial"/>
          <w:b w:val="false"/>
          <w:bCs w:val="false"/>
          <w:i w:val="false"/>
          <w:iCs w:val="false"/>
          <w:color w:val="1A1A1A"/>
          <w:sz w:val="20"/>
          <w:szCs w:val="20"/>
        </w:rPr>
        <w:t xml:space="preserve">Six independent apps used retrieval-augmented generation against SHRM content — staff instinctively reached for the KCDE architecture before KCDE exists. Six convergent proposals is stronger evidence of demand than any single strategic argument.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CHRO decision support category validated: </w:t>
      </w:r>
      <w:r>
        <w:rPr>
          <w:rFonts w:ascii="Arial" w:cs="Arial" w:eastAsia="Arial" w:hAnsi="Arial"/>
          <w:b w:val="false"/>
          <w:bCs w:val="false"/>
          <w:i w:val="false"/>
          <w:iCs w:val="false"/>
          <w:color w:val="1A1A1A"/>
          <w:sz w:val="20"/>
          <w:szCs w:val="20"/>
        </w:rPr>
        <w:t xml:space="preserve">Six independent apps (SignalForge, Evolve, PeopleScope, CareOS, SHRM Work Radar, Manager Effectiveness Cost Calculator) proposed CHRO-level decision support infrastructure — confirming the Hub's enterprise audience and the product category's strategic opening.</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Simulation-based learning as category emerged: </w:t>
      </w:r>
      <w:r>
        <w:rPr>
          <w:rFonts w:ascii="Arial" w:cs="Arial" w:eastAsia="Arial" w:hAnsi="Arial"/>
          <w:b w:val="false"/>
          <w:bCs w:val="false"/>
          <w:i w:val="false"/>
          <w:iCs w:val="false"/>
          <w:color w:val="1A1A1A"/>
          <w:sz w:val="20"/>
          <w:szCs w:val="20"/>
        </w:rPr>
        <w:t xml:space="preserve">Five independent apps proposed practice-based experiences (HR Investigation Simulator, TLU Simulation, AdjacenSee, CaseCoach, HR Therapy) — a product territory SHRM does not currently occupy but that clearly has internal creative conviction.</w:t>
      </w:r>
    </w:p>
    <w:p>
      <w:pPr>
        <w:spacing w:after="60" w:before="160"/>
      </w:pPr>
      <w:r>
        <w:rPr>
          <w:rFonts w:ascii="Arial" w:cs="Arial" w:eastAsia="Arial" w:hAnsi="Arial"/>
          <w:b/>
          <w:bCs/>
          <w:color w:val="1F4E79"/>
          <w:sz w:val="22"/>
          <w:szCs w:val="22"/>
        </w:rPr>
        <w:t xml:space="preserve">Strategic Signal — Cost Model Validated</w:t>
      </w:r>
    </w:p>
    <w:p>
      <w:pPr>
        <w:spacing w:after="60" w:before="60"/>
      </w:pPr>
      <w:r>
        <w:rPr>
          <w:rFonts w:ascii="Arial" w:cs="Arial" w:eastAsia="Arial" w:hAnsi="Arial"/>
          <w:b w:val="false"/>
          <w:bCs w:val="false"/>
          <w:i w:val="false"/>
          <w:iCs w:val="false"/>
          <w:color w:val="1A1A1A"/>
          <w:sz w:val="20"/>
          <w:szCs w:val="20"/>
        </w:rPr>
        <w:t xml:space="preserve">55 AI-powered prototypes produced for marginal cost (Lovable licensing plus staff time during a 24-hour sprint). External vendor quotes for comparable scope would run well into six figures. This is the ILS cost avoidance thesis demonstrated at scale before Phase 0 formal funding — the catalyst methodology produces commercial-grade output at a fraction of traditional product development cost.</w:t>
      </w:r>
    </w:p>
    <w:p>
      <w:pPr>
        <w:spacing w:after="60" w:before="160"/>
      </w:pPr>
      <w:r>
        <w:rPr>
          <w:rFonts w:ascii="Arial" w:cs="Arial" w:eastAsia="Arial" w:hAnsi="Arial"/>
          <w:b/>
          <w:bCs/>
          <w:color w:val="1F4E79"/>
          <w:sz w:val="22"/>
          <w:szCs w:val="22"/>
        </w:rPr>
        <w:t xml:space="preserve">Strategic Signal — Research-Innovation Hybrid Demonstrated</w:t>
      </w:r>
    </w:p>
    <w:p>
      <w:pPr>
        <w:spacing w:after="60" w:before="60"/>
      </w:pPr>
      <w:r>
        <w:rPr>
          <w:rFonts w:ascii="Arial" w:cs="Arial" w:eastAsia="Arial" w:hAnsi="Arial"/>
          <w:b w:val="false"/>
          <w:bCs w:val="false"/>
          <w:i w:val="false"/>
          <w:iCs w:val="false"/>
          <w:color w:val="1A1A1A"/>
          <w:sz w:val="20"/>
          <w:szCs w:val="20"/>
        </w:rPr>
        <w:t xml:space="preserve">The accompanying Hackathon Impact Analysis — a strategic synthesis of signal embedded across the 55 submissions — is itself an ILS research output of the kind the research instrumentation architecture in Section 6 is designed to produce. Aggregate analysis of what SHRM staff built (asset utilization patterns, problem framing patterns, audience targeting, domain coverage, gaps) surfaces implications for nine distinct business teams and anticipates concept-testing candidates for member and enterprise validation. This is the research-innovation marriage operating as designed, on actual output rather than on hypothetical pipeline.</w:t>
      </w:r>
    </w:p>
    <w:p>
      <w:pPr>
        <w:spacing w:after="60" w:before="160"/>
      </w:pPr>
      <w:r>
        <w:rPr>
          <w:rFonts w:ascii="Arial" w:cs="Arial" w:eastAsia="Arial" w:hAnsi="Arial"/>
          <w:b/>
          <w:bCs/>
          <w:color w:val="1F4E79"/>
          <w:sz w:val="22"/>
          <w:szCs w:val="22"/>
        </w:rPr>
        <w:t xml:space="preserve">Methodology &amp; Triage Path</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Methodology: </w:t>
      </w:r>
      <w:r>
        <w:rPr>
          <w:rFonts w:ascii="Arial" w:cs="Arial" w:eastAsia="Arial" w:hAnsi="Arial"/>
          <w:b w:val="false"/>
          <w:bCs w:val="false"/>
          <w:i w:val="false"/>
          <w:iCs w:val="false"/>
          <w:color w:val="1A1A1A"/>
          <w:sz w:val="20"/>
          <w:szCs w:val="20"/>
        </w:rPr>
        <w:t xml:space="preserve">Staffers use Lovable.dev for rapid natural-language prototyping in 24-hour to 2-week sprints.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Triage path: </w:t>
      </w:r>
      <w:r>
        <w:rPr>
          <w:rFonts w:ascii="Arial" w:cs="Arial" w:eastAsia="Arial" w:hAnsi="Arial"/>
          <w:b w:val="false"/>
          <w:bCs w:val="false"/>
          <w:i w:val="false"/>
          <w:iCs w:val="false"/>
          <w:color w:val="1A1A1A"/>
          <w:sz w:val="20"/>
          <w:szCs w:val="20"/>
        </w:rPr>
        <w:t xml:space="preserve">Internal Repository (all 55 apps, permanent searchable gallery) — Public Gallery (polished apps with live demos on member-facing site) — Follow-Up Track (targeted team conversations) — MVP Candidates (concept testing with members and customers). Metric Matchup, Pathnex, and HirePrep advanced to MVP track.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High-stakes referral: </w:t>
      </w:r>
      <w:r>
        <w:rPr>
          <w:rFonts w:ascii="Arial" w:cs="Arial" w:eastAsia="Arial" w:hAnsi="Arial"/>
          <w:b w:val="false"/>
          <w:bCs w:val="false"/>
          <w:i w:val="false"/>
          <w:iCs w:val="false"/>
          <w:color w:val="1A1A1A"/>
          <w:sz w:val="20"/>
          <w:szCs w:val="20"/>
        </w:rPr>
        <w:t xml:space="preserve">Apps requiring research validation (legal, ethical, academic review) route to University Nodes before release — 7 of 49 apps fell into this category.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Participation target exceeded: </w:t>
      </w:r>
      <w:r>
        <w:rPr>
          <w:rFonts w:ascii="Arial" w:cs="Arial" w:eastAsia="Arial" w:hAnsi="Arial"/>
          <w:b w:val="false"/>
          <w:bCs w:val="false"/>
          <w:i w:val="false"/>
          <w:iCs w:val="false"/>
          <w:color w:val="1A1A1A"/>
          <w:sz w:val="20"/>
          <w:szCs w:val="20"/>
        </w:rPr>
        <w:t xml:space="preserve">39 unique builders across 7 divisions against the Year 1 target of 25% voluntary staff participation. Inaugural event already cleared the participation benchmark.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Annual event extension: </w:t>
      </w:r>
      <w:r>
        <w:rPr>
          <w:rFonts w:ascii="Arial" w:cs="Arial" w:eastAsia="Arial" w:hAnsi="Arial"/>
          <w:b w:val="false"/>
          <w:bCs w:val="false"/>
          <w:i w:val="false"/>
          <w:iCs w:val="false"/>
          <w:color w:val="1A1A1A"/>
          <w:sz w:val="20"/>
          <w:szCs w:val="20"/>
        </w:rPr>
        <w:t xml:space="preserve">Member-facing TechCrunch Disrupt-style competition under evaluation for SHRM Annual — external engagement opportunity building on demonstrated internal capability.</w:t>
      </w:r>
    </w:p>
    <w:p>
      <w:pPr>
        <w:spacing w:after="60" w:before="80"/>
      </w:pPr>
      <w:r>
        <w:rPr>
          <w:rFonts w:ascii="Arial" w:cs="Arial" w:eastAsia="Arial" w:hAnsi="Arial"/>
          <w:b w:val="false"/>
          <w:bCs w:val="false"/>
          <w:i/>
          <w:iCs/>
          <w:color w:val="1A1A1A"/>
          <w:sz w:val="20"/>
          <w:szCs w:val="20"/>
        </w:rPr>
        <w:t xml:space="preserve">The Hackathon Impact Analysis (April 2026) is available as a companion document to this brief.</w:t>
      </w:r>
    </w:p>
    <w:p>
      <w:r>
        <w:br w:type="page"/>
      </w:r>
    </w:p>
    <w:p>
      <w:pPr>
        <w:pBdr>
          <w:bottom w:val="single" w:color="1F4E79" w:sz="8" w:space="2"/>
        </w:pBdr>
        <w:spacing w:after="120" w:before="320"/>
      </w:pPr>
      <w:r>
        <w:rPr>
          <w:rFonts w:ascii="Arial" w:cs="Arial" w:eastAsia="Arial" w:hAnsi="Arial"/>
          <w:b/>
          <w:bCs/>
          <w:color w:val="1F4E79"/>
          <w:sz w:val="32"/>
          <w:szCs w:val="32"/>
        </w:rPr>
        <w:t xml:space="preserve">8. ILS and Product Management: Complementary Architecture</w:t>
      </w:r>
    </w:p>
    <w:p>
      <w:pPr>
        <w:spacing w:after="60" w:before="60"/>
      </w:pPr>
      <w:r>
        <w:rPr>
          <w:rFonts w:ascii="Arial" w:cs="Arial" w:eastAsia="Arial" w:hAnsi="Arial"/>
          <w:b w:val="false"/>
          <w:bCs w:val="false"/>
          <w:i w:val="false"/>
          <w:iCs w:val="false"/>
          <w:color w:val="1A1A1A"/>
          <w:sz w:val="20"/>
          <w:szCs w:val="20"/>
        </w:rPr>
        <w:t xml:space="preserve">ILS is not an alternative to SHRM's Product Management function. It is a complementary upstream capability that generates and validates the reasoning assets Product Management then commercializes, scales, and sustains. This distinction is important as Stephanie Laguna assumes SVP Product Development responsibilities.</w:t>
      </w:r>
    </w:p>
    <w:p>
      <w:pPr>
        <w:spacing w:after="60" w:before="60"/>
      </w:pPr>
      <w:r>
        <w:rPr>
          <w:rFonts w:ascii="Arial" w:cs="Arial" w:eastAsia="Arial" w:hAnsi="Arial"/>
          <w:b w:val="false"/>
          <w:bCs w:val="false"/>
          <w:i w:val="false"/>
          <w:iCs w:val="false"/>
          <w:color w:val="1A1A1A"/>
          <w:sz w:val="20"/>
          <w:szCs w:val="20"/>
        </w:rPr>
        <w:t xml:space="preserve">The clearest way to hold the line between ILS and Product Management is the research-innovation hybrid that defines ILS. Product Management does not run concept tests, accuracy validations, perception trackers, or longitudinal VoC trackers as part of its development cycle — those functions live in Market Research. ILS fuses research instrumentation with innovation incubation as a single workflow: the research validates what gets built; the build generates the next research question. Product Management receives validated outputs from this process and focuses on what it does uniquely well: commercial scaling, customer success operations, and long-term product lifecycle management. Separating the two functions would not make either stronger. It would eliminate ILS's distinguishing capability and load Product Management with research work it is not staffed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Dimension</w:t>
            </w:r>
          </w:p>
        </w:tc>
        <w:tc>
          <w:tcPr>
            <w:tcW w:type="dxa" w:w="3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Product Management
(Experience Engine)</w:t>
            </w:r>
          </w:p>
        </w:tc>
        <w:tc>
          <w:tcPr>
            <w:tcW w:type="dxa" w:w="368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Intelligence Layer Studio
(Capabilities Engine)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Primary Focus</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User experience, interface design, product roadmap optimization, commercial scaling.</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Machine reasoning, data ontology, logic validation, computational infrastructure.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Governance</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Standard SHRM product RACI, release cycles, long-term support commitments.</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90-day pilot cycles, sandbox authority, gate-based funding cascade.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Lifecycle</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Long-term ownership and scaling — where validated MVPs live after graduation.</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Incubation and MVP delivery. Graduation path to Product Management once commercial viability is proven.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20"/>
                <w:szCs w:val="20"/>
              </w:rPr>
              <w:t xml:space="preserve">Example (HR-X Solutions Hub)</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Product Development takes ownership post-MVP for commercial scaling, customer success operations, product lifecycle management.</w:t>
            </w:r>
          </w:p>
        </w:tc>
        <w:tc>
          <w:tcPr>
            <w:tcW w:type="dxa" w:w="3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20"/>
                <w:szCs w:val="20"/>
              </w:rPr>
              <w:t xml:space="preserve">ILS carries Hub through Phase 0 build, pilot client validation, Phase 1 commercial launch at SHRM26. Graduates to Product Development at Year 2.</w:t>
            </w:r>
          </w:p>
        </w:tc>
      </w:tr>
    </w:tbl>
    <w:p>
      <w:r>
        <w:t xml:space="preserve"/>
      </w:r>
    </w:p>
    <w:p>
      <w:pPr>
        <w:spacing w:after="60" w:before="60"/>
      </w:pPr>
      <w:r>
        <w:rPr>
          <w:rFonts w:ascii="Arial" w:cs="Arial" w:eastAsia="Arial" w:hAnsi="Arial"/>
          <w:b w:val="false"/>
          <w:bCs w:val="false"/>
          <w:i w:val="false"/>
          <w:iCs w:val="false"/>
          <w:color w:val="1A1A1A"/>
          <w:sz w:val="20"/>
          <w:szCs w:val="20"/>
        </w:rPr>
        <w:t xml:space="preserve">The graduation path ensures ILS does not become a parallel product organization. Every ILS initiative has a defined transition point into Product Management's commercial operations.</w:t>
      </w:r>
    </w:p>
    <w:p>
      <w:pPr>
        <w:pBdr>
          <w:bottom w:val="single" w:color="2E75B6" w:sz="6" w:space="1"/>
        </w:pBdr>
        <w:spacing w:after="80" w:before="220"/>
      </w:pPr>
      <w:r>
        <w:rPr>
          <w:rFonts w:ascii="Arial" w:cs="Arial" w:eastAsia="Arial" w:hAnsi="Arial"/>
          <w:b/>
          <w:bCs/>
          <w:color w:val="1F4E79"/>
          <w:sz w:val="26"/>
          <w:szCs w:val="26"/>
        </w:rPr>
        <w:t xml:space="preserve">Structural Evolution: Future State Consideration</w:t>
      </w:r>
    </w:p>
    <w:p>
      <w:pPr>
        <w:spacing w:after="60" w:before="60"/>
      </w:pPr>
      <w:r>
        <w:rPr>
          <w:rFonts w:ascii="Arial" w:cs="Arial" w:eastAsia="Arial" w:hAnsi="Arial"/>
          <w:b w:val="false"/>
          <w:bCs w:val="false"/>
          <w:i w:val="false"/>
          <w:iCs w:val="false"/>
          <w:color w:val="1A1A1A"/>
          <w:sz w:val="20"/>
          <w:szCs w:val="20"/>
        </w:rPr>
        <w:t xml:space="preserve">Year 2 evaluation: a dual-engine structural model where the 501c6 acts as Custodian of Standards (the neutral authority) and a separate for-profit ILS Corp acts as Operator of Infrastructure (the fast-moving tech arm), paying royalties back to the association. This is not a Phase 0 or Phase 1 decision — it is a structural option to evaluate once ILS's commercial viability is demonstrated.</w:t>
      </w:r>
    </w:p>
    <w:p>
      <w:r>
        <w:br w:type="page"/>
      </w:r>
    </w:p>
    <w:p>
      <w:pPr>
        <w:pBdr>
          <w:bottom w:val="single" w:color="1F4E79" w:sz="8" w:space="2"/>
        </w:pBdr>
        <w:spacing w:after="120" w:before="320"/>
      </w:pPr>
      <w:r>
        <w:rPr>
          <w:rFonts w:ascii="Arial" w:cs="Arial" w:eastAsia="Arial" w:hAnsi="Arial"/>
          <w:b/>
          <w:bCs/>
          <w:color w:val="1F4E79"/>
          <w:sz w:val="32"/>
          <w:szCs w:val="32"/>
        </w:rPr>
        <w:t xml:space="preserve">9. Technology Autonomy &amp; Portability</w:t>
      </w:r>
    </w:p>
    <w:p>
      <w:pPr>
        <w:spacing w:after="60" w:before="60"/>
      </w:pPr>
      <w:r>
        <w:rPr>
          <w:rFonts w:ascii="Arial" w:cs="Arial" w:eastAsia="Arial" w:hAnsi="Arial"/>
          <w:b w:val="false"/>
          <w:bCs w:val="false"/>
          <w:i w:val="false"/>
          <w:iCs w:val="false"/>
          <w:color w:val="1A1A1A"/>
          <w:sz w:val="20"/>
          <w:szCs w:val="20"/>
        </w:rPr>
        <w:t xml:space="preserve">Catalyst functions require technology autonomy as a structural condition of the work, not as an organizational preference. Converting published assets into computational ones means experimenting across model providers, data platforms, and inference environments — often rapidly, often simultaneously, often in ways that would be disruptive if routed through standard enterprise IT governance. The technology choices ILS makes for Phase 0 and Phase 1 are designed to support this autonomy without foreclosing future enterprise integration.</w:t>
      </w:r>
    </w:p>
    <w:p>
      <w:pPr>
        <w:spacing w:after="60" w:before="60"/>
      </w:pPr>
      <w:r>
        <w:rPr>
          <w:rFonts w:ascii="Arial" w:cs="Arial" w:eastAsia="Arial" w:hAnsi="Arial"/>
          <w:b w:val="false"/>
          <w:bCs w:val="false"/>
          <w:i w:val="false"/>
          <w:iCs w:val="false"/>
          <w:color w:val="1A1A1A"/>
          <w:sz w:val="20"/>
          <w:szCs w:val="20"/>
        </w:rPr>
        <w:t xml:space="preserve">Autonomy is doubly important because ILS fuses research and innovation in a single workflow. Market research instruments — survey fielding platforms, IDI recording tools, longitudinal tracker infrastructure — operate on a different rhythm than enterprise IT systems. Research fielding cycles run in days and weeks; CGI managed environments operate on release cadences measured in months. Attempting to run the research-innovation loop through CGI's governance would either slow the research (breaking the feedback loop that gates investment decisions) or disrupt CGI's operational stability (which serves SHRM's production systems and cannot absorb this kind of volatility). Keeping ILS outside that envelope protects both functions.</w:t>
      </w:r>
    </w:p>
    <w:p>
      <w:pPr>
        <w:pBdr>
          <w:bottom w:val="single" w:color="2E75B6" w:sz="6" w:space="1"/>
        </w:pBdr>
        <w:spacing w:after="80" w:before="220"/>
      </w:pPr>
      <w:r>
        <w:rPr>
          <w:rFonts w:ascii="Arial" w:cs="Arial" w:eastAsia="Arial" w:hAnsi="Arial"/>
          <w:b/>
          <w:bCs/>
          <w:color w:val="1F4E79"/>
          <w:sz w:val="26"/>
          <w:szCs w:val="26"/>
        </w:rPr>
        <w:t xml:space="preserve">The Portability Principle</w:t>
      </w:r>
    </w:p>
    <w:p>
      <w:pPr>
        <w:spacing w:after="60" w:before="60"/>
      </w:pPr>
      <w:r>
        <w:rPr>
          <w:rFonts w:ascii="Arial" w:cs="Arial" w:eastAsia="Arial" w:hAnsi="Arial"/>
          <w:b w:val="false"/>
          <w:bCs w:val="false"/>
          <w:i w:val="false"/>
          <w:iCs w:val="false"/>
          <w:color w:val="1A1A1A"/>
          <w:sz w:val="20"/>
          <w:szCs w:val="20"/>
        </w:rPr>
        <w:t xml:space="preserve">SHRM's computational authority lives in the assets themselves — the vectorized BASK corpus, the HR-X scoring engine, the VoW Synthetic benchmark population, the reasoning logic grounded in proprietary standards. These assets are valuable regardless of which cloud, model, or framework produces or serves them. ILS's architectural principle is that the assets remain portable across any technology environment, and the environment ILS uses today should never lock the organization into a permanent technology stack.</w:t>
      </w:r>
    </w:p>
    <w:p>
      <w:pPr>
        <w:spacing w:after="60" w:before="60"/>
      </w:pPr>
      <w:r>
        <w:rPr>
          <w:rFonts w:ascii="Arial" w:cs="Arial" w:eastAsia="Arial" w:hAnsi="Arial"/>
          <w:b w:val="false"/>
          <w:bCs w:val="false"/>
          <w:i w:val="false"/>
          <w:iCs w:val="false"/>
          <w:color w:val="1A1A1A"/>
          <w:sz w:val="20"/>
          <w:szCs w:val="20"/>
        </w:rPr>
        <w:t xml:space="preserve">This principle has a practical consequence: if SHRM-wide strategy shifts toward a different technology environment in the future — whether that is a full Microsoft commitment, a multi-cloud posture, or something not yet visible — the ILS outputs migrate with it. The assets travel. The environment does not trap them.</w:t>
      </w:r>
    </w:p>
    <w:p>
      <w:pPr>
        <w:pBdr>
          <w:bottom w:val="single" w:color="2E75B6" w:sz="6" w:space="1"/>
        </w:pBdr>
        <w:spacing w:after="80" w:before="220"/>
      </w:pPr>
      <w:r>
        <w:rPr>
          <w:rFonts w:ascii="Arial" w:cs="Arial" w:eastAsia="Arial" w:hAnsi="Arial"/>
          <w:b/>
          <w:bCs/>
          <w:color w:val="1F4E79"/>
          <w:sz w:val="26"/>
          <w:szCs w:val="26"/>
        </w:rPr>
        <w:t xml:space="preserve">Why Google Cloud for Phase 0 and Phase 1</w:t>
      </w:r>
    </w:p>
    <w:p>
      <w:pPr>
        <w:spacing w:after="60" w:before="60"/>
      </w:pPr>
      <w:r>
        <w:rPr>
          <w:rFonts w:ascii="Arial" w:cs="Arial" w:eastAsia="Arial" w:hAnsi="Arial"/>
          <w:b w:val="false"/>
          <w:bCs w:val="false"/>
          <w:i w:val="false"/>
          <w:iCs w:val="false"/>
          <w:color w:val="1A1A1A"/>
          <w:sz w:val="20"/>
          <w:szCs w:val="20"/>
        </w:rPr>
        <w:t xml:space="preserve">GCP is the right environment for the catalyst work at this stage for a set of structural reasons, not a vendor preference: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Immediate readiness: </w:t>
      </w:r>
      <w:r>
        <w:rPr>
          <w:rFonts w:ascii="Arial" w:cs="Arial" w:eastAsia="Arial" w:hAnsi="Arial"/>
          <w:b w:val="false"/>
          <w:bCs w:val="false"/>
          <w:i w:val="false"/>
          <w:iCs w:val="false"/>
          <w:color w:val="1A1A1A"/>
          <w:sz w:val="20"/>
          <w:szCs w:val="20"/>
        </w:rPr>
        <w:t xml:space="preserve">SHRM has an existing GCP relationship through Gemini access. No new enterprise procurement required. The environment is available for ILS work today, without triggering a multi-quarter IT onboarding cycle.</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Capability alignment: </w:t>
      </w:r>
      <w:r>
        <w:rPr>
          <w:rFonts w:ascii="Arial" w:cs="Arial" w:eastAsia="Arial" w:hAnsi="Arial"/>
          <w:b w:val="false"/>
          <w:bCs w:val="false"/>
          <w:i w:val="false"/>
          <w:iCs w:val="false"/>
          <w:color w:val="1A1A1A"/>
          <w:sz w:val="20"/>
          <w:szCs w:val="20"/>
        </w:rPr>
        <w:t xml:space="preserve">BigQuery for warehousing, Vertex AI for model operations, Gemini as a native frontier model, IAM-scoped service accounts for clean external collaborator access. The stack fits what catalyst functions actually need.</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Separation from production IT: </w:t>
      </w:r>
      <w:r>
        <w:rPr>
          <w:rFonts w:ascii="Arial" w:cs="Arial" w:eastAsia="Arial" w:hAnsi="Arial"/>
          <w:b w:val="false"/>
          <w:bCs w:val="false"/>
          <w:i w:val="false"/>
          <w:iCs w:val="false"/>
          <w:color w:val="1A1A1A"/>
          <w:sz w:val="20"/>
          <w:szCs w:val="20"/>
        </w:rPr>
        <w:t xml:space="preserve">ILS operates outside CGI's managed environment, which protects both sides — ILS moves at sprint pace without disrupting enterprise IT roadmaps, and CGI's operational stability is not compromised by experimental work.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Model-agnostic architecture: </w:t>
      </w:r>
      <w:r>
        <w:rPr>
          <w:rFonts w:ascii="Arial" w:cs="Arial" w:eastAsia="Arial" w:hAnsi="Arial"/>
          <w:b w:val="false"/>
          <w:bCs w:val="false"/>
          <w:i w:val="false"/>
          <w:iCs w:val="false"/>
          <w:color w:val="1A1A1A"/>
          <w:sz w:val="20"/>
          <w:szCs w:val="20"/>
        </w:rPr>
        <w:t xml:space="preserve">GCP hosts the operational environment, but the intelligence layer deliberately draws from multiple model families — Gemini and Claude as dual frontier reasoning models, OpenAI and Microsoft Copilot as distribution channels, open-source models (Llama, Mistral, Phi) for sovereignty-sensitive workloads and cost optimization, small language models for edge deployment and lightweight routing, and large tabular models for statistical workloads that frontier LLMs handle poorly (HR-X Hub benchmarking, VoW Synthetic correlation analysis). No single-model lock-in. Vertex AI's Model Garden is the only major cloud environment that supports this diversity as a native capability today.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Enterprise-grade credentials: </w:t>
      </w:r>
      <w:r>
        <w:rPr>
          <w:rFonts w:ascii="Arial" w:cs="Arial" w:eastAsia="Arial" w:hAnsi="Arial"/>
          <w:b w:val="false"/>
          <w:bCs w:val="false"/>
          <w:i w:val="false"/>
          <w:iCs w:val="false"/>
          <w:color w:val="1A1A1A"/>
          <w:sz w:val="20"/>
          <w:szCs w:val="20"/>
        </w:rPr>
        <w:t xml:space="preserve">SOC2, ISO 27001, FedRAMP certified. GCP is not a startup tool or shadow IT — it is a tier-one enterprise platform used by Fortune 500 organizations. The platform choice is defensible on its own merits.</w:t>
      </w:r>
    </w:p>
    <w:p>
      <w:pPr>
        <w:pBdr>
          <w:bottom w:val="single" w:color="2E75B6" w:sz="6" w:space="1"/>
        </w:pBdr>
        <w:spacing w:after="80" w:before="220"/>
      </w:pPr>
      <w:r>
        <w:rPr>
          <w:rFonts w:ascii="Arial" w:cs="Arial" w:eastAsia="Arial" w:hAnsi="Arial"/>
          <w:b/>
          <w:bCs/>
          <w:color w:val="1F4E79"/>
          <w:sz w:val="26"/>
          <w:szCs w:val="26"/>
        </w:rPr>
        <w:t xml:space="preserve">Why This Does Not Foreclose Microsoft</w:t>
      </w:r>
    </w:p>
    <w:p>
      <w:pPr>
        <w:spacing w:after="60" w:before="60"/>
      </w:pPr>
      <w:r>
        <w:rPr>
          <w:rFonts w:ascii="Arial" w:cs="Arial" w:eastAsia="Arial" w:hAnsi="Arial"/>
          <w:b w:val="false"/>
          <w:bCs w:val="false"/>
          <w:i w:val="false"/>
          <w:iCs w:val="false"/>
          <w:color w:val="1A1A1A"/>
          <w:sz w:val="20"/>
          <w:szCs w:val="20"/>
        </w:rPr>
        <w:t xml:space="preserve">The choice of Google Cloud for ILS Phase 0 and Phase 1 is explicitly compatible with SHRM's broader Microsoft relationships and any future strategic shift toward Microsoft at the enterprise level: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Distribution is multi-platform by design: </w:t>
      </w:r>
      <w:r>
        <w:rPr>
          <w:rFonts w:ascii="Arial" w:cs="Arial" w:eastAsia="Arial" w:hAnsi="Arial"/>
          <w:b w:val="false"/>
          <w:bCs w:val="false"/>
          <w:i w:val="false"/>
          <w:iCs w:val="false"/>
          <w:color w:val="1A1A1A"/>
          <w:sz w:val="20"/>
          <w:szCs w:val="20"/>
        </w:rPr>
        <w:t xml:space="preserve">ILS outputs surface into Microsoft Copilot and M365 through Copilot Studio agent authoring. The backend producing those assets does not need to be Microsoft-native for the distribution channel to work. A React front end and Supabase data layer connect to Copilot the same way they connect to ChatGPT, Gemini, or enterprise HRIS APIs.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Fabric has legitimate Phase 2 roles: </w:t>
      </w:r>
      <w:r>
        <w:rPr>
          <w:rFonts w:ascii="Arial" w:cs="Arial" w:eastAsia="Arial" w:hAnsi="Arial"/>
          <w:b w:val="false"/>
          <w:bCs w:val="false"/>
          <w:i w:val="false"/>
          <w:iCs w:val="false"/>
          <w:color w:val="1A1A1A"/>
          <w:sz w:val="20"/>
          <w:szCs w:val="20"/>
        </w:rPr>
        <w:t xml:space="preserve">Microsoft Fabric is the right platform for specific integration work downstream — most clearly, VoW Synthetic Phase 2 behavioral touchpoint unification, which rides CGI's existing Fabric roadmap investment rather than duplicating it. ILS does not reject Fabric; it defers Fabric to where Fabric solves the actual problem.</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Assets migrate if strategy shifts: </w:t>
      </w:r>
      <w:r>
        <w:rPr>
          <w:rFonts w:ascii="Arial" w:cs="Arial" w:eastAsia="Arial" w:hAnsi="Arial"/>
          <w:b w:val="false"/>
          <w:bCs w:val="false"/>
          <w:i w:val="false"/>
          <w:iCs w:val="false"/>
          <w:color w:val="1A1A1A"/>
          <w:sz w:val="20"/>
          <w:szCs w:val="20"/>
        </w:rPr>
        <w:t xml:space="preserve">If SHRM determines at some future point that a fuller Microsoft commitment is strategically correct, the computational assets ILS produces — vectorized corpora, scoring logic, benchmark populations, reasoning graphs — migrate to Azure and Fabric environments. The portability principle means the catalyst work done on GCP is not stranded if the enterprise stack moves.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Enterprise customer integration is platform-neutral: </w:t>
      </w:r>
      <w:r>
        <w:rPr>
          <w:rFonts w:ascii="Arial" w:cs="Arial" w:eastAsia="Arial" w:hAnsi="Arial"/>
          <w:b w:val="false"/>
          <w:bCs w:val="false"/>
          <w:i w:val="false"/>
          <w:iCs w:val="false"/>
          <w:color w:val="1A1A1A"/>
          <w:sz w:val="20"/>
          <w:szCs w:val="20"/>
        </w:rPr>
        <w:t xml:space="preserve">Hub customers on Workday, SAP SuccessFactors, or Microsoft-centric HRIS environments access the same API-delivered intelligence regardless of where the intelligence is produced. The backend choice is invisible to the enterprise buyer.</w:t>
      </w:r>
    </w:p>
    <w:p>
      <w:pPr>
        <w:pBdr>
          <w:bottom w:val="single" w:color="2E75B6" w:sz="6" w:space="1"/>
        </w:pBdr>
        <w:spacing w:after="80" w:before="220"/>
      </w:pPr>
      <w:r>
        <w:rPr>
          <w:rFonts w:ascii="Arial" w:cs="Arial" w:eastAsia="Arial" w:hAnsi="Arial"/>
          <w:b/>
          <w:bCs/>
          <w:color w:val="1F4E79"/>
          <w:sz w:val="26"/>
          <w:szCs w:val="26"/>
        </w:rPr>
        <w:t xml:space="preserve">Model Agnosticism as Strategic Capability</w:t>
      </w:r>
    </w:p>
    <w:p>
      <w:pPr>
        <w:spacing w:after="60" w:before="60"/>
      </w:pPr>
      <w:r>
        <w:rPr>
          <w:rFonts w:ascii="Arial" w:cs="Arial" w:eastAsia="Arial" w:hAnsi="Arial"/>
          <w:b w:val="false"/>
          <w:bCs w:val="false"/>
          <w:i w:val="false"/>
          <w:iCs w:val="false"/>
          <w:color w:val="1A1A1A"/>
          <w:sz w:val="20"/>
          <w:szCs w:val="20"/>
        </w:rPr>
        <w:t xml:space="preserve">Model agnosticism is not just a technical preference — it is a structural capability that determines whether SHRM's computational authority keeps pace with an AI landscape that reshuffles its own leaders every six to twelve months. No single frontier model wins every category. Claude leads on complex reasoning; Gemini leads on multimodal analysis; GPT family leads on general-purpose versatility; open-source leads on sovereignty and cost; specialized tabular models lead on the statistical workloads HR-X and VoW depend on. A function whose job is to convert SHRM's authority into computational assets cannot credibly do that job from inside one vendor's walled garden.</w:t>
      </w:r>
    </w:p>
    <w:p>
      <w:pPr>
        <w:spacing w:after="60" w:before="60"/>
      </w:pPr>
      <w:r>
        <w:rPr>
          <w:rFonts w:ascii="Arial" w:cs="Arial" w:eastAsia="Arial" w:hAnsi="Arial"/>
          <w:b w:val="false"/>
          <w:bCs w:val="false"/>
          <w:i w:val="false"/>
          <w:iCs w:val="false"/>
          <w:color w:val="1A1A1A"/>
          <w:sz w:val="20"/>
          <w:szCs w:val="20"/>
        </w:rPr>
        <w:t xml:space="preserve">Two architectural patterns make agnosticism load-bearing rather than aspirational: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Model Garden: </w:t>
      </w:r>
      <w:r>
        <w:rPr>
          <w:rFonts w:ascii="Arial" w:cs="Arial" w:eastAsia="Arial" w:hAnsi="Arial"/>
          <w:b w:val="false"/>
          <w:bCs w:val="false"/>
          <w:i w:val="false"/>
          <w:iCs w:val="false"/>
          <w:color w:val="1A1A1A"/>
          <w:sz w:val="20"/>
          <w:szCs w:val="20"/>
        </w:rPr>
        <w:t xml:space="preserve">A curated collection of vetted models available for task-appropriate routing. Simple classification queries route to small language models at a fraction of frontier-model cost. Complex policy reasoning routes to Claude. Multimodal assessment evidence routes to Gemini. Tabular benchmarking routes to TabNet or TabPFN. The architecture matches the model to the job.</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Model Council: </w:t>
      </w:r>
      <w:r>
        <w:rPr>
          <w:rFonts w:ascii="Arial" w:cs="Arial" w:eastAsia="Arial" w:hAnsi="Arial"/>
          <w:b w:val="false"/>
          <w:bCs w:val="false"/>
          <w:i w:val="false"/>
          <w:iCs w:val="false"/>
          <w:color w:val="1A1A1A"/>
          <w:sz w:val="20"/>
          <w:szCs w:val="20"/>
        </w:rPr>
        <w:t xml:space="preserve">An orchestration pattern where multiple models weigh in on a single task — one generates, another verifies, a third audits for consistency with BASK standards. Particularly valuable for KCDE compliance reasoning and VoW Synthetic validation where accuracy is load-bearing. A model council delivers higher-quality outputs than any single model could, and it is only possible in an agnostic environment.</w:t>
      </w:r>
    </w:p>
    <w:p>
      <w:pPr>
        <w:spacing w:after="60" w:before="60"/>
      </w:pPr>
      <w:r>
        <w:rPr>
          <w:rFonts w:ascii="Arial" w:cs="Arial" w:eastAsia="Arial" w:hAnsi="Arial"/>
          <w:b w:val="false"/>
          <w:bCs w:val="false"/>
          <w:i w:val="false"/>
          <w:iCs w:val="false"/>
          <w:color w:val="1A1A1A"/>
          <w:sz w:val="20"/>
          <w:szCs w:val="20"/>
        </w:rPr>
        <w:t xml:space="preserve">An all-Microsoft stack materially constrains this. Copilot Studio is optimized for GPT-family models via Azure OpenAI; while other models are technically reachable through API calls, the native orchestration, evaluation frameworks, observability, and development experience are tuned for a single-vendor path. Building ILS on Copilot Studio would make Claude, Gemini, open-source, and specialized models second-class citizens by construction — usable, but not first-class. Vertex AI's Model Garden is currently the only major enterprise cloud environment that treats model diversity as a native capability, which is why GCP is the right Phase 0 / Phase 1 environment for a function whose core capability depends on routing work to the best available model for each task.</w:t>
      </w:r>
    </w:p>
    <w:p>
      <w:pPr>
        <w:spacing w:after="60" w:before="60"/>
      </w:pPr>
      <w:r>
        <w:rPr>
          <w:rFonts w:ascii="Arial" w:cs="Arial" w:eastAsia="Arial" w:hAnsi="Arial"/>
          <w:b w:val="false"/>
          <w:bCs w:val="false"/>
          <w:i/>
          <w:iCs/>
          <w:color w:val="1A1A1A"/>
          <w:sz w:val="20"/>
          <w:szCs w:val="20"/>
        </w:rPr>
        <w:t xml:space="preserve">Lock-in would be premature at best and detrimental at worst. Premature because we cannot yet know which model families will dominate the next eighteen months of enterprise AI. Detrimental because SHRM's computational authority depends on accuracy — and accuracy is achieved through diverse architectures and multi-model validation, not through single-provider convenience.</w:t>
      </w:r>
    </w:p>
    <w:p>
      <w:pPr>
        <w:pBdr>
          <w:bottom w:val="single" w:color="2E75B6" w:sz="6" w:space="1"/>
        </w:pBdr>
        <w:spacing w:after="80" w:before="220"/>
      </w:pPr>
      <w:r>
        <w:rPr>
          <w:rFonts w:ascii="Arial" w:cs="Arial" w:eastAsia="Arial" w:hAnsi="Arial"/>
          <w:b/>
          <w:bCs/>
          <w:color w:val="1F4E79"/>
          <w:sz w:val="26"/>
          <w:szCs w:val="26"/>
        </w:rPr>
        <w:t xml:space="preserve">The Proprietary Intelligence Boundary</w:t>
      </w:r>
    </w:p>
    <w:p>
      <w:pPr>
        <w:spacing w:after="60" w:before="60"/>
      </w:pPr>
      <w:r>
        <w:rPr>
          <w:rFonts w:ascii="Arial" w:cs="Arial" w:eastAsia="Arial" w:hAnsi="Arial"/>
          <w:b w:val="false"/>
          <w:bCs w:val="false"/>
          <w:i w:val="false"/>
          <w:iCs w:val="false"/>
          <w:color w:val="1A1A1A"/>
          <w:sz w:val="20"/>
          <w:szCs w:val="20"/>
        </w:rPr>
        <w:t xml:space="preserve">One architectural principle remains non-negotiable regardless of the underlying platform: SHRM's core IP — the scoring engine, vectorized BASK corpus, benchmark panel, VoW Synthetic infrastructure — resides inside a SHRM-controlled environment and is accessed via API only. No SHRM proprietary asset is stored in a vendor platform or exposed to third-party infrastructure. This is enforceable on GCP through IAM policies, VPC Service Controls, and data export restrictions. It would be enforceable on Azure equivalently through Microsoft's governance tools. The boundary is architectural, not platform-specific.</w:t>
      </w:r>
    </w:p>
    <w:p>
      <w:pPr>
        <w:spacing w:after="60" w:before="60"/>
      </w:pPr>
      <w:r>
        <w:rPr>
          <w:rFonts w:ascii="Arial" w:cs="Arial" w:eastAsia="Arial" w:hAnsi="Arial"/>
          <w:b w:val="false"/>
          <w:bCs w:val="false"/>
          <w:i w:val="false"/>
          <w:iCs w:val="false"/>
          <w:color w:val="1A1A1A"/>
          <w:sz w:val="20"/>
          <w:szCs w:val="20"/>
        </w:rPr>
        <w:t xml:space="preserve">The same boundary extends to customer-confidential data held within the HR-X Solutions Hub — tenant isolation, encryption at rest and in transit, customer-managed encryption keys (Tier 3 option), and strict exclusion from model training pipelines ensure customer data never commingles with SHRM's proprietary intelligence or with other customers' data. Authentication flows through Microsoft Entra ID; security posture matches standard enterprise SaaS customer expectations.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EBF3FB" w:val="clear"/>
            <w:tcMar>
              <w:top w:type="dxa" w:w="140"/>
              <w:left w:type="dxa" w:w="200"/>
              <w:bottom w:type="dxa" w:w="140"/>
              <w:right w:type="dxa" w:w="200"/>
            </w:tcMar>
          </w:tcPr>
          <w:p>
            <w:pPr>
              <w:spacing w:after="60" w:before="0"/>
            </w:pPr>
            <w:r>
              <w:rPr>
                <w:rFonts w:ascii="Arial" w:cs="Arial" w:eastAsia="Arial" w:hAnsi="Arial"/>
                <w:b/>
                <w:bCs/>
                <w:color w:val="1F4E79"/>
                <w:sz w:val="22"/>
                <w:szCs w:val="22"/>
              </w:rPr>
              <w:t xml:space="preserve">Technology Autonomy in One Sentence</w:t>
            </w:r>
          </w:p>
          <w:p>
            <w:r>
              <w:rPr>
                <w:rFonts w:ascii="Arial" w:cs="Arial" w:eastAsia="Arial" w:hAnsi="Arial"/>
                <w:color w:val="1A1A1A"/>
                <w:sz w:val="20"/>
                <w:szCs w:val="20"/>
              </w:rPr>
              <w:t xml:space="preserve">ILS operates on Google Cloud today because it is the right environment for catalyst work at this stage; the assets produced remain portable across any enterprise technology stack SHRM may adopt in the future, including a deeper Microsoft commitment, and specific Phase 2 integrations (like VoW Synthetic touchpoint unification on Fabric) are already planned for the Microsoft environment where Microsoft is the correct answer.</w:t>
            </w:r>
          </w:p>
        </w:tc>
      </w:tr>
    </w:tbl>
    <w:p>
      <w:r>
        <w:br w:type="page"/>
      </w:r>
    </w:p>
    <w:p>
      <w:pPr>
        <w:pBdr>
          <w:bottom w:val="single" w:color="1F4E79" w:sz="8" w:space="2"/>
        </w:pBdr>
        <w:spacing w:after="120" w:before="320"/>
      </w:pPr>
      <w:r>
        <w:rPr>
          <w:rFonts w:ascii="Arial" w:cs="Arial" w:eastAsia="Arial" w:hAnsi="Arial"/>
          <w:b/>
          <w:bCs/>
          <w:color w:val="1F4E79"/>
          <w:sz w:val="32"/>
          <w:szCs w:val="32"/>
        </w:rPr>
        <w:t xml:space="preserve">10. Risk Mitigation &amp; Guardrails</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University Validation: </w:t>
      </w:r>
      <w:r>
        <w:rPr>
          <w:rFonts w:ascii="Arial" w:cs="Arial" w:eastAsia="Arial" w:hAnsi="Arial"/>
          <w:b w:val="false"/>
          <w:bCs w:val="false"/>
          <w:i w:val="false"/>
          <w:iCs w:val="false"/>
          <w:color w:val="1A1A1A"/>
          <w:sz w:val="20"/>
          <w:szCs w:val="20"/>
        </w:rPr>
        <w:t xml:space="preserve">High-stakes logic referred to University Nodes for academic Seal of Quality before public release. Triple-gate review (technical, practitioner, commercial).</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Investment Exposure Control: </w:t>
      </w:r>
      <w:r>
        <w:rPr>
          <w:rFonts w:ascii="Arial" w:cs="Arial" w:eastAsia="Arial" w:hAnsi="Arial"/>
          <w:b w:val="false"/>
          <w:bCs w:val="false"/>
          <w:i w:val="false"/>
          <w:iCs w:val="false"/>
          <w:color w:val="1A1A1A"/>
          <w:sz w:val="20"/>
          <w:szCs w:val="20"/>
        </w:rPr>
        <w:t xml:space="preserve">Strict investment cascade — each phase gate ($80K combined KCDE/VoW, plus $75K Hub Phase 0 offset within the first year by ~$487K in avoided annual vendor platform fees) must clear before the next tranche commits. Maximum sunk cost before board decision: $80K.</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Proprietary Intelligence Boundary: </w:t>
      </w:r>
      <w:r>
        <w:rPr>
          <w:rFonts w:ascii="Arial" w:cs="Arial" w:eastAsia="Arial" w:hAnsi="Arial"/>
          <w:b w:val="false"/>
          <w:bCs w:val="false"/>
          <w:i w:val="false"/>
          <w:iCs w:val="false"/>
          <w:color w:val="1A1A1A"/>
          <w:sz w:val="20"/>
          <w:szCs w:val="20"/>
        </w:rPr>
        <w:t xml:space="preserve">SHRM's core IP never resides in vendor platforms. GCP IAM and VPC Service Controls enforce the boundary architecturally.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Platform Authority: </w:t>
      </w:r>
      <w:r>
        <w:rPr>
          <w:rFonts w:ascii="Arial" w:cs="Arial" w:eastAsia="Arial" w:hAnsi="Arial"/>
          <w:b w:val="false"/>
          <w:bCs w:val="false"/>
          <w:i w:val="false"/>
          <w:iCs w:val="false"/>
          <w:color w:val="1A1A1A"/>
          <w:sz w:val="20"/>
          <w:szCs w:val="20"/>
        </w:rPr>
        <w:t xml:space="preserve">GCP confirmed as ILS infrastructure platform under ILS operational authority — ensures no mid-build governance disruption. CGI/IT scope limited to production deployment and security review, not development.</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AI Draft / Human Approval: </w:t>
      </w:r>
      <w:r>
        <w:rPr>
          <w:rFonts w:ascii="Arial" w:cs="Arial" w:eastAsia="Arial" w:hAnsi="Arial"/>
          <w:b w:val="false"/>
          <w:bCs w:val="false"/>
          <w:i w:val="false"/>
          <w:iCs w:val="false"/>
          <w:color w:val="1A1A1A"/>
          <w:sz w:val="20"/>
          <w:szCs w:val="20"/>
        </w:rPr>
        <w:t xml:space="preserve">All customer-facing narratives generated by AI pass through human review before delivery. Brand and reputational risk contained.</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Graduation Commitment: </w:t>
      </w:r>
      <w:r>
        <w:rPr>
          <w:rFonts w:ascii="Arial" w:cs="Arial" w:eastAsia="Arial" w:hAnsi="Arial"/>
          <w:b w:val="false"/>
          <w:bCs w:val="false"/>
          <w:i w:val="false"/>
          <w:iCs w:val="false"/>
          <w:color w:val="1A1A1A"/>
          <w:sz w:val="20"/>
          <w:szCs w:val="20"/>
        </w:rPr>
        <w:t xml:space="preserve">Every ILS initiative has defined transition to Product Management post-MVP. ILS is not a parallel product organization.</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Security Review: </w:t>
      </w:r>
      <w:r>
        <w:rPr>
          <w:rFonts w:ascii="Arial" w:cs="Arial" w:eastAsia="Arial" w:hAnsi="Arial"/>
          <w:b w:val="false"/>
          <w:bCs w:val="false"/>
          <w:i w:val="false"/>
          <w:iCs w:val="false"/>
          <w:color w:val="1A1A1A"/>
          <w:sz w:val="20"/>
          <w:szCs w:val="20"/>
        </w:rPr>
        <w:t xml:space="preserve">Innovation (Studio Sandbox) — Security Review (IT/Legal) — Enterprise Deployment. Standard SOC2 pathway preserved.</w:t>
      </w:r>
    </w:p>
    <w:p>
      <w:r>
        <w:br w:type="page"/>
      </w:r>
    </w:p>
    <w:p>
      <w:pPr>
        <w:pBdr>
          <w:bottom w:val="single" w:color="1F4E79" w:sz="8" w:space="2"/>
        </w:pBdr>
        <w:spacing w:after="120" w:before="320"/>
      </w:pPr>
      <w:r>
        <w:rPr>
          <w:rFonts w:ascii="Arial" w:cs="Arial" w:eastAsia="Arial" w:hAnsi="Arial"/>
          <w:b/>
          <w:bCs/>
          <w:color w:val="1F4E79"/>
          <w:sz w:val="32"/>
          <w:szCs w:val="32"/>
        </w:rPr>
        <w:t xml:space="preserve">11. Conclusion: Authority as Infrastructure</w:t>
      </w:r>
    </w:p>
    <w:p>
      <w:pPr>
        <w:spacing w:after="60" w:before="60"/>
      </w:pPr>
      <w:r>
        <w:rPr>
          <w:rFonts w:ascii="Arial" w:cs="Arial" w:eastAsia="Arial" w:hAnsi="Arial"/>
          <w:b w:val="false"/>
          <w:bCs w:val="false"/>
          <w:i w:val="false"/>
          <w:iCs w:val="false"/>
          <w:color w:val="1A1A1A"/>
          <w:sz w:val="20"/>
          <w:szCs w:val="20"/>
        </w:rPr>
        <w:t xml:space="preserve">SHRM stands at a structural inflection point. The HR profession's decision-making is migrating to AI interfaces faster than any institutional response has yet anticipated. Peer institutions — Thomson Reuters, AICPA, BSI — have already pivoted from content to computation. The window for SHRM to establish comparable authority is open, but not indefinitely.</w:t>
      </w:r>
    </w:p>
    <w:p>
      <w:pPr>
        <w:spacing w:after="60" w:before="60"/>
      </w:pPr>
      <w:r>
        <w:rPr>
          <w:rFonts w:ascii="Arial" w:cs="Arial" w:eastAsia="Arial" w:hAnsi="Arial"/>
          <w:b w:val="false"/>
          <w:bCs w:val="false"/>
          <w:i w:val="false"/>
          <w:iCs w:val="false"/>
          <w:color w:val="1A1A1A"/>
          <w:sz w:val="20"/>
          <w:szCs w:val="20"/>
        </w:rPr>
        <w:t xml:space="preserve">The HR-X Solutions Hub is the commercial vehicle that meets this moment at the enterprise layer. The Intelligence Layer Studio is the infrastructure engine that makes the Hub defensible, scalable, and uniquely SHRM over time. Funded together, they move SHRM from the page to the processor — from a publisher of professional guidance to a provider of computational authority embedded where HR decisions actually happen.</w:t>
      </w:r>
    </w:p>
    <w:p>
      <w:pPr>
        <w:spacing w:after="60" w:before="60"/>
      </w:pPr>
      <w:r>
        <w:rPr>
          <w:rFonts w:ascii="Arial" w:cs="Arial" w:eastAsia="Arial" w:hAnsi="Arial"/>
          <w:b w:val="false"/>
          <w:bCs w:val="false"/>
          <w:i w:val="false"/>
          <w:iCs w:val="false"/>
          <w:color w:val="1A1A1A"/>
          <w:sz w:val="20"/>
          <w:szCs w:val="20"/>
        </w:rPr>
        <w:t xml:space="preserve">The ask is specific, gated, and proportional. Phase 0 carries $80K maximum exposure before a board-level decision. The Hub's $75K build is offset within the first year by approximately $487K in avoided annual vendor platform fees — an ongoing operating cost savings that scales with enterprise market growth. The dynamic hybrid build model — select SHRM staff partnered with AI and innovation freelance consultants — moves fast without drawing on current IT initiative capacity. GCP as the platform resolves infrastructure governance without triggering new procurement. Each gate earns the next.</w:t>
      </w:r>
    </w:p>
    <w:p>
      <w:pPr>
        <w:spacing w:after="60" w:before="80"/>
      </w:pPr>
      <w:r>
        <w:rPr>
          <w:rFonts w:ascii="Arial" w:cs="Arial" w:eastAsia="Arial" w:hAnsi="Arial"/>
          <w:b/>
          <w:bCs/>
          <w:i w:val="false"/>
          <w:iCs w:val="false"/>
          <w:color w:val="1A1A1A"/>
          <w:sz w:val="20"/>
          <w:szCs w:val="20"/>
        </w:rPr>
        <w:t xml:space="preserve">The recommendation is to approve the integrated initiative — HR-X Solutions Hub as lead, ILS as the engine underneath — and authorize Phase 0 activation immediately. SHRM26 is the commercial launch milestone. Every quarter lost is a quarter where competing standards become defaults.</w:t>
      </w:r>
    </w:p>
    <w:p>
      <w:r>
        <w:t xml:space="preserve"/>
      </w:r>
    </w:p>
    <w:p>
      <w:r>
        <w:t xml:space="preserve"/>
      </w:r>
    </w:p>
    <w:p>
      <w:pPr>
        <w:spacing w:after="60" w:before="120"/>
      </w:pPr>
      <w:r>
        <w:rPr>
          <w:rFonts w:ascii="Arial" w:cs="Arial" w:eastAsia="Arial" w:hAnsi="Arial"/>
          <w:b w:val="false"/>
          <w:bCs w:val="false"/>
          <w:i/>
          <w:iCs/>
          <w:color w:val="1A1A1A"/>
          <w:sz w:val="20"/>
          <w:szCs w:val="20"/>
        </w:rPr>
        <w:t xml:space="preserve">Supporting documents:</w:t>
      </w:r>
    </w:p>
    <w:p>
      <w:pPr>
        <w:spacing w:after="60" w:before="60"/>
      </w:pPr>
      <w:r>
        <w:rPr>
          <w:rFonts w:ascii="Arial" w:cs="Arial" w:eastAsia="Arial" w:hAnsi="Arial"/>
          <w:b w:val="false"/>
          <w:bCs w:val="false"/>
          <w:i/>
          <w:iCs/>
          <w:color w:val="1A1A1A"/>
          <w:sz w:val="20"/>
          <w:szCs w:val="20"/>
        </w:rPr>
        <w:t xml:space="preserve">— ILS P&amp;L Model v3 (Excel): full financial detail, assumptions, line-item source attribution</w:t>
      </w:r>
    </w:p>
    <w:p>
      <w:pPr>
        <w:spacing w:after="60" w:before="60"/>
      </w:pPr>
      <w:r>
        <w:rPr>
          <w:rFonts w:ascii="Arial" w:cs="Arial" w:eastAsia="Arial" w:hAnsi="Arial"/>
          <w:b w:val="false"/>
          <w:bCs w:val="false"/>
          <w:i/>
          <w:iCs/>
          <w:color w:val="1A1A1A"/>
          <w:sz w:val="20"/>
          <w:szCs w:val="20"/>
        </w:rPr>
        <w:t xml:space="preserve">— ILS Business Case v3: Executive Team funding request in formal business case format</w:t>
      </w:r>
    </w:p>
    <w:p>
      <w:pPr>
        <w:spacing w:after="60" w:before="60"/>
      </w:pPr>
      <w:r>
        <w:rPr>
          <w:rFonts w:ascii="Arial" w:cs="Arial" w:eastAsia="Arial" w:hAnsi="Arial"/>
          <w:b w:val="false"/>
          <w:bCs w:val="false"/>
          <w:i/>
          <w:iCs/>
          <w:color w:val="1A1A1A"/>
          <w:sz w:val="20"/>
          <w:szCs w:val="20"/>
        </w:rPr>
        <w:t xml:space="preserve">— HR-X Solutions Hub Specification v4: detailed product architecture and implementation roadmap</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2026-04-23T16:37:27.247Z</dcterms:created>
  <dcterms:modified xsi:type="dcterms:W3CDTF">2026-04-23T16:37:27.248Z</dcterms:modified>
</cp:coreProperties>
</file>

<file path=docProps/custom.xml><?xml version="1.0" encoding="utf-8"?>
<Properties xmlns="http://schemas.openxmlformats.org/officeDocument/2006/custom-properties" xmlns:vt="http://schemas.openxmlformats.org/officeDocument/2006/docPropsVTypes"/>
</file>