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yaapn3q24asc" w:id="0"/>
      <w:bookmarkEnd w:id="0"/>
      <w:r w:rsidDel="00000000" w:rsidR="00000000" w:rsidRPr="00000000">
        <w:rPr/>
        <w:t xml:space="preserve">inductive sensor detection 8mm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werk spanning: 10-36V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max schakel stroom 200mA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detectie range 0-8mm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connectoren: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Bruin is plus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Zwart is schakelcontact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Blauw is 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grootte: ongeveer 6,5 cm lang en een dikte van 1,8 cm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gewicht: 115 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From: d</w:t>
      </w:r>
      <w:hyperlink r:id="rId5">
        <w:r w:rsidDel="00000000" w:rsidR="00000000" w:rsidRPr="00000000">
          <w:rPr>
            <w:color w:val="1155cc"/>
            <w:u w:val="single"/>
          </w:rPr>
          <w:t xml:space="preserve">http://www.samenkopen.net/action_product/830065/380859</w:t>
        </w:r>
      </w:hyperlink>
      <w:r w:rsidDel="00000000" w:rsidR="00000000" w:rsidRPr="00000000">
        <w:rPr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www.samenkopen.net/action_product/830065/380859" TargetMode="External"/></Relationships>
</file>