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9B80C" w14:textId="4814DEB3" w:rsidR="001E68A9" w:rsidRPr="00DC550F" w:rsidRDefault="001E68A9" w:rsidP="001E68A9">
      <w:pPr>
        <w:widowControl w:val="0"/>
        <w:autoSpaceDE w:val="0"/>
        <w:autoSpaceDN w:val="0"/>
        <w:adjustRightInd w:val="0"/>
        <w:spacing w:after="240" w:line="360" w:lineRule="atLeast"/>
        <w:jc w:val="both"/>
        <w:rPr>
          <w:rFonts w:ascii="Times New Roman" w:hAnsi="Times New Roman" w:cs="Times New Roman"/>
          <w:b/>
          <w:color w:val="000000" w:themeColor="text1"/>
          <w:u w:val="single"/>
        </w:rPr>
      </w:pPr>
      <w:proofErr w:type="gramStart"/>
      <w:r w:rsidRPr="00DC550F">
        <w:rPr>
          <w:rFonts w:ascii="Times New Roman" w:hAnsi="Times New Roman" w:cs="Times New Roman"/>
          <w:b/>
          <w:color w:val="000000" w:themeColor="text1"/>
          <w:u w:val="single"/>
        </w:rPr>
        <w:t xml:space="preserve">The latest developments in the law on apparent authority </w:t>
      </w:r>
      <w:r w:rsidR="00F05BDE">
        <w:rPr>
          <w:rFonts w:ascii="Times New Roman" w:hAnsi="Times New Roman" w:cs="Times New Roman"/>
          <w:b/>
          <w:color w:val="000000" w:themeColor="text1"/>
          <w:u w:val="single"/>
        </w:rPr>
        <w:t xml:space="preserve">to </w:t>
      </w:r>
      <w:bookmarkStart w:id="0" w:name="_GoBack"/>
      <w:bookmarkEnd w:id="0"/>
      <w:r w:rsidRPr="00DC550F">
        <w:rPr>
          <w:rFonts w:ascii="Times New Roman" w:hAnsi="Times New Roman" w:cs="Times New Roman"/>
          <w:b/>
          <w:color w:val="000000" w:themeColor="text1"/>
          <w:u w:val="single"/>
        </w:rPr>
        <w:t>enable an agent to make representations about their authority to the third party.</w:t>
      </w:r>
      <w:proofErr w:type="gramEnd"/>
      <w:r w:rsidRPr="00DC550F">
        <w:rPr>
          <w:rFonts w:ascii="Times New Roman" w:hAnsi="Times New Roman" w:cs="Times New Roman"/>
          <w:b/>
          <w:color w:val="000000" w:themeColor="text1"/>
          <w:u w:val="single"/>
        </w:rPr>
        <w:t xml:space="preserve"> Discuss </w:t>
      </w:r>
    </w:p>
    <w:p w14:paraId="5FB6A562" w14:textId="77777777" w:rsidR="001E68A9" w:rsidRPr="00DC550F" w:rsidRDefault="001E68A9" w:rsidP="001E68A9">
      <w:pPr>
        <w:jc w:val="both"/>
        <w:rPr>
          <w:rFonts w:ascii="Times New Roman" w:hAnsi="Times New Roman" w:cs="Times New Roman"/>
          <w:color w:val="000000" w:themeColor="text1"/>
        </w:rPr>
      </w:pPr>
    </w:p>
    <w:p w14:paraId="7CF398B5" w14:textId="1ED39AB2" w:rsidR="001E68A9" w:rsidRPr="00DC550F" w:rsidRDefault="005759BA" w:rsidP="001E68A9">
      <w:pPr>
        <w:spacing w:line="360" w:lineRule="auto"/>
        <w:jc w:val="both"/>
        <w:rPr>
          <w:rFonts w:ascii="Times New Roman" w:hAnsi="Times New Roman" w:cs="Times New Roman"/>
          <w:color w:val="000000" w:themeColor="text1"/>
          <w:u w:val="single"/>
        </w:rPr>
      </w:pPr>
      <w:r w:rsidRPr="00DC550F">
        <w:rPr>
          <w:rFonts w:ascii="Times New Roman" w:hAnsi="Times New Roman" w:cs="Times New Roman"/>
          <w:color w:val="000000" w:themeColor="text1"/>
          <w:u w:val="single"/>
        </w:rPr>
        <w:t>Introduction</w:t>
      </w:r>
    </w:p>
    <w:p w14:paraId="28365E7A" w14:textId="2491CFFE"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The latest developments in the law on apparent authority have divided commentators, encouraging much academic debate. Some argue against the developments as they completely abandon the doctrine of apparent authority (DOAA).</w:t>
      </w:r>
      <w:r w:rsidRPr="00DC550F">
        <w:rPr>
          <w:rStyle w:val="FootnoteReference"/>
          <w:rFonts w:ascii="Times New Roman" w:hAnsi="Times New Roman" w:cs="Times New Roman"/>
          <w:color w:val="000000" w:themeColor="text1"/>
        </w:rPr>
        <w:footnoteReference w:id="1"/>
      </w:r>
      <w:r w:rsidRPr="00DC550F">
        <w:rPr>
          <w:rFonts w:ascii="Times New Roman" w:hAnsi="Times New Roman" w:cs="Times New Roman"/>
          <w:color w:val="000000" w:themeColor="text1"/>
        </w:rPr>
        <w:t xml:space="preserve"> Such commentators would suggest that allowing an agent to make representations is unfavourable as it imposes unwarranted liability upon a principal. </w:t>
      </w:r>
      <w:r w:rsidR="00F16406" w:rsidRPr="00DC550F">
        <w:rPr>
          <w:rFonts w:ascii="Times New Roman" w:hAnsi="Times New Roman" w:cs="Times New Roman"/>
          <w:color w:val="000000" w:themeColor="text1"/>
        </w:rPr>
        <w:t>In contrast</w:t>
      </w:r>
      <w:r w:rsidR="002E31A0" w:rsidRPr="00DC550F">
        <w:rPr>
          <w:rFonts w:ascii="Times New Roman" w:hAnsi="Times New Roman" w:cs="Times New Roman"/>
          <w:color w:val="000000" w:themeColor="text1"/>
        </w:rPr>
        <w:t>,</w:t>
      </w:r>
      <w:r w:rsidRPr="00DC550F">
        <w:rPr>
          <w:rFonts w:ascii="Times New Roman" w:hAnsi="Times New Roman" w:cs="Times New Roman"/>
          <w:color w:val="000000" w:themeColor="text1"/>
        </w:rPr>
        <w:t xml:space="preserve"> others welcome the developments as the orthodox principles do not accommodate all situations</w:t>
      </w:r>
      <w:r w:rsidRPr="00DC550F">
        <w:rPr>
          <w:rStyle w:val="FootnoteReference"/>
          <w:rFonts w:ascii="Times New Roman" w:hAnsi="Times New Roman" w:cs="Times New Roman"/>
          <w:color w:val="000000" w:themeColor="text1"/>
        </w:rPr>
        <w:footnoteReference w:id="2"/>
      </w:r>
      <w:r w:rsidR="002E31A0" w:rsidRPr="00DC550F">
        <w:rPr>
          <w:rFonts w:ascii="Times New Roman" w:hAnsi="Times New Roman" w:cs="Times New Roman"/>
          <w:color w:val="000000" w:themeColor="text1"/>
        </w:rPr>
        <w:t xml:space="preserve"> nor do they</w:t>
      </w:r>
      <w:r w:rsidRPr="00DC550F">
        <w:rPr>
          <w:rFonts w:ascii="Times New Roman" w:hAnsi="Times New Roman" w:cs="Times New Roman"/>
          <w:color w:val="000000" w:themeColor="text1"/>
        </w:rPr>
        <w:t xml:space="preserve"> give effect to commercial realities of agency.</w:t>
      </w:r>
      <w:r w:rsidRPr="00DC550F">
        <w:rPr>
          <w:rStyle w:val="FootnoteReference"/>
          <w:rFonts w:ascii="Times New Roman" w:hAnsi="Times New Roman" w:cs="Times New Roman"/>
          <w:color w:val="000000" w:themeColor="text1"/>
        </w:rPr>
        <w:footnoteReference w:id="3"/>
      </w:r>
      <w:r w:rsidRPr="00DC550F">
        <w:rPr>
          <w:rFonts w:ascii="Times New Roman" w:hAnsi="Times New Roman" w:cs="Times New Roman"/>
          <w:color w:val="000000" w:themeColor="text1"/>
        </w:rPr>
        <w:t xml:space="preserve"> </w:t>
      </w:r>
      <w:r w:rsidR="00FB69E1" w:rsidRPr="00DC550F">
        <w:rPr>
          <w:rFonts w:ascii="Times New Roman" w:hAnsi="Times New Roman" w:cs="Times New Roman"/>
          <w:color w:val="000000" w:themeColor="text1"/>
        </w:rPr>
        <w:t>The latest developments</w:t>
      </w:r>
      <w:r w:rsidR="008A489E" w:rsidRPr="00DC550F">
        <w:rPr>
          <w:rFonts w:ascii="Times New Roman" w:hAnsi="Times New Roman" w:cs="Times New Roman"/>
          <w:color w:val="000000" w:themeColor="text1"/>
        </w:rPr>
        <w:t xml:space="preserve"> do</w:t>
      </w:r>
      <w:r w:rsidR="00FB69E1" w:rsidRPr="00DC550F">
        <w:rPr>
          <w:rFonts w:ascii="Times New Roman" w:hAnsi="Times New Roman" w:cs="Times New Roman"/>
          <w:color w:val="000000" w:themeColor="text1"/>
        </w:rPr>
        <w:t xml:space="preserve"> ostensibly indicate a complete abandonment of the traditional DOAA, as unauthorised agents may be allowed to </w:t>
      </w:r>
      <w:r w:rsidR="00FB69E1" w:rsidRPr="00DC550F">
        <w:rPr>
          <w:rFonts w:ascii="Times New Roman" w:hAnsi="Times New Roman" w:cs="Times New Roman"/>
          <w:i/>
          <w:color w:val="000000" w:themeColor="text1"/>
        </w:rPr>
        <w:t xml:space="preserve">enter </w:t>
      </w:r>
      <w:r w:rsidR="00FB69E1" w:rsidRPr="00DC550F">
        <w:rPr>
          <w:rFonts w:ascii="Times New Roman" w:hAnsi="Times New Roman" w:cs="Times New Roman"/>
          <w:color w:val="000000" w:themeColor="text1"/>
        </w:rPr>
        <w:t xml:space="preserve">into transactions on their principal’s behalf. However, this essay argues that in reality, these agents have been authorised to represent that their principal </w:t>
      </w:r>
      <w:r w:rsidRPr="00DC550F">
        <w:rPr>
          <w:rFonts w:ascii="Times New Roman" w:hAnsi="Times New Roman" w:cs="Times New Roman"/>
          <w:color w:val="000000" w:themeColor="text1"/>
        </w:rPr>
        <w:t xml:space="preserve">has </w:t>
      </w:r>
      <w:r w:rsidRPr="00DC550F">
        <w:rPr>
          <w:rFonts w:ascii="Times New Roman" w:hAnsi="Times New Roman" w:cs="Times New Roman"/>
          <w:i/>
          <w:color w:val="000000" w:themeColor="text1"/>
        </w:rPr>
        <w:t xml:space="preserve">approved </w:t>
      </w:r>
      <w:r w:rsidRPr="00DC550F">
        <w:rPr>
          <w:rFonts w:ascii="Times New Roman" w:hAnsi="Times New Roman" w:cs="Times New Roman"/>
          <w:color w:val="000000" w:themeColor="text1"/>
        </w:rPr>
        <w:t>a transaction.</w:t>
      </w:r>
      <w:r w:rsidRPr="00DC550F">
        <w:rPr>
          <w:rStyle w:val="FootnoteReference"/>
          <w:rFonts w:ascii="Times New Roman" w:hAnsi="Times New Roman" w:cs="Times New Roman"/>
          <w:color w:val="000000" w:themeColor="text1"/>
        </w:rPr>
        <w:footnoteReference w:id="4"/>
      </w:r>
      <w:r w:rsidRPr="00DC550F">
        <w:rPr>
          <w:rFonts w:ascii="Times New Roman" w:hAnsi="Times New Roman" w:cs="Times New Roman"/>
          <w:color w:val="000000" w:themeColor="text1"/>
        </w:rPr>
        <w:t xml:space="preserve"> It will also be</w:t>
      </w:r>
      <w:r w:rsidR="00DA20C8" w:rsidRPr="00DC550F">
        <w:rPr>
          <w:rFonts w:ascii="Times New Roman" w:hAnsi="Times New Roman" w:cs="Times New Roman"/>
          <w:color w:val="000000" w:themeColor="text1"/>
        </w:rPr>
        <w:t xml:space="preserve"> submitted</w:t>
      </w:r>
      <w:r w:rsidRPr="00DC550F">
        <w:rPr>
          <w:rFonts w:ascii="Times New Roman" w:hAnsi="Times New Roman" w:cs="Times New Roman"/>
          <w:color w:val="000000" w:themeColor="text1"/>
        </w:rPr>
        <w:t xml:space="preserve"> that the source of the agent’s apparent authority to make representations comes from the principal’s conduct</w:t>
      </w:r>
      <w:r w:rsidRPr="00DC550F">
        <w:rPr>
          <w:rStyle w:val="FootnoteReference"/>
          <w:rFonts w:ascii="Times New Roman" w:hAnsi="Times New Roman" w:cs="Times New Roman"/>
          <w:color w:val="000000" w:themeColor="text1"/>
        </w:rPr>
        <w:footnoteReference w:id="5"/>
      </w:r>
      <w:r w:rsidRPr="00DC550F">
        <w:rPr>
          <w:rFonts w:ascii="Times New Roman" w:hAnsi="Times New Roman" w:cs="Times New Roman"/>
          <w:color w:val="000000" w:themeColor="text1"/>
        </w:rPr>
        <w:t xml:space="preserve"> as agents cannot be self-authorising.</w:t>
      </w:r>
      <w:r w:rsidRPr="00DC550F">
        <w:rPr>
          <w:rStyle w:val="FootnoteReference"/>
          <w:rFonts w:ascii="Times New Roman" w:hAnsi="Times New Roman" w:cs="Times New Roman"/>
          <w:color w:val="000000" w:themeColor="text1"/>
        </w:rPr>
        <w:footnoteReference w:id="6"/>
      </w:r>
      <w:r w:rsidRPr="00DC550F">
        <w:rPr>
          <w:rFonts w:ascii="Times New Roman" w:hAnsi="Times New Roman" w:cs="Times New Roman"/>
          <w:color w:val="000000" w:themeColor="text1"/>
        </w:rPr>
        <w:t xml:space="preserve">  In order to evaluate the significance and effect of the developments, the justifications and</w:t>
      </w:r>
      <w:r w:rsidR="002E31A0"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arguments against the ‘</w:t>
      </w:r>
      <w:proofErr w:type="gramStart"/>
      <w:r w:rsidRPr="00DC550F">
        <w:rPr>
          <w:rFonts w:ascii="Times New Roman" w:hAnsi="Times New Roman" w:cs="Times New Roman"/>
          <w:color w:val="000000" w:themeColor="text1"/>
        </w:rPr>
        <w:t>divergence</w:t>
      </w:r>
      <w:proofErr w:type="gramEnd"/>
      <w:r w:rsidRPr="00DC550F">
        <w:rPr>
          <w:rFonts w:ascii="Times New Roman" w:hAnsi="Times New Roman" w:cs="Times New Roman"/>
          <w:color w:val="000000" w:themeColor="text1"/>
        </w:rPr>
        <w:t>’ from the traditional DOAA must be analysed. Furthermore, it is important to determine how far this ‘deviance’ will be applied in future litigation.</w:t>
      </w:r>
    </w:p>
    <w:p w14:paraId="48D33893" w14:textId="77777777" w:rsidR="001E68A9" w:rsidRPr="00DC550F" w:rsidRDefault="001E68A9" w:rsidP="001E68A9">
      <w:pPr>
        <w:spacing w:line="360" w:lineRule="auto"/>
        <w:jc w:val="both"/>
        <w:rPr>
          <w:rFonts w:ascii="Times New Roman" w:hAnsi="Times New Roman" w:cs="Times New Roman"/>
          <w:color w:val="000000" w:themeColor="text1"/>
        </w:rPr>
      </w:pPr>
    </w:p>
    <w:p w14:paraId="6A2E3977" w14:textId="262DA174" w:rsidR="001E68A9" w:rsidRPr="00DC550F" w:rsidRDefault="001E68A9" w:rsidP="001E68A9">
      <w:pPr>
        <w:spacing w:line="360" w:lineRule="auto"/>
        <w:jc w:val="both"/>
        <w:rPr>
          <w:rFonts w:ascii="Times New Roman" w:hAnsi="Times New Roman" w:cs="Times New Roman"/>
          <w:color w:val="000000" w:themeColor="text1"/>
          <w:u w:val="single"/>
        </w:rPr>
      </w:pPr>
      <w:r w:rsidRPr="00DC550F">
        <w:rPr>
          <w:rFonts w:ascii="Times New Roman" w:hAnsi="Times New Roman" w:cs="Times New Roman"/>
          <w:color w:val="000000" w:themeColor="text1"/>
          <w:u w:val="single"/>
        </w:rPr>
        <w:t>The Traditional D</w:t>
      </w:r>
      <w:r w:rsidR="005759BA" w:rsidRPr="00DC550F">
        <w:rPr>
          <w:rFonts w:ascii="Times New Roman" w:hAnsi="Times New Roman" w:cs="Times New Roman"/>
          <w:color w:val="000000" w:themeColor="text1"/>
          <w:u w:val="single"/>
        </w:rPr>
        <w:t>octrine</w:t>
      </w:r>
    </w:p>
    <w:p w14:paraId="0A5F70D0" w14:textId="77777777"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Under the traditional doctrine:</w:t>
      </w:r>
    </w:p>
    <w:p w14:paraId="0A77823B" w14:textId="77777777" w:rsidR="001E68A9" w:rsidRPr="00DC550F" w:rsidRDefault="001E68A9" w:rsidP="001E68A9">
      <w:pPr>
        <w:spacing w:line="360" w:lineRule="auto"/>
        <w:ind w:left="720"/>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 ‘apparent authority is created by a representation, made by the principal to the third party, that the agent has authority to enter on behalf of the principal into a contract of a kind within the scope of the "apparent" authority, [rendering] the principal liable to perform any obligations imposed upon him.’</w:t>
      </w:r>
      <w:r w:rsidRPr="00DC550F">
        <w:rPr>
          <w:rStyle w:val="FootnoteReference"/>
          <w:rFonts w:ascii="Times New Roman" w:hAnsi="Times New Roman" w:cs="Times New Roman"/>
          <w:color w:val="000000" w:themeColor="text1"/>
        </w:rPr>
        <w:footnoteReference w:id="7"/>
      </w:r>
      <w:r w:rsidRPr="00DC550F">
        <w:rPr>
          <w:rFonts w:ascii="Times New Roman" w:hAnsi="Times New Roman" w:cs="Times New Roman"/>
          <w:color w:val="000000" w:themeColor="text1"/>
        </w:rPr>
        <w:t xml:space="preserve"> </w:t>
      </w:r>
    </w:p>
    <w:p w14:paraId="25CBBA6C" w14:textId="77777777" w:rsidR="001E68A9" w:rsidRPr="00DC550F" w:rsidRDefault="001E68A9" w:rsidP="001E68A9">
      <w:pPr>
        <w:spacing w:line="360" w:lineRule="auto"/>
        <w:jc w:val="both"/>
        <w:rPr>
          <w:rFonts w:ascii="Times New Roman" w:hAnsi="Times New Roman" w:cs="Times New Roman"/>
          <w:color w:val="000000" w:themeColor="text1"/>
        </w:rPr>
      </w:pPr>
    </w:p>
    <w:p w14:paraId="13BB826D" w14:textId="5CBCA86F"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lastRenderedPageBreak/>
        <w:t xml:space="preserve">The law with regards to a representation, a key requirement under </w:t>
      </w:r>
      <w:r w:rsidRPr="00DC550F">
        <w:rPr>
          <w:rFonts w:ascii="Times New Roman" w:hAnsi="Times New Roman" w:cs="Times New Roman"/>
          <w:i/>
          <w:color w:val="000000" w:themeColor="text1"/>
        </w:rPr>
        <w:t>Rama Corporation</w:t>
      </w:r>
      <w:r w:rsidRPr="00DC550F">
        <w:rPr>
          <w:rStyle w:val="FootnoteReference"/>
          <w:rFonts w:ascii="Times New Roman" w:hAnsi="Times New Roman" w:cs="Times New Roman"/>
          <w:i/>
          <w:color w:val="000000" w:themeColor="text1"/>
        </w:rPr>
        <w:footnoteReference w:id="8"/>
      </w:r>
      <w:r w:rsidRPr="00DC550F">
        <w:rPr>
          <w:rFonts w:ascii="Times New Roman" w:hAnsi="Times New Roman" w:cs="Times New Roman"/>
          <w:color w:val="000000" w:themeColor="text1"/>
        </w:rPr>
        <w:t>, clearly stipulates that the representation is to be made by a principal or by someone with actual authority.</w:t>
      </w:r>
      <w:r w:rsidRPr="00DC550F">
        <w:rPr>
          <w:rStyle w:val="FootnoteReference"/>
          <w:rFonts w:ascii="Times New Roman" w:hAnsi="Times New Roman" w:cs="Times New Roman"/>
          <w:color w:val="000000" w:themeColor="text1"/>
        </w:rPr>
        <w:footnoteReference w:id="9"/>
      </w:r>
      <w:r w:rsidRPr="00DC550F">
        <w:rPr>
          <w:rFonts w:ascii="Times New Roman" w:hAnsi="Times New Roman" w:cs="Times New Roman"/>
          <w:color w:val="000000" w:themeColor="text1"/>
        </w:rPr>
        <w:t xml:space="preserve"> The </w:t>
      </w:r>
      <w:r w:rsidR="006D0E70" w:rsidRPr="00DC550F">
        <w:rPr>
          <w:rFonts w:ascii="Times New Roman" w:hAnsi="Times New Roman" w:cs="Times New Roman"/>
          <w:color w:val="000000" w:themeColor="text1"/>
        </w:rPr>
        <w:t>court</w:t>
      </w:r>
      <w:r w:rsidRPr="00DC550F">
        <w:rPr>
          <w:rFonts w:ascii="Times New Roman" w:hAnsi="Times New Roman" w:cs="Times New Roman"/>
          <w:color w:val="000000" w:themeColor="text1"/>
        </w:rPr>
        <w:t xml:space="preserve"> in </w:t>
      </w:r>
      <w:r w:rsidRPr="00DC550F">
        <w:rPr>
          <w:rFonts w:ascii="Times New Roman" w:hAnsi="Times New Roman" w:cs="Times New Roman"/>
          <w:i/>
          <w:color w:val="000000" w:themeColor="text1"/>
        </w:rPr>
        <w:t>Freeman</w:t>
      </w:r>
      <w:r w:rsidRPr="00DC550F">
        <w:rPr>
          <w:rStyle w:val="FootnoteReference"/>
          <w:rFonts w:ascii="Times New Roman" w:hAnsi="Times New Roman" w:cs="Times New Roman"/>
          <w:color w:val="000000" w:themeColor="text1"/>
        </w:rPr>
        <w:footnoteReference w:id="10"/>
      </w:r>
      <w:r w:rsidRPr="00DC550F">
        <w:rPr>
          <w:rFonts w:ascii="Times New Roman" w:hAnsi="Times New Roman" w:cs="Times New Roman"/>
          <w:color w:val="000000" w:themeColor="text1"/>
        </w:rPr>
        <w:t xml:space="preserve"> </w:t>
      </w:r>
      <w:r w:rsidR="006D0E70" w:rsidRPr="00DC550F">
        <w:rPr>
          <w:rFonts w:ascii="Times New Roman" w:hAnsi="Times New Roman" w:cs="Times New Roman"/>
          <w:color w:val="000000" w:themeColor="text1"/>
        </w:rPr>
        <w:t>confirm</w:t>
      </w:r>
      <w:r w:rsidR="000E6CF4" w:rsidRPr="00DC550F">
        <w:rPr>
          <w:rFonts w:ascii="Times New Roman" w:hAnsi="Times New Roman" w:cs="Times New Roman"/>
          <w:color w:val="000000" w:themeColor="text1"/>
        </w:rPr>
        <w:t>ed</w:t>
      </w:r>
      <w:r w:rsidRPr="00DC550F">
        <w:rPr>
          <w:rFonts w:ascii="Times New Roman" w:hAnsi="Times New Roman" w:cs="Times New Roman"/>
          <w:color w:val="000000" w:themeColor="text1"/>
        </w:rPr>
        <w:t xml:space="preserve"> this approach </w:t>
      </w:r>
      <w:r w:rsidR="006D0E70" w:rsidRPr="00DC550F">
        <w:rPr>
          <w:rFonts w:ascii="Times New Roman" w:hAnsi="Times New Roman" w:cs="Times New Roman"/>
          <w:color w:val="000000" w:themeColor="text1"/>
        </w:rPr>
        <w:t>to representations by holding</w:t>
      </w:r>
      <w:r w:rsidRPr="00DC550F">
        <w:rPr>
          <w:rFonts w:ascii="Times New Roman" w:hAnsi="Times New Roman" w:cs="Times New Roman"/>
          <w:color w:val="000000" w:themeColor="text1"/>
        </w:rPr>
        <w:t xml:space="preserve"> that</w:t>
      </w:r>
      <w:r w:rsidR="006D0E70" w:rsidRPr="00DC550F">
        <w:rPr>
          <w:rFonts w:ascii="Times New Roman" w:hAnsi="Times New Roman" w:cs="Times New Roman"/>
          <w:color w:val="000000" w:themeColor="text1"/>
        </w:rPr>
        <w:t xml:space="preserve"> the principal represented</w:t>
      </w:r>
      <w:r w:rsidR="00681752">
        <w:rPr>
          <w:rFonts w:ascii="Times New Roman" w:hAnsi="Times New Roman" w:cs="Times New Roman"/>
          <w:color w:val="000000" w:themeColor="text1"/>
        </w:rPr>
        <w:t xml:space="preserve"> that</w:t>
      </w:r>
      <w:r w:rsidR="006D0E70"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 xml:space="preserve">the agent had authority to engage in activities that a managing director would be authorised to undertake. </w:t>
      </w:r>
    </w:p>
    <w:p w14:paraId="1B874420" w14:textId="77777777" w:rsidR="001E68A9" w:rsidRPr="00DC550F" w:rsidRDefault="001E68A9" w:rsidP="001E68A9">
      <w:pPr>
        <w:spacing w:line="360" w:lineRule="auto"/>
        <w:jc w:val="both"/>
        <w:rPr>
          <w:rFonts w:ascii="Times New Roman" w:hAnsi="Times New Roman" w:cs="Times New Roman"/>
          <w:color w:val="000000" w:themeColor="text1"/>
        </w:rPr>
      </w:pPr>
    </w:p>
    <w:p w14:paraId="2F4D3FC4" w14:textId="35636622"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To this end, early case law emphasises that an agent cannot make representations as to what he is authorised to do.</w:t>
      </w:r>
      <w:r w:rsidRPr="00DC550F">
        <w:rPr>
          <w:rStyle w:val="FootnoteReference"/>
          <w:rFonts w:ascii="Times New Roman" w:hAnsi="Times New Roman" w:cs="Times New Roman"/>
          <w:color w:val="000000" w:themeColor="text1"/>
        </w:rPr>
        <w:footnoteReference w:id="11"/>
      </w:r>
      <w:r w:rsidRPr="00DC550F">
        <w:rPr>
          <w:rFonts w:ascii="Times New Roman" w:hAnsi="Times New Roman" w:cs="Times New Roman"/>
          <w:color w:val="000000" w:themeColor="text1"/>
        </w:rPr>
        <w:t xml:space="preserve"> </w:t>
      </w:r>
      <w:r w:rsidR="000367B1" w:rsidRPr="00DC550F">
        <w:rPr>
          <w:rFonts w:ascii="Times New Roman" w:hAnsi="Times New Roman" w:cs="Times New Roman"/>
          <w:color w:val="000000" w:themeColor="text1"/>
        </w:rPr>
        <w:t xml:space="preserve">As </w:t>
      </w:r>
      <w:r w:rsidRPr="00DC550F">
        <w:rPr>
          <w:rFonts w:ascii="Times New Roman" w:hAnsi="Times New Roman" w:cs="Times New Roman"/>
          <w:color w:val="000000" w:themeColor="text1"/>
        </w:rPr>
        <w:t xml:space="preserve">Busch </w:t>
      </w:r>
      <w:r w:rsidRPr="00DC550F">
        <w:rPr>
          <w:rFonts w:ascii="Times New Roman" w:hAnsi="Times New Roman" w:cs="Times New Roman"/>
          <w:i/>
          <w:color w:val="000000" w:themeColor="text1"/>
        </w:rPr>
        <w:t>et al</w:t>
      </w:r>
      <w:r w:rsidRPr="00DC550F">
        <w:rPr>
          <w:rFonts w:ascii="Times New Roman" w:hAnsi="Times New Roman" w:cs="Times New Roman"/>
          <w:color w:val="000000" w:themeColor="text1"/>
        </w:rPr>
        <w:t xml:space="preserve"> </w:t>
      </w:r>
      <w:r w:rsidR="000367B1" w:rsidRPr="00DC550F">
        <w:rPr>
          <w:rFonts w:ascii="Times New Roman" w:hAnsi="Times New Roman" w:cs="Times New Roman"/>
          <w:color w:val="000000" w:themeColor="text1"/>
        </w:rPr>
        <w:t>correctly argue, if this was</w:t>
      </w:r>
      <w:r w:rsidRPr="00DC550F">
        <w:rPr>
          <w:rFonts w:ascii="Times New Roman" w:hAnsi="Times New Roman" w:cs="Times New Roman"/>
          <w:color w:val="000000" w:themeColor="text1"/>
        </w:rPr>
        <w:t xml:space="preserve"> </w:t>
      </w:r>
      <w:r w:rsidR="000367B1" w:rsidRPr="00DC550F">
        <w:rPr>
          <w:rFonts w:ascii="Times New Roman" w:hAnsi="Times New Roman" w:cs="Times New Roman"/>
          <w:color w:val="000000" w:themeColor="text1"/>
        </w:rPr>
        <w:t xml:space="preserve">not the position, </w:t>
      </w:r>
      <w:r w:rsidRPr="00DC550F">
        <w:rPr>
          <w:rFonts w:ascii="Times New Roman" w:hAnsi="Times New Roman" w:cs="Times New Roman"/>
          <w:color w:val="000000" w:themeColor="text1"/>
        </w:rPr>
        <w:t>anyone with</w:t>
      </w:r>
      <w:r w:rsidR="004E5748">
        <w:rPr>
          <w:rFonts w:ascii="Times New Roman" w:hAnsi="Times New Roman" w:cs="Times New Roman"/>
          <w:color w:val="000000" w:themeColor="text1"/>
        </w:rPr>
        <w:t xml:space="preserve"> some nexus to the principal could</w:t>
      </w:r>
      <w:r w:rsidRPr="00DC550F">
        <w:rPr>
          <w:rFonts w:ascii="Times New Roman" w:hAnsi="Times New Roman" w:cs="Times New Roman"/>
          <w:color w:val="000000" w:themeColor="text1"/>
        </w:rPr>
        <w:t xml:space="preserve"> claim to have authority, causing the principal to incur [unwanted] obligations to a third party.</w:t>
      </w:r>
      <w:r w:rsidRPr="00DC550F">
        <w:rPr>
          <w:rStyle w:val="FootnoteReference"/>
          <w:rFonts w:ascii="Times New Roman" w:hAnsi="Times New Roman" w:cs="Times New Roman"/>
          <w:color w:val="000000" w:themeColor="text1"/>
        </w:rPr>
        <w:footnoteReference w:id="12"/>
      </w:r>
      <w:r w:rsidRPr="00DC550F">
        <w:rPr>
          <w:rFonts w:ascii="Times New Roman" w:hAnsi="Times New Roman" w:cs="Times New Roman"/>
          <w:color w:val="000000" w:themeColor="text1"/>
        </w:rPr>
        <w:t xml:space="preserve"> </w:t>
      </w:r>
      <w:r w:rsidR="009D4B5A" w:rsidRPr="00DC550F">
        <w:rPr>
          <w:rFonts w:ascii="Times New Roman" w:hAnsi="Times New Roman" w:cs="Times New Roman"/>
          <w:color w:val="000000" w:themeColor="text1"/>
        </w:rPr>
        <w:t xml:space="preserve">This view was taken by Lord Neuberger in </w:t>
      </w:r>
      <w:proofErr w:type="spellStart"/>
      <w:r w:rsidR="009D4B5A" w:rsidRPr="00DC550F">
        <w:rPr>
          <w:rFonts w:ascii="Times New Roman" w:hAnsi="Times New Roman" w:cs="Times New Roman"/>
          <w:i/>
          <w:color w:val="000000" w:themeColor="text1"/>
        </w:rPr>
        <w:t>Thanakarn</w:t>
      </w:r>
      <w:proofErr w:type="spellEnd"/>
      <w:r w:rsidR="009D4B5A" w:rsidRPr="00DC550F">
        <w:rPr>
          <w:rFonts w:ascii="Times New Roman" w:hAnsi="Times New Roman" w:cs="Times New Roman"/>
          <w:i/>
          <w:color w:val="000000" w:themeColor="text1"/>
        </w:rPr>
        <w:t xml:space="preserve"> </w:t>
      </w:r>
      <w:proofErr w:type="spellStart"/>
      <w:r w:rsidR="009D4B5A" w:rsidRPr="00DC550F">
        <w:rPr>
          <w:rFonts w:ascii="Times New Roman" w:hAnsi="Times New Roman" w:cs="Times New Roman"/>
          <w:i/>
          <w:color w:val="000000" w:themeColor="text1"/>
        </w:rPr>
        <w:t>Kasikorn</w:t>
      </w:r>
      <w:proofErr w:type="spellEnd"/>
      <w:r w:rsidRPr="00DC550F">
        <w:rPr>
          <w:rFonts w:ascii="Times New Roman" w:hAnsi="Times New Roman" w:cs="Times New Roman"/>
          <w:i/>
          <w:color w:val="000000" w:themeColor="text1"/>
        </w:rPr>
        <w:t xml:space="preserve"> </w:t>
      </w:r>
      <w:r w:rsidR="009D4B5A" w:rsidRPr="00DC550F">
        <w:rPr>
          <w:rFonts w:ascii="Times New Roman" w:hAnsi="Times New Roman" w:cs="Times New Roman"/>
          <w:color w:val="000000" w:themeColor="text1"/>
        </w:rPr>
        <w:t>as</w:t>
      </w:r>
      <w:r w:rsidRPr="00DC550F">
        <w:rPr>
          <w:rFonts w:ascii="Times New Roman" w:hAnsi="Times New Roman" w:cs="Times New Roman"/>
          <w:color w:val="000000" w:themeColor="text1"/>
        </w:rPr>
        <w:t xml:space="preserve"> a third party allowed to rely upon an agent’s statement without the authorit</w:t>
      </w:r>
      <w:r w:rsidR="00BC6E65" w:rsidRPr="00DC550F">
        <w:rPr>
          <w:rFonts w:ascii="Times New Roman" w:hAnsi="Times New Roman" w:cs="Times New Roman"/>
          <w:color w:val="000000" w:themeColor="text1"/>
        </w:rPr>
        <w:t>y of the principal would seem ‘</w:t>
      </w:r>
      <w:r w:rsidRPr="00DC550F">
        <w:rPr>
          <w:rFonts w:ascii="Times New Roman" w:hAnsi="Times New Roman" w:cs="Times New Roman"/>
          <w:color w:val="000000" w:themeColor="text1"/>
        </w:rPr>
        <w:t>close to pulling up oneself by one’s own bootstraps’</w:t>
      </w:r>
      <w:r w:rsidR="000E6CF4"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13"/>
      </w:r>
      <w:r w:rsidRPr="00DC550F">
        <w:rPr>
          <w:rFonts w:ascii="Times New Roman" w:hAnsi="Times New Roman" w:cs="Times New Roman"/>
          <w:color w:val="000000" w:themeColor="text1"/>
        </w:rPr>
        <w:t xml:space="preserve"> Thus, suggesting that an agent could give himself auth</w:t>
      </w:r>
      <w:r w:rsidR="000E6CF4" w:rsidRPr="00DC550F">
        <w:rPr>
          <w:rFonts w:ascii="Times New Roman" w:hAnsi="Times New Roman" w:cs="Times New Roman"/>
          <w:color w:val="000000" w:themeColor="text1"/>
        </w:rPr>
        <w:t>ority by his own representation</w:t>
      </w:r>
      <w:r w:rsidR="00425D25" w:rsidRPr="00DC550F">
        <w:rPr>
          <w:rFonts w:ascii="Times New Roman" w:hAnsi="Times New Roman" w:cs="Times New Roman"/>
          <w:color w:val="000000" w:themeColor="text1"/>
        </w:rPr>
        <w:t>s</w:t>
      </w:r>
      <w:r w:rsidR="000E6CF4"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which may subsequently deter principals from using agents in commerce. Furthermore, if an agent can make representations about their authority, ‘commercial u</w:t>
      </w:r>
      <w:r w:rsidR="00CA6FC4">
        <w:rPr>
          <w:rFonts w:ascii="Times New Roman" w:hAnsi="Times New Roman" w:cs="Times New Roman"/>
          <w:color w:val="000000" w:themeColor="text1"/>
        </w:rPr>
        <w:t>ndertakings would be forced to</w:t>
      </w:r>
      <w:r w:rsidRPr="00DC550F">
        <w:rPr>
          <w:rFonts w:ascii="Times New Roman" w:hAnsi="Times New Roman" w:cs="Times New Roman"/>
          <w:color w:val="000000" w:themeColor="text1"/>
        </w:rPr>
        <w:t xml:space="preserve"> inform all and sundry exactly what their employees could or could not do’</w:t>
      </w:r>
      <w:r w:rsidRPr="00DC550F">
        <w:rPr>
          <w:rStyle w:val="FootnoteReference"/>
          <w:rFonts w:ascii="Times New Roman" w:hAnsi="Times New Roman" w:cs="Times New Roman"/>
          <w:color w:val="000000" w:themeColor="text1"/>
        </w:rPr>
        <w:footnoteReference w:id="14"/>
      </w:r>
      <w:r w:rsidRPr="00DC550F">
        <w:rPr>
          <w:rFonts w:ascii="Times New Roman" w:hAnsi="Times New Roman" w:cs="Times New Roman"/>
          <w:color w:val="000000" w:themeColor="text1"/>
        </w:rPr>
        <w:t>. Therefore, the traditional approach which affords greater protection to the principal is</w:t>
      </w:r>
      <w:r w:rsidR="00E95D2D" w:rsidRPr="00DC550F">
        <w:rPr>
          <w:rFonts w:ascii="Times New Roman" w:hAnsi="Times New Roman" w:cs="Times New Roman"/>
          <w:color w:val="000000" w:themeColor="text1"/>
        </w:rPr>
        <w:t xml:space="preserve"> more</w:t>
      </w:r>
      <w:r w:rsidRPr="00DC550F">
        <w:rPr>
          <w:rFonts w:ascii="Times New Roman" w:hAnsi="Times New Roman" w:cs="Times New Roman"/>
          <w:color w:val="000000" w:themeColor="text1"/>
        </w:rPr>
        <w:t xml:space="preserve"> favourable for business convenience. </w:t>
      </w:r>
    </w:p>
    <w:p w14:paraId="41940843" w14:textId="77777777" w:rsidR="001E68A9" w:rsidRPr="00DC550F" w:rsidRDefault="001E68A9" w:rsidP="001E68A9">
      <w:pPr>
        <w:spacing w:line="360" w:lineRule="auto"/>
        <w:jc w:val="both"/>
        <w:rPr>
          <w:rFonts w:ascii="Times New Roman" w:hAnsi="Times New Roman" w:cs="Times New Roman"/>
          <w:color w:val="000000" w:themeColor="text1"/>
        </w:rPr>
      </w:pPr>
    </w:p>
    <w:p w14:paraId="670DC5CF" w14:textId="0A974C6F"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Although the orthodox doctrine is welcomed for its protection to principals, it has also been challenged as too narrow. The agent is embodied as a ‘stranger’</w:t>
      </w:r>
      <w:r w:rsidRPr="00DC550F">
        <w:rPr>
          <w:rStyle w:val="FootnoteReference"/>
          <w:rFonts w:ascii="Times New Roman" w:hAnsi="Times New Roman" w:cs="Times New Roman"/>
          <w:color w:val="000000" w:themeColor="text1"/>
        </w:rPr>
        <w:footnoteReference w:id="15"/>
      </w:r>
      <w:r w:rsidRPr="00DC550F">
        <w:rPr>
          <w:rFonts w:ascii="Times New Roman" w:hAnsi="Times New Roman" w:cs="Times New Roman"/>
          <w:color w:val="000000" w:themeColor="text1"/>
        </w:rPr>
        <w:t xml:space="preserve"> which is ‘inadequate and inapt’</w:t>
      </w:r>
      <w:r w:rsidRPr="00DC550F">
        <w:rPr>
          <w:rStyle w:val="FootnoteReference"/>
          <w:rFonts w:ascii="Times New Roman" w:hAnsi="Times New Roman" w:cs="Times New Roman"/>
          <w:color w:val="000000" w:themeColor="text1"/>
        </w:rPr>
        <w:footnoteReference w:id="16"/>
      </w:r>
      <w:r w:rsidRPr="00DC550F">
        <w:rPr>
          <w:rFonts w:ascii="Times New Roman" w:hAnsi="Times New Roman" w:cs="Times New Roman"/>
          <w:color w:val="000000" w:themeColor="text1"/>
        </w:rPr>
        <w:t xml:space="preserve"> when applied to organisational behaviour in the late 20</w:t>
      </w:r>
      <w:r w:rsidRPr="00DC550F">
        <w:rPr>
          <w:rFonts w:ascii="Times New Roman" w:hAnsi="Times New Roman" w:cs="Times New Roman"/>
          <w:color w:val="000000" w:themeColor="text1"/>
          <w:vertAlign w:val="superscript"/>
        </w:rPr>
        <w:t>th</w:t>
      </w:r>
      <w:r w:rsidRPr="00DC550F">
        <w:rPr>
          <w:rFonts w:ascii="Times New Roman" w:hAnsi="Times New Roman" w:cs="Times New Roman"/>
          <w:color w:val="000000" w:themeColor="text1"/>
        </w:rPr>
        <w:t xml:space="preserve"> century</w:t>
      </w:r>
      <w:r w:rsidR="000E6CF4" w:rsidRPr="00DC550F">
        <w:rPr>
          <w:rFonts w:ascii="Times New Roman" w:hAnsi="Times New Roman" w:cs="Times New Roman"/>
          <w:color w:val="000000" w:themeColor="text1"/>
        </w:rPr>
        <w:t>,</w:t>
      </w:r>
      <w:r w:rsidRPr="00DC550F">
        <w:rPr>
          <w:rFonts w:ascii="Times New Roman" w:hAnsi="Times New Roman" w:cs="Times New Roman"/>
          <w:color w:val="000000" w:themeColor="text1"/>
        </w:rPr>
        <w:t xml:space="preserve"> where agents act on behalf of transnational impersonal corporations</w:t>
      </w:r>
      <w:r w:rsidR="007722EF"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17"/>
      </w:r>
      <w:r w:rsidRPr="00DC550F">
        <w:rPr>
          <w:rFonts w:ascii="Times New Roman" w:hAnsi="Times New Roman" w:cs="Times New Roman"/>
          <w:color w:val="000000" w:themeColor="text1"/>
        </w:rPr>
        <w:t xml:space="preserve"> Brown stipulates that the agent in </w:t>
      </w:r>
      <w:r w:rsidRPr="00DC550F">
        <w:rPr>
          <w:rFonts w:ascii="Times New Roman" w:hAnsi="Times New Roman" w:cs="Times New Roman"/>
          <w:i/>
          <w:color w:val="000000" w:themeColor="text1"/>
        </w:rPr>
        <w:t>Freeman</w:t>
      </w:r>
      <w:r w:rsidRPr="00DC550F">
        <w:rPr>
          <w:rFonts w:ascii="Times New Roman" w:hAnsi="Times New Roman" w:cs="Times New Roman"/>
          <w:color w:val="000000" w:themeColor="text1"/>
        </w:rPr>
        <w:t xml:space="preserve"> was presented as an ‘inert channel of communication between the principal and third party’</w:t>
      </w:r>
      <w:r w:rsidR="000E6CF4"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18"/>
      </w:r>
      <w:r w:rsidR="000E6CF4"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 xml:space="preserve">His commentary suggests </w:t>
      </w:r>
      <w:r w:rsidR="00D57B28" w:rsidRPr="00DC550F">
        <w:rPr>
          <w:rFonts w:ascii="Times New Roman" w:hAnsi="Times New Roman" w:cs="Times New Roman"/>
          <w:color w:val="000000" w:themeColor="text1"/>
        </w:rPr>
        <w:t xml:space="preserve">that </w:t>
      </w:r>
      <w:r w:rsidRPr="00DC550F">
        <w:rPr>
          <w:rFonts w:ascii="Times New Roman" w:hAnsi="Times New Roman" w:cs="Times New Roman"/>
          <w:color w:val="000000" w:themeColor="text1"/>
        </w:rPr>
        <w:t xml:space="preserve">the traditional doctrine does not take account of commercial </w:t>
      </w:r>
      <w:r w:rsidRPr="00DC550F">
        <w:rPr>
          <w:rFonts w:ascii="Times New Roman" w:hAnsi="Times New Roman" w:cs="Times New Roman"/>
          <w:color w:val="000000" w:themeColor="text1"/>
        </w:rPr>
        <w:lastRenderedPageBreak/>
        <w:t>reality</w:t>
      </w:r>
      <w:r w:rsidRPr="00DC550F">
        <w:rPr>
          <w:rStyle w:val="FootnoteReference"/>
          <w:rFonts w:ascii="Times New Roman" w:hAnsi="Times New Roman" w:cs="Times New Roman"/>
          <w:color w:val="000000" w:themeColor="text1"/>
        </w:rPr>
        <w:footnoteReference w:id="19"/>
      </w:r>
      <w:r w:rsidRPr="00DC550F">
        <w:rPr>
          <w:rFonts w:ascii="Times New Roman" w:hAnsi="Times New Roman" w:cs="Times New Roman"/>
          <w:color w:val="000000" w:themeColor="text1"/>
        </w:rPr>
        <w:t xml:space="preserve"> where agents have a much greater role in transactional work than is presumed.</w:t>
      </w:r>
      <w:r w:rsidRPr="00DC550F">
        <w:rPr>
          <w:rStyle w:val="FootnoteReference"/>
          <w:rFonts w:ascii="Times New Roman" w:hAnsi="Times New Roman" w:cs="Times New Roman"/>
          <w:color w:val="000000" w:themeColor="text1"/>
        </w:rPr>
        <w:footnoteReference w:id="20"/>
      </w:r>
      <w:r w:rsidRPr="00DC550F">
        <w:rPr>
          <w:rFonts w:ascii="Times New Roman" w:hAnsi="Times New Roman" w:cs="Times New Roman"/>
          <w:color w:val="000000" w:themeColor="text1"/>
        </w:rPr>
        <w:t xml:space="preserve"> Therefore, the latest dev</w:t>
      </w:r>
      <w:r w:rsidR="000E6CF4" w:rsidRPr="00DC550F">
        <w:rPr>
          <w:rFonts w:ascii="Times New Roman" w:hAnsi="Times New Roman" w:cs="Times New Roman"/>
          <w:color w:val="000000" w:themeColor="text1"/>
        </w:rPr>
        <w:t>elopments which deviate from this</w:t>
      </w:r>
      <w:r w:rsidRPr="00DC550F">
        <w:rPr>
          <w:rFonts w:ascii="Times New Roman" w:hAnsi="Times New Roman" w:cs="Times New Roman"/>
          <w:color w:val="000000" w:themeColor="text1"/>
        </w:rPr>
        <w:t xml:space="preserve"> stringent approach in</w:t>
      </w:r>
      <w:r w:rsidRPr="00DC550F">
        <w:rPr>
          <w:rFonts w:ascii="Times New Roman" w:hAnsi="Times New Roman" w:cs="Times New Roman"/>
          <w:i/>
          <w:color w:val="000000" w:themeColor="text1"/>
        </w:rPr>
        <w:t xml:space="preserve"> Freeman </w:t>
      </w:r>
      <w:r w:rsidRPr="00DC550F">
        <w:rPr>
          <w:rFonts w:ascii="Times New Roman" w:hAnsi="Times New Roman" w:cs="Times New Roman"/>
          <w:color w:val="000000" w:themeColor="text1"/>
        </w:rPr>
        <w:t xml:space="preserve">have been welcomed. </w:t>
      </w:r>
    </w:p>
    <w:p w14:paraId="166A7D61" w14:textId="77777777" w:rsidR="001E68A9" w:rsidRPr="00DC550F" w:rsidRDefault="001E68A9" w:rsidP="001E68A9">
      <w:pPr>
        <w:spacing w:line="360" w:lineRule="auto"/>
        <w:jc w:val="both"/>
        <w:rPr>
          <w:rFonts w:ascii="Times New Roman" w:hAnsi="Times New Roman" w:cs="Times New Roman"/>
          <w:color w:val="000000" w:themeColor="text1"/>
        </w:rPr>
      </w:pPr>
    </w:p>
    <w:p w14:paraId="0E58AA4A" w14:textId="3A94C760" w:rsidR="001E68A9" w:rsidRPr="00DC550F" w:rsidRDefault="001E68A9" w:rsidP="001E68A9">
      <w:pPr>
        <w:spacing w:line="360" w:lineRule="auto"/>
        <w:jc w:val="both"/>
        <w:rPr>
          <w:rFonts w:ascii="Times New Roman" w:hAnsi="Times New Roman" w:cs="Times New Roman"/>
          <w:color w:val="000000" w:themeColor="text1"/>
          <w:u w:val="single"/>
        </w:rPr>
      </w:pPr>
      <w:r w:rsidRPr="00DC550F">
        <w:rPr>
          <w:rFonts w:ascii="Times New Roman" w:hAnsi="Times New Roman" w:cs="Times New Roman"/>
          <w:color w:val="000000" w:themeColor="text1"/>
          <w:u w:val="single"/>
        </w:rPr>
        <w:t>The D</w:t>
      </w:r>
      <w:r w:rsidR="005759BA" w:rsidRPr="00DC550F">
        <w:rPr>
          <w:rFonts w:ascii="Times New Roman" w:hAnsi="Times New Roman" w:cs="Times New Roman"/>
          <w:color w:val="000000" w:themeColor="text1"/>
          <w:u w:val="single"/>
        </w:rPr>
        <w:t>evelopments</w:t>
      </w:r>
    </w:p>
    <w:p w14:paraId="7A898743" w14:textId="7E66481C"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The first development that has been well received is the approach taken in the </w:t>
      </w:r>
      <w:proofErr w:type="spellStart"/>
      <w:r w:rsidRPr="00DC550F">
        <w:rPr>
          <w:rFonts w:ascii="Times New Roman" w:hAnsi="Times New Roman" w:cs="Times New Roman"/>
          <w:i/>
          <w:color w:val="000000" w:themeColor="text1"/>
        </w:rPr>
        <w:t>Raffaella</w:t>
      </w:r>
      <w:proofErr w:type="spellEnd"/>
      <w:r w:rsidR="00425D25" w:rsidRPr="00DC550F">
        <w:rPr>
          <w:rFonts w:ascii="Times New Roman" w:hAnsi="Times New Roman" w:cs="Times New Roman"/>
          <w:i/>
          <w:color w:val="000000" w:themeColor="text1"/>
        </w:rPr>
        <w:t>.</w:t>
      </w:r>
      <w:r w:rsidRPr="00DC550F">
        <w:rPr>
          <w:rStyle w:val="FootnoteReference"/>
          <w:rFonts w:ascii="Times New Roman" w:hAnsi="Times New Roman" w:cs="Times New Roman"/>
          <w:i/>
          <w:color w:val="000000" w:themeColor="text1"/>
        </w:rPr>
        <w:footnoteReference w:id="21"/>
      </w:r>
      <w:r w:rsidR="00CA6FC4">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This case considered the principal’s conduct as a whole, inquiring that ‘if a company confers actual or apparent authority on an agent to make representations but no actual authority to enter into a transaction, why should an agent’s representation as to his authority not be capable of being relied on?’</w:t>
      </w:r>
      <w:r w:rsidRPr="00DC550F">
        <w:rPr>
          <w:rStyle w:val="FootnoteReference"/>
          <w:rFonts w:ascii="Times New Roman" w:hAnsi="Times New Roman" w:cs="Times New Roman"/>
          <w:color w:val="000000" w:themeColor="text1"/>
        </w:rPr>
        <w:footnoteReference w:id="22"/>
      </w:r>
      <w:r w:rsidRPr="00DC550F">
        <w:rPr>
          <w:rFonts w:ascii="Times New Roman" w:hAnsi="Times New Roman" w:cs="Times New Roman"/>
          <w:color w:val="000000" w:themeColor="text1"/>
        </w:rPr>
        <w:t xml:space="preserve"> The significance of this development is that by focusing on the principal’s conduct, the law enables an agent to make representations about his authority to a third party even if they are false. Therefore, this case initiated the courts ‘deviating’ from the strict approach sought by Lord </w:t>
      </w:r>
      <w:proofErr w:type="spellStart"/>
      <w:r w:rsidRPr="00DC550F">
        <w:rPr>
          <w:rFonts w:ascii="Times New Roman" w:hAnsi="Times New Roman" w:cs="Times New Roman"/>
          <w:color w:val="000000" w:themeColor="text1"/>
        </w:rPr>
        <w:t>Diplock</w:t>
      </w:r>
      <w:proofErr w:type="spellEnd"/>
      <w:r w:rsidRPr="00DC550F">
        <w:rPr>
          <w:rFonts w:ascii="Times New Roman" w:hAnsi="Times New Roman" w:cs="Times New Roman"/>
          <w:color w:val="000000" w:themeColor="text1"/>
        </w:rPr>
        <w:t xml:space="preserve"> in </w:t>
      </w:r>
      <w:r w:rsidRPr="00DC550F">
        <w:rPr>
          <w:rFonts w:ascii="Times New Roman" w:hAnsi="Times New Roman" w:cs="Times New Roman"/>
          <w:i/>
          <w:color w:val="000000" w:themeColor="text1"/>
        </w:rPr>
        <w:t>Freeman</w:t>
      </w:r>
      <w:r w:rsidRPr="00DC550F">
        <w:rPr>
          <w:rFonts w:ascii="Times New Roman" w:hAnsi="Times New Roman" w:cs="Times New Roman"/>
          <w:color w:val="000000" w:themeColor="text1"/>
        </w:rPr>
        <w:t xml:space="preserve"> by holding that an agent’s representation </w:t>
      </w:r>
      <w:proofErr w:type="gramStart"/>
      <w:r w:rsidRPr="00DC550F">
        <w:rPr>
          <w:rFonts w:ascii="Times New Roman" w:hAnsi="Times New Roman" w:cs="Times New Roman"/>
          <w:color w:val="000000" w:themeColor="text1"/>
        </w:rPr>
        <w:t>about</w:t>
      </w:r>
      <w:proofErr w:type="gramEnd"/>
      <w:r w:rsidRPr="00DC550F">
        <w:rPr>
          <w:rFonts w:ascii="Times New Roman" w:hAnsi="Times New Roman" w:cs="Times New Roman"/>
          <w:color w:val="000000" w:themeColor="text1"/>
        </w:rPr>
        <w:t xml:space="preserve"> his apparent authority may be valid. </w:t>
      </w:r>
    </w:p>
    <w:p w14:paraId="0916FFE4" w14:textId="77777777" w:rsidR="001E68A9" w:rsidRPr="00DC550F" w:rsidRDefault="001E68A9" w:rsidP="001E68A9">
      <w:pPr>
        <w:spacing w:line="360" w:lineRule="auto"/>
        <w:jc w:val="both"/>
        <w:rPr>
          <w:rFonts w:ascii="Times New Roman" w:hAnsi="Times New Roman" w:cs="Times New Roman"/>
          <w:i/>
          <w:color w:val="000000" w:themeColor="text1"/>
        </w:rPr>
      </w:pPr>
    </w:p>
    <w:p w14:paraId="52638CB1" w14:textId="29257F36"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i/>
          <w:color w:val="000000" w:themeColor="text1"/>
        </w:rPr>
        <w:t>First energy (FE)</w:t>
      </w:r>
      <w:r w:rsidRPr="00DC550F">
        <w:rPr>
          <w:rStyle w:val="FootnoteReference"/>
          <w:rFonts w:ascii="Times New Roman" w:hAnsi="Times New Roman" w:cs="Times New Roman"/>
          <w:i/>
          <w:color w:val="000000" w:themeColor="text1"/>
        </w:rPr>
        <w:footnoteReference w:id="23"/>
      </w:r>
      <w:r w:rsidRPr="00DC550F">
        <w:rPr>
          <w:rFonts w:ascii="Times New Roman" w:hAnsi="Times New Roman" w:cs="Times New Roman"/>
          <w:color w:val="000000" w:themeColor="text1"/>
        </w:rPr>
        <w:t xml:space="preserve"> </w:t>
      </w:r>
      <w:r w:rsidR="007722EF" w:rsidRPr="00DC550F">
        <w:rPr>
          <w:rFonts w:ascii="Times New Roman" w:hAnsi="Times New Roman" w:cs="Times New Roman"/>
          <w:color w:val="000000" w:themeColor="text1"/>
        </w:rPr>
        <w:t>further expanded</w:t>
      </w:r>
      <w:r w:rsidRPr="00DC550F">
        <w:rPr>
          <w:rFonts w:ascii="Times New Roman" w:hAnsi="Times New Roman" w:cs="Times New Roman"/>
          <w:color w:val="000000" w:themeColor="text1"/>
        </w:rPr>
        <w:t xml:space="preserve"> the DOAA</w:t>
      </w:r>
      <w:r w:rsidR="00425D25" w:rsidRPr="00DC550F">
        <w:rPr>
          <w:rFonts w:ascii="Times New Roman" w:hAnsi="Times New Roman" w:cs="Times New Roman"/>
          <w:color w:val="000000" w:themeColor="text1"/>
        </w:rPr>
        <w:t xml:space="preserve"> and</w:t>
      </w:r>
      <w:r w:rsidRPr="00DC550F">
        <w:rPr>
          <w:rFonts w:ascii="Times New Roman" w:hAnsi="Times New Roman" w:cs="Times New Roman"/>
          <w:color w:val="000000" w:themeColor="text1"/>
        </w:rPr>
        <w:t xml:space="preserve"> </w:t>
      </w:r>
      <w:r w:rsidR="0071012B" w:rsidRPr="00DC550F">
        <w:rPr>
          <w:rFonts w:ascii="Times New Roman" w:hAnsi="Times New Roman" w:cs="Times New Roman"/>
          <w:color w:val="000000" w:themeColor="text1"/>
        </w:rPr>
        <w:t xml:space="preserve">robust </w:t>
      </w:r>
      <w:r w:rsidRPr="00DC550F">
        <w:rPr>
          <w:rFonts w:ascii="Times New Roman" w:hAnsi="Times New Roman" w:cs="Times New Roman"/>
          <w:color w:val="000000" w:themeColor="text1"/>
        </w:rPr>
        <w:t xml:space="preserve">approach in </w:t>
      </w:r>
      <w:r w:rsidRPr="00DC550F">
        <w:rPr>
          <w:rFonts w:ascii="Times New Roman" w:hAnsi="Times New Roman" w:cs="Times New Roman"/>
          <w:i/>
          <w:color w:val="000000" w:themeColor="text1"/>
        </w:rPr>
        <w:t>Freeman</w:t>
      </w:r>
      <w:r w:rsidR="007722EF"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holding that a senior manag</w:t>
      </w:r>
      <w:r w:rsidR="007722EF" w:rsidRPr="00DC550F">
        <w:rPr>
          <w:rFonts w:ascii="Times New Roman" w:hAnsi="Times New Roman" w:cs="Times New Roman"/>
          <w:color w:val="000000" w:themeColor="text1"/>
        </w:rPr>
        <w:t xml:space="preserve">er in the position of an agent </w:t>
      </w:r>
      <w:r w:rsidRPr="00DC550F">
        <w:rPr>
          <w:rFonts w:ascii="Times New Roman" w:hAnsi="Times New Roman" w:cs="Times New Roman"/>
          <w:color w:val="000000" w:themeColor="text1"/>
        </w:rPr>
        <w:t xml:space="preserve">possessed </w:t>
      </w:r>
      <w:r w:rsidR="007722EF" w:rsidRPr="00DC550F">
        <w:rPr>
          <w:rFonts w:ascii="Times New Roman" w:hAnsi="Times New Roman" w:cs="Times New Roman"/>
          <w:color w:val="000000" w:themeColor="text1"/>
        </w:rPr>
        <w:t xml:space="preserve">the </w:t>
      </w:r>
      <w:r w:rsidRPr="00DC550F">
        <w:rPr>
          <w:rFonts w:ascii="Times New Roman" w:hAnsi="Times New Roman" w:cs="Times New Roman"/>
          <w:color w:val="000000" w:themeColor="text1"/>
        </w:rPr>
        <w:t xml:space="preserve">apparent authority to inform the client that the bank had approved the grant of a transaction. Consequently, the principal was bound. </w:t>
      </w:r>
      <w:r w:rsidRPr="00DC550F">
        <w:rPr>
          <w:rFonts w:ascii="Times New Roman" w:hAnsi="Times New Roman" w:cs="Times New Roman"/>
          <w:i/>
          <w:color w:val="000000" w:themeColor="text1"/>
        </w:rPr>
        <w:t>FE</w:t>
      </w:r>
      <w:r w:rsidRPr="00DC550F">
        <w:rPr>
          <w:rFonts w:ascii="Times New Roman" w:hAnsi="Times New Roman" w:cs="Times New Roman"/>
          <w:color w:val="000000" w:themeColor="text1"/>
        </w:rPr>
        <w:t xml:space="preserve"> builds upon the </w:t>
      </w:r>
      <w:proofErr w:type="spellStart"/>
      <w:r w:rsidRPr="00DC550F">
        <w:rPr>
          <w:rFonts w:ascii="Times New Roman" w:hAnsi="Times New Roman" w:cs="Times New Roman"/>
          <w:i/>
          <w:color w:val="000000" w:themeColor="text1"/>
        </w:rPr>
        <w:t>Raffaella</w:t>
      </w:r>
      <w:proofErr w:type="spellEnd"/>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 xml:space="preserve">signifying that an ‘agent who has no apparent authority to </w:t>
      </w:r>
      <w:r w:rsidRPr="00DC550F">
        <w:rPr>
          <w:rFonts w:ascii="Times New Roman" w:hAnsi="Times New Roman" w:cs="Times New Roman"/>
          <w:i/>
          <w:color w:val="000000" w:themeColor="text1"/>
        </w:rPr>
        <w:t>conclude</w:t>
      </w:r>
      <w:r w:rsidRPr="00DC550F">
        <w:rPr>
          <w:rFonts w:ascii="Times New Roman" w:hAnsi="Times New Roman" w:cs="Times New Roman"/>
          <w:color w:val="000000" w:themeColor="text1"/>
        </w:rPr>
        <w:t xml:space="preserve"> a particular transaction may sometimes be clothed [by a principal] with apparent authority to make representations of </w:t>
      </w:r>
      <w:r w:rsidRPr="00DC550F">
        <w:rPr>
          <w:rFonts w:ascii="Times New Roman" w:hAnsi="Times New Roman" w:cs="Times New Roman"/>
          <w:i/>
          <w:color w:val="000000" w:themeColor="text1"/>
        </w:rPr>
        <w:t>fact</w:t>
      </w:r>
      <w:r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24"/>
      </w:r>
      <w:r w:rsidRPr="00DC550F">
        <w:rPr>
          <w:rFonts w:ascii="Times New Roman" w:hAnsi="Times New Roman" w:cs="Times New Roman"/>
          <w:color w:val="000000" w:themeColor="text1"/>
        </w:rPr>
        <w:t xml:space="preserve"> </w:t>
      </w:r>
      <w:r w:rsidRPr="00DC550F">
        <w:rPr>
          <w:rFonts w:ascii="Times New Roman" w:hAnsi="Times New Roman" w:cs="Times New Roman"/>
          <w:i/>
          <w:color w:val="000000" w:themeColor="text1"/>
        </w:rPr>
        <w:t xml:space="preserve">FE </w:t>
      </w:r>
      <w:r w:rsidRPr="00DC550F">
        <w:rPr>
          <w:rFonts w:ascii="Times New Roman" w:hAnsi="Times New Roman" w:cs="Times New Roman"/>
          <w:color w:val="000000" w:themeColor="text1"/>
        </w:rPr>
        <w:t>therefore enables an agent to make representations about their authority to a third party and so at first appears to abolish the principle that an agent cannot confer authority upon himself.</w:t>
      </w:r>
      <w:r w:rsidRPr="00DC550F">
        <w:rPr>
          <w:rStyle w:val="FootnoteReference"/>
          <w:rFonts w:ascii="Times New Roman" w:hAnsi="Times New Roman" w:cs="Times New Roman"/>
          <w:color w:val="000000" w:themeColor="text1"/>
        </w:rPr>
        <w:footnoteReference w:id="25"/>
      </w:r>
      <w:r w:rsidRPr="00DC550F">
        <w:rPr>
          <w:rFonts w:ascii="Times New Roman" w:hAnsi="Times New Roman" w:cs="Times New Roman"/>
          <w:color w:val="000000" w:themeColor="text1"/>
        </w:rPr>
        <w:t xml:space="preserve"> </w:t>
      </w:r>
    </w:p>
    <w:p w14:paraId="50194B59" w14:textId="77777777" w:rsidR="001E68A9" w:rsidRPr="00DC550F" w:rsidRDefault="001E68A9" w:rsidP="001E68A9">
      <w:pPr>
        <w:spacing w:line="360" w:lineRule="auto"/>
        <w:jc w:val="both"/>
        <w:rPr>
          <w:rFonts w:ascii="Times New Roman" w:hAnsi="Times New Roman" w:cs="Times New Roman"/>
          <w:color w:val="000000" w:themeColor="text1"/>
        </w:rPr>
      </w:pPr>
    </w:p>
    <w:p w14:paraId="756C887E" w14:textId="4956BCC1"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The wide approach to apparent authority </w:t>
      </w:r>
      <w:r w:rsidR="00622779" w:rsidRPr="00DC550F">
        <w:rPr>
          <w:rFonts w:ascii="Times New Roman" w:hAnsi="Times New Roman" w:cs="Times New Roman"/>
          <w:color w:val="000000" w:themeColor="text1"/>
        </w:rPr>
        <w:t>appears to make</w:t>
      </w:r>
      <w:r w:rsidRPr="00DC550F">
        <w:rPr>
          <w:rFonts w:ascii="Times New Roman" w:hAnsi="Times New Roman" w:cs="Times New Roman"/>
          <w:color w:val="000000" w:themeColor="text1"/>
        </w:rPr>
        <w:t xml:space="preserve"> it difficult for </w:t>
      </w:r>
      <w:r w:rsidRPr="00DC550F">
        <w:rPr>
          <w:rFonts w:ascii="Times New Roman" w:hAnsi="Times New Roman" w:cs="Times New Roman"/>
          <w:i/>
          <w:color w:val="000000" w:themeColor="text1"/>
        </w:rPr>
        <w:t xml:space="preserve">FE </w:t>
      </w:r>
      <w:r w:rsidRPr="00DC550F">
        <w:rPr>
          <w:rFonts w:ascii="Times New Roman" w:hAnsi="Times New Roman" w:cs="Times New Roman"/>
          <w:color w:val="000000" w:themeColor="text1"/>
        </w:rPr>
        <w:t>to flourish within the conventional pr</w:t>
      </w:r>
      <w:r w:rsidR="00CA00FF">
        <w:rPr>
          <w:rFonts w:ascii="Times New Roman" w:hAnsi="Times New Roman" w:cs="Times New Roman"/>
          <w:color w:val="000000" w:themeColor="text1"/>
        </w:rPr>
        <w:t>inciples of apparent authority as:</w:t>
      </w:r>
    </w:p>
    <w:p w14:paraId="5FBD50F1" w14:textId="77777777" w:rsidR="001E68A9" w:rsidRPr="00DC550F" w:rsidRDefault="001E68A9" w:rsidP="001E68A9">
      <w:pPr>
        <w:spacing w:line="360" w:lineRule="auto"/>
        <w:jc w:val="both"/>
        <w:rPr>
          <w:rFonts w:ascii="Times New Roman" w:hAnsi="Times New Roman" w:cs="Times New Roman"/>
          <w:color w:val="000000" w:themeColor="text1"/>
        </w:rPr>
      </w:pPr>
    </w:p>
    <w:p w14:paraId="7CD72176" w14:textId="77777777" w:rsidR="001E68A9" w:rsidRPr="00DC550F" w:rsidRDefault="001E68A9" w:rsidP="001E68A9">
      <w:pPr>
        <w:spacing w:line="360" w:lineRule="auto"/>
        <w:ind w:left="720"/>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‘To allow a person known to have no authority in effect to give himself authority by wrongly purporting to notify a decision of someone else that the act is authorised is </w:t>
      </w:r>
      <w:r w:rsidRPr="00DC550F">
        <w:rPr>
          <w:rFonts w:ascii="Times New Roman" w:hAnsi="Times New Roman" w:cs="Times New Roman"/>
          <w:color w:val="000000" w:themeColor="text1"/>
        </w:rPr>
        <w:lastRenderedPageBreak/>
        <w:t>virtually to abandon the strict requirement that a representation concerning the agent’s authority emanates from a manifestation made by the principal.’</w:t>
      </w:r>
      <w:r w:rsidRPr="00DC550F">
        <w:rPr>
          <w:rStyle w:val="FootnoteReference"/>
          <w:rFonts w:ascii="Times New Roman" w:hAnsi="Times New Roman" w:cs="Times New Roman"/>
          <w:color w:val="000000" w:themeColor="text1"/>
        </w:rPr>
        <w:footnoteReference w:id="26"/>
      </w:r>
    </w:p>
    <w:p w14:paraId="642BABFE" w14:textId="77777777" w:rsidR="001E68A9" w:rsidRPr="00DC550F" w:rsidRDefault="001E68A9" w:rsidP="001E68A9">
      <w:pPr>
        <w:spacing w:line="360" w:lineRule="auto"/>
        <w:jc w:val="both"/>
        <w:rPr>
          <w:rFonts w:ascii="Times New Roman" w:hAnsi="Times New Roman" w:cs="Times New Roman"/>
          <w:color w:val="000000" w:themeColor="text1"/>
        </w:rPr>
      </w:pPr>
    </w:p>
    <w:p w14:paraId="7A72207D" w14:textId="02D07D51" w:rsidR="001E68A9" w:rsidRPr="00DC550F" w:rsidRDefault="002D7E45"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Reynold</w:t>
      </w:r>
      <w:r w:rsidR="001E68A9" w:rsidRPr="00DC550F">
        <w:rPr>
          <w:rFonts w:ascii="Times New Roman" w:hAnsi="Times New Roman" w:cs="Times New Roman"/>
          <w:color w:val="000000" w:themeColor="text1"/>
        </w:rPr>
        <w:t xml:space="preserve">s suggests that </w:t>
      </w:r>
      <w:r w:rsidR="001E68A9" w:rsidRPr="00DC550F">
        <w:rPr>
          <w:rFonts w:ascii="Times New Roman" w:hAnsi="Times New Roman" w:cs="Times New Roman"/>
          <w:i/>
          <w:color w:val="000000" w:themeColor="text1"/>
        </w:rPr>
        <w:t>FE</w:t>
      </w:r>
      <w:r w:rsidR="001E68A9" w:rsidRPr="00DC550F">
        <w:rPr>
          <w:rFonts w:ascii="Times New Roman" w:hAnsi="Times New Roman" w:cs="Times New Roman"/>
          <w:color w:val="000000" w:themeColor="text1"/>
        </w:rPr>
        <w:t xml:space="preserve"> disregards the requirements of apparent authority by allowing an agent to give himself authority.</w:t>
      </w:r>
      <w:r w:rsidR="001E68A9"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 xml:space="preserve">However, </w:t>
      </w:r>
      <w:r w:rsidR="0091589A">
        <w:rPr>
          <w:rFonts w:ascii="Times New Roman" w:hAnsi="Times New Roman" w:cs="Times New Roman"/>
          <w:color w:val="000000" w:themeColor="text1"/>
        </w:rPr>
        <w:t>he</w:t>
      </w:r>
      <w:r w:rsidR="001E68A9" w:rsidRPr="00DC550F">
        <w:rPr>
          <w:rFonts w:ascii="Times New Roman" w:hAnsi="Times New Roman" w:cs="Times New Roman"/>
          <w:color w:val="000000" w:themeColor="text1"/>
        </w:rPr>
        <w:t xml:space="preserve"> fails to acknowledge the conceptual distinction that the decision in </w:t>
      </w:r>
      <w:r w:rsidR="001E68A9" w:rsidRPr="00DC550F">
        <w:rPr>
          <w:rFonts w:ascii="Times New Roman" w:hAnsi="Times New Roman" w:cs="Times New Roman"/>
          <w:i/>
          <w:color w:val="000000" w:themeColor="text1"/>
        </w:rPr>
        <w:t xml:space="preserve">FE </w:t>
      </w:r>
      <w:r w:rsidR="001E68A9" w:rsidRPr="00DC550F">
        <w:rPr>
          <w:rFonts w:ascii="Times New Roman" w:hAnsi="Times New Roman" w:cs="Times New Roman"/>
          <w:color w:val="000000" w:themeColor="text1"/>
        </w:rPr>
        <w:t xml:space="preserve">does not enable an agent to make a representation that gives </w:t>
      </w:r>
      <w:proofErr w:type="gramStart"/>
      <w:r w:rsidR="001E68A9" w:rsidRPr="00DC550F">
        <w:rPr>
          <w:rFonts w:ascii="Times New Roman" w:hAnsi="Times New Roman" w:cs="Times New Roman"/>
          <w:color w:val="000000" w:themeColor="text1"/>
        </w:rPr>
        <w:t>himself</w:t>
      </w:r>
      <w:proofErr w:type="gramEnd"/>
      <w:r w:rsidR="001E68A9" w:rsidRPr="00DC550F">
        <w:rPr>
          <w:rFonts w:ascii="Times New Roman" w:hAnsi="Times New Roman" w:cs="Times New Roman"/>
          <w:color w:val="000000" w:themeColor="text1"/>
        </w:rPr>
        <w:t xml:space="preserve"> apparent authority to enter into a transaction on behalf of his principal</w:t>
      </w:r>
      <w:r w:rsidR="0071012B"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27"/>
      </w:r>
      <w:r w:rsidR="001E68A9" w:rsidRPr="00DC550F">
        <w:rPr>
          <w:rFonts w:ascii="Times New Roman" w:hAnsi="Times New Roman" w:cs="Times New Roman"/>
          <w:color w:val="000000" w:themeColor="text1"/>
        </w:rPr>
        <w:t xml:space="preserve"> Instead, </w:t>
      </w:r>
      <w:r w:rsidR="001E68A9" w:rsidRPr="00DC550F">
        <w:rPr>
          <w:rFonts w:ascii="Times New Roman" w:hAnsi="Times New Roman" w:cs="Times New Roman"/>
          <w:i/>
          <w:color w:val="000000" w:themeColor="text1"/>
        </w:rPr>
        <w:t>FE</w:t>
      </w:r>
      <w:r w:rsidR="001E68A9" w:rsidRPr="00DC550F">
        <w:rPr>
          <w:rFonts w:ascii="Times New Roman" w:hAnsi="Times New Roman" w:cs="Times New Roman"/>
          <w:color w:val="000000" w:themeColor="text1"/>
        </w:rPr>
        <w:t xml:space="preserve"> enables a principal to clothe an agent with authority to make representations of fact</w:t>
      </w:r>
      <w:r w:rsidR="001E68A9" w:rsidRPr="00DC550F">
        <w:rPr>
          <w:rStyle w:val="FootnoteReference"/>
          <w:rFonts w:ascii="Times New Roman" w:hAnsi="Times New Roman" w:cs="Times New Roman"/>
          <w:color w:val="000000" w:themeColor="text1"/>
        </w:rPr>
        <w:footnoteReference w:id="28"/>
      </w:r>
      <w:r w:rsidR="001E68A9" w:rsidRPr="00DC550F">
        <w:rPr>
          <w:rFonts w:ascii="Times New Roman" w:hAnsi="Times New Roman" w:cs="Times New Roman"/>
          <w:color w:val="000000" w:themeColor="text1"/>
        </w:rPr>
        <w:t xml:space="preserve"> in a way that gives effect to modern commerce and business efficacy.</w:t>
      </w:r>
      <w:r w:rsidR="001E68A9" w:rsidRPr="00DC550F">
        <w:rPr>
          <w:rStyle w:val="FootnoteReference"/>
          <w:rFonts w:ascii="Times New Roman" w:hAnsi="Times New Roman" w:cs="Times New Roman"/>
          <w:color w:val="000000" w:themeColor="text1"/>
        </w:rPr>
        <w:footnoteReference w:id="29"/>
      </w:r>
      <w:r w:rsidR="001E68A9" w:rsidRPr="00DC550F">
        <w:rPr>
          <w:rFonts w:ascii="Times New Roman" w:hAnsi="Times New Roman" w:cs="Times New Roman"/>
          <w:color w:val="000000" w:themeColor="text1"/>
        </w:rPr>
        <w:t xml:space="preserve"> In limited situations, an agent, based on his position has apparent authority to represent that his principal has approved a given transaction.</w:t>
      </w:r>
      <w:r w:rsidR="001E68A9" w:rsidRPr="00DC550F">
        <w:rPr>
          <w:rStyle w:val="FootnoteReference"/>
          <w:rFonts w:ascii="Times New Roman" w:hAnsi="Times New Roman" w:cs="Times New Roman"/>
          <w:color w:val="000000" w:themeColor="text1"/>
        </w:rPr>
        <w:footnoteReference w:id="30"/>
      </w:r>
      <w:r w:rsidR="001E68A9" w:rsidRPr="00DC550F">
        <w:rPr>
          <w:rFonts w:ascii="Times New Roman" w:hAnsi="Times New Roman" w:cs="Times New Roman"/>
          <w:color w:val="000000" w:themeColor="text1"/>
        </w:rPr>
        <w:t xml:space="preserve"> The legal consequences are the same,</w:t>
      </w:r>
      <w:r w:rsidR="001E68A9" w:rsidRPr="00DC550F">
        <w:rPr>
          <w:rStyle w:val="FootnoteReference"/>
          <w:rFonts w:ascii="Times New Roman" w:hAnsi="Times New Roman" w:cs="Times New Roman"/>
          <w:color w:val="000000" w:themeColor="text1"/>
        </w:rPr>
        <w:footnoteReference w:id="31"/>
      </w:r>
      <w:r w:rsidR="001E68A9" w:rsidRPr="00DC550F">
        <w:rPr>
          <w:rFonts w:ascii="Times New Roman" w:hAnsi="Times New Roman" w:cs="Times New Roman"/>
          <w:color w:val="000000" w:themeColor="text1"/>
        </w:rPr>
        <w:t xml:space="preserve"> as in both situations, the representation binds the principal. </w:t>
      </w:r>
      <w:r w:rsidRPr="00DC550F">
        <w:rPr>
          <w:rFonts w:ascii="Times New Roman" w:hAnsi="Times New Roman" w:cs="Times New Roman"/>
          <w:color w:val="000000" w:themeColor="text1"/>
        </w:rPr>
        <w:t>This interpretation of FE does not wholly</w:t>
      </w:r>
      <w:r w:rsidR="001E68A9" w:rsidRPr="00DC550F">
        <w:rPr>
          <w:rFonts w:ascii="Times New Roman" w:hAnsi="Times New Roman" w:cs="Times New Roman"/>
          <w:color w:val="000000" w:themeColor="text1"/>
        </w:rPr>
        <w:t xml:space="preserve"> abolish the DOAA as ‘there is no conceptual incongruity inherent in such a situation’</w:t>
      </w:r>
      <w:r w:rsidR="0071012B"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32"/>
      </w:r>
      <w:r w:rsidR="001E68A9" w:rsidRPr="00DC550F">
        <w:rPr>
          <w:rFonts w:ascii="Times New Roman" w:hAnsi="Times New Roman" w:cs="Times New Roman"/>
          <w:color w:val="000000" w:themeColor="text1"/>
        </w:rPr>
        <w:t xml:space="preserve"> In this way, the source of the agent’s apparent authority to make representations of approval does not derive from his own representations but from the principal’s conduct in holding out that the agent could make such representations</w:t>
      </w:r>
      <w:r w:rsidR="001E68A9" w:rsidRPr="00DC550F">
        <w:rPr>
          <w:rStyle w:val="FootnoteReference"/>
          <w:rFonts w:ascii="Times New Roman" w:hAnsi="Times New Roman" w:cs="Times New Roman"/>
          <w:color w:val="000000" w:themeColor="text1"/>
        </w:rPr>
        <w:footnoteReference w:id="33"/>
      </w:r>
      <w:r w:rsidR="001E68A9" w:rsidRPr="00DC550F">
        <w:rPr>
          <w:rFonts w:ascii="Times New Roman" w:hAnsi="Times New Roman" w:cs="Times New Roman"/>
          <w:color w:val="000000" w:themeColor="text1"/>
        </w:rPr>
        <w:t xml:space="preserve">. </w:t>
      </w:r>
    </w:p>
    <w:p w14:paraId="075546DC" w14:textId="77777777" w:rsidR="001E68A9" w:rsidRPr="00DC550F" w:rsidRDefault="001E68A9" w:rsidP="001E68A9">
      <w:pPr>
        <w:spacing w:line="360" w:lineRule="auto"/>
        <w:jc w:val="both"/>
        <w:rPr>
          <w:rFonts w:ascii="Times New Roman" w:hAnsi="Times New Roman" w:cs="Times New Roman"/>
          <w:color w:val="000000" w:themeColor="text1"/>
        </w:rPr>
      </w:pPr>
    </w:p>
    <w:p w14:paraId="6D8C2BAD" w14:textId="1FDDF2A6" w:rsidR="001E68A9" w:rsidRPr="00DC550F" w:rsidRDefault="001E68A9" w:rsidP="001E68A9">
      <w:pPr>
        <w:widowControl w:val="0"/>
        <w:autoSpaceDE w:val="0"/>
        <w:autoSpaceDN w:val="0"/>
        <w:adjustRightInd w:val="0"/>
        <w:spacing w:after="240"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However, this approach is still contested as some argue </w:t>
      </w:r>
      <w:r w:rsidRPr="00DC550F">
        <w:rPr>
          <w:rFonts w:ascii="Times New Roman" w:hAnsi="Times New Roman" w:cs="Times New Roman"/>
          <w:i/>
          <w:color w:val="000000" w:themeColor="text1"/>
        </w:rPr>
        <w:t xml:space="preserve">FE </w:t>
      </w:r>
      <w:r w:rsidRPr="00DC550F">
        <w:rPr>
          <w:rFonts w:ascii="Times New Roman" w:hAnsi="Times New Roman" w:cs="Times New Roman"/>
          <w:color w:val="000000" w:themeColor="text1"/>
        </w:rPr>
        <w:t>is irreconcilable</w:t>
      </w:r>
      <w:r w:rsidRPr="00DC550F">
        <w:rPr>
          <w:rStyle w:val="FootnoteReference"/>
          <w:rFonts w:ascii="Times New Roman" w:hAnsi="Times New Roman" w:cs="Times New Roman"/>
          <w:color w:val="000000" w:themeColor="text1"/>
        </w:rPr>
        <w:footnoteReference w:id="34"/>
      </w:r>
      <w:r w:rsidRPr="00DC550F">
        <w:rPr>
          <w:rFonts w:ascii="Times New Roman" w:hAnsi="Times New Roman" w:cs="Times New Roman"/>
          <w:color w:val="000000" w:themeColor="text1"/>
        </w:rPr>
        <w:t xml:space="preserve"> with </w:t>
      </w:r>
      <w:proofErr w:type="spellStart"/>
      <w:r w:rsidRPr="00DC550F">
        <w:rPr>
          <w:rFonts w:ascii="Times New Roman" w:hAnsi="Times New Roman" w:cs="Times New Roman"/>
          <w:i/>
          <w:color w:val="000000" w:themeColor="text1"/>
        </w:rPr>
        <w:t>Armagas</w:t>
      </w:r>
      <w:proofErr w:type="spellEnd"/>
      <w:r w:rsidRPr="00DC550F">
        <w:rPr>
          <w:rFonts w:ascii="Times New Roman" w:hAnsi="Times New Roman" w:cs="Times New Roman"/>
          <w:i/>
          <w:color w:val="000000" w:themeColor="text1"/>
        </w:rPr>
        <w:t>.</w:t>
      </w:r>
      <w:r w:rsidRPr="00DC550F">
        <w:rPr>
          <w:rStyle w:val="FootnoteReference"/>
          <w:rFonts w:ascii="Times New Roman" w:hAnsi="Times New Roman" w:cs="Times New Roman"/>
          <w:color w:val="000000" w:themeColor="text1"/>
        </w:rPr>
        <w:footnoteReference w:id="35"/>
      </w:r>
      <w:r w:rsidRPr="00DC550F">
        <w:rPr>
          <w:rFonts w:ascii="Times New Roman" w:hAnsi="Times New Roman" w:cs="Times New Roman"/>
          <w:color w:val="000000" w:themeColor="text1"/>
        </w:rPr>
        <w:t xml:space="preserve"> This case held that where a party knows that an agent lacks authority to enter into a transaction, the principal will not be bound where the agent wrongly claims to have obtained such authority.</w:t>
      </w:r>
      <w:r w:rsidRPr="00DC550F">
        <w:rPr>
          <w:rStyle w:val="FootnoteReference"/>
          <w:rFonts w:ascii="Times New Roman" w:hAnsi="Times New Roman" w:cs="Times New Roman"/>
          <w:color w:val="000000" w:themeColor="text1"/>
        </w:rPr>
        <w:footnoteReference w:id="36"/>
      </w:r>
      <w:r w:rsidRPr="00DC550F">
        <w:rPr>
          <w:rFonts w:ascii="Times New Roman" w:hAnsi="Times New Roman" w:cs="Times New Roman"/>
          <w:color w:val="000000" w:themeColor="text1"/>
        </w:rPr>
        <w:t xml:space="preserve"> As a result,</w:t>
      </w:r>
      <w:r w:rsidRPr="00DC550F">
        <w:rPr>
          <w:rFonts w:ascii="Times New Roman" w:hAnsi="Times New Roman" w:cs="Times New Roman"/>
          <w:i/>
          <w:color w:val="000000" w:themeColor="text1"/>
        </w:rPr>
        <w:t xml:space="preserve"> </w:t>
      </w:r>
      <w:proofErr w:type="spellStart"/>
      <w:r w:rsidRPr="00DC550F">
        <w:rPr>
          <w:rFonts w:ascii="Times New Roman" w:hAnsi="Times New Roman" w:cs="Times New Roman"/>
          <w:i/>
          <w:color w:val="000000" w:themeColor="text1"/>
        </w:rPr>
        <w:t>Armagas</w:t>
      </w:r>
      <w:proofErr w:type="spellEnd"/>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recognises there is ‘no such thing as a self-authorising agent’</w:t>
      </w:r>
      <w:r w:rsidRPr="00DC550F">
        <w:rPr>
          <w:rStyle w:val="FootnoteReference"/>
          <w:rFonts w:ascii="Times New Roman" w:hAnsi="Times New Roman" w:cs="Times New Roman"/>
          <w:color w:val="000000" w:themeColor="text1"/>
        </w:rPr>
        <w:footnoteReference w:id="37"/>
      </w:r>
      <w:r w:rsidRPr="00DC550F">
        <w:rPr>
          <w:rFonts w:ascii="Times New Roman" w:hAnsi="Times New Roman" w:cs="Times New Roman"/>
          <w:color w:val="000000" w:themeColor="text1"/>
        </w:rPr>
        <w:t xml:space="preserve"> and to decide otherwise would ‘produce an extraordinary inconsistency’</w:t>
      </w:r>
      <w:r w:rsidR="0071012B"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38"/>
      </w:r>
      <w:r w:rsidRPr="00DC550F">
        <w:rPr>
          <w:rFonts w:ascii="Times New Roman" w:hAnsi="Times New Roman" w:cs="Times New Roman"/>
          <w:color w:val="000000" w:themeColor="text1"/>
        </w:rPr>
        <w:t xml:space="preserve"> </w:t>
      </w:r>
      <w:proofErr w:type="gramStart"/>
      <w:r w:rsidRPr="00DC550F">
        <w:rPr>
          <w:rFonts w:ascii="Times New Roman" w:hAnsi="Times New Roman" w:cs="Times New Roman"/>
          <w:color w:val="000000" w:themeColor="text1"/>
        </w:rPr>
        <w:t>reinforcing</w:t>
      </w:r>
      <w:proofErr w:type="gramEnd"/>
      <w:r w:rsidRPr="00DC550F">
        <w:rPr>
          <w:rFonts w:ascii="Times New Roman" w:hAnsi="Times New Roman" w:cs="Times New Roman"/>
          <w:color w:val="000000" w:themeColor="text1"/>
        </w:rPr>
        <w:t xml:space="preserve"> the traditional </w:t>
      </w:r>
      <w:proofErr w:type="spellStart"/>
      <w:r w:rsidRPr="00DC550F">
        <w:rPr>
          <w:rFonts w:ascii="Times New Roman" w:hAnsi="Times New Roman" w:cs="Times New Roman"/>
          <w:color w:val="000000" w:themeColor="text1"/>
        </w:rPr>
        <w:t>positon</w:t>
      </w:r>
      <w:proofErr w:type="spellEnd"/>
      <w:r w:rsidRPr="00DC550F">
        <w:rPr>
          <w:rFonts w:ascii="Times New Roman" w:hAnsi="Times New Roman" w:cs="Times New Roman"/>
          <w:color w:val="000000" w:themeColor="text1"/>
        </w:rPr>
        <w:t xml:space="preserve"> of apparent authority. T</w:t>
      </w:r>
      <w:r w:rsidR="002D7E45" w:rsidRPr="00DC550F">
        <w:rPr>
          <w:rFonts w:ascii="Times New Roman" w:hAnsi="Times New Roman" w:cs="Times New Roman"/>
          <w:color w:val="000000" w:themeColor="text1"/>
        </w:rPr>
        <w:t xml:space="preserve">his suggests </w:t>
      </w:r>
      <w:r w:rsidRPr="00DC550F">
        <w:rPr>
          <w:rFonts w:ascii="Times New Roman" w:hAnsi="Times New Roman" w:cs="Times New Roman"/>
          <w:color w:val="000000" w:themeColor="text1"/>
        </w:rPr>
        <w:t xml:space="preserve">that representations made by an agent cannot establish apparent authority. Some argue </w:t>
      </w:r>
      <w:proofErr w:type="spellStart"/>
      <w:r w:rsidRPr="00DC550F">
        <w:rPr>
          <w:rFonts w:ascii="Times New Roman" w:hAnsi="Times New Roman" w:cs="Times New Roman"/>
          <w:i/>
          <w:color w:val="000000" w:themeColor="text1"/>
        </w:rPr>
        <w:t>Armagas</w:t>
      </w:r>
      <w:proofErr w:type="spellEnd"/>
      <w:r w:rsidRPr="00DC550F">
        <w:rPr>
          <w:rFonts w:ascii="Times New Roman" w:hAnsi="Times New Roman" w:cs="Times New Roman"/>
          <w:color w:val="000000" w:themeColor="text1"/>
        </w:rPr>
        <w:t xml:space="preserve"> does not accord with </w:t>
      </w:r>
      <w:r w:rsidRPr="00DC550F">
        <w:rPr>
          <w:rFonts w:ascii="Times New Roman" w:hAnsi="Times New Roman" w:cs="Times New Roman"/>
          <w:i/>
          <w:color w:val="000000" w:themeColor="text1"/>
        </w:rPr>
        <w:t>FE</w:t>
      </w:r>
      <w:r w:rsidRPr="00DC550F">
        <w:rPr>
          <w:rStyle w:val="FootnoteReference"/>
          <w:rFonts w:ascii="Times New Roman" w:hAnsi="Times New Roman" w:cs="Times New Roman"/>
          <w:i/>
          <w:color w:val="000000" w:themeColor="text1"/>
        </w:rPr>
        <w:footnoteReference w:id="39"/>
      </w:r>
      <w:r w:rsidRPr="00DC550F">
        <w:rPr>
          <w:rFonts w:ascii="Times New Roman" w:hAnsi="Times New Roman" w:cs="Times New Roman"/>
          <w:color w:val="000000" w:themeColor="text1"/>
        </w:rPr>
        <w:t xml:space="preserve">, as an agent was allowed to make a representation as to his </w:t>
      </w:r>
      <w:r w:rsidRPr="00DC550F">
        <w:rPr>
          <w:rFonts w:ascii="Times New Roman" w:hAnsi="Times New Roman" w:cs="Times New Roman"/>
          <w:color w:val="000000" w:themeColor="text1"/>
        </w:rPr>
        <w:lastRenderedPageBreak/>
        <w:t>apparent authority. As a result, commentators</w:t>
      </w:r>
      <w:r w:rsidR="002D7E45" w:rsidRPr="00DC550F">
        <w:rPr>
          <w:rFonts w:ascii="Times New Roman" w:hAnsi="Times New Roman" w:cs="Times New Roman"/>
          <w:color w:val="000000" w:themeColor="text1"/>
        </w:rPr>
        <w:t>, including Reynolds,</w:t>
      </w:r>
      <w:r w:rsidRPr="00DC550F">
        <w:rPr>
          <w:rFonts w:ascii="Times New Roman" w:hAnsi="Times New Roman" w:cs="Times New Roman"/>
          <w:color w:val="000000" w:themeColor="text1"/>
        </w:rPr>
        <w:t xml:space="preserve"> have described </w:t>
      </w:r>
      <w:r w:rsidRPr="00DC550F">
        <w:rPr>
          <w:rFonts w:ascii="Times New Roman" w:hAnsi="Times New Roman" w:cs="Times New Roman"/>
          <w:i/>
          <w:color w:val="000000" w:themeColor="text1"/>
        </w:rPr>
        <w:t>FE</w:t>
      </w:r>
      <w:r w:rsidRPr="00DC550F">
        <w:rPr>
          <w:rFonts w:ascii="Times New Roman" w:hAnsi="Times New Roman" w:cs="Times New Roman"/>
          <w:color w:val="000000" w:themeColor="text1"/>
        </w:rPr>
        <w:t xml:space="preserve"> as inconsistent with </w:t>
      </w:r>
      <w:proofErr w:type="spellStart"/>
      <w:r w:rsidRPr="00DC550F">
        <w:rPr>
          <w:rFonts w:ascii="Times New Roman" w:hAnsi="Times New Roman" w:cs="Times New Roman"/>
          <w:i/>
          <w:color w:val="000000" w:themeColor="text1"/>
        </w:rPr>
        <w:t>Armagas</w:t>
      </w:r>
      <w:proofErr w:type="spellEnd"/>
      <w:r w:rsidRPr="00DC550F">
        <w:rPr>
          <w:rFonts w:ascii="Times New Roman" w:hAnsi="Times New Roman" w:cs="Times New Roman"/>
          <w:color w:val="000000" w:themeColor="text1"/>
        </w:rPr>
        <w:t xml:space="preserve"> and an ‘example of a difficult case making bad law.’</w:t>
      </w:r>
      <w:r w:rsidRPr="00DC550F">
        <w:rPr>
          <w:rStyle w:val="FootnoteReference"/>
          <w:rFonts w:ascii="Times New Roman" w:hAnsi="Times New Roman" w:cs="Times New Roman"/>
          <w:color w:val="000000" w:themeColor="text1"/>
        </w:rPr>
        <w:footnoteReference w:id="40"/>
      </w:r>
    </w:p>
    <w:p w14:paraId="3574902C" w14:textId="0C1EAB2E" w:rsidR="001E68A9" w:rsidRPr="00DC550F" w:rsidRDefault="002D7E45" w:rsidP="001E68A9">
      <w:pPr>
        <w:widowControl w:val="0"/>
        <w:autoSpaceDE w:val="0"/>
        <w:autoSpaceDN w:val="0"/>
        <w:adjustRightInd w:val="0"/>
        <w:spacing w:after="240"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In agreement with Lord </w:t>
      </w:r>
      <w:proofErr w:type="spellStart"/>
      <w:r w:rsidRPr="00DC550F">
        <w:rPr>
          <w:rFonts w:ascii="Times New Roman" w:hAnsi="Times New Roman" w:cs="Times New Roman"/>
          <w:color w:val="000000" w:themeColor="text1"/>
        </w:rPr>
        <w:t>Sumption</w:t>
      </w:r>
      <w:proofErr w:type="spellEnd"/>
      <w:r w:rsidRPr="00DC550F">
        <w:rPr>
          <w:rFonts w:ascii="Times New Roman" w:hAnsi="Times New Roman" w:cs="Times New Roman"/>
          <w:color w:val="000000" w:themeColor="text1"/>
        </w:rPr>
        <w:t xml:space="preserve"> in </w:t>
      </w:r>
      <w:r w:rsidRPr="00DC550F">
        <w:rPr>
          <w:rFonts w:ascii="Times New Roman" w:hAnsi="Times New Roman" w:cs="Times New Roman"/>
          <w:i/>
          <w:color w:val="000000" w:themeColor="text1"/>
        </w:rPr>
        <w:t>Kelly v Fraser</w:t>
      </w:r>
      <w:r w:rsidR="00DC550F" w:rsidRPr="00DC550F">
        <w:rPr>
          <w:rFonts w:ascii="Times New Roman" w:hAnsi="Times New Roman" w:cs="Times New Roman"/>
          <w:i/>
          <w:color w:val="000000" w:themeColor="text1"/>
        </w:rPr>
        <w:t>,</w:t>
      </w:r>
      <w:r w:rsidR="0035087A" w:rsidRPr="00DC550F">
        <w:rPr>
          <w:rStyle w:val="FootnoteReference"/>
          <w:rFonts w:ascii="Times New Roman" w:hAnsi="Times New Roman" w:cs="Times New Roman"/>
          <w:i/>
          <w:color w:val="000000" w:themeColor="text1"/>
        </w:rPr>
        <w:footnoteReference w:id="41"/>
      </w:r>
      <w:r w:rsidRPr="00DC550F">
        <w:rPr>
          <w:rFonts w:ascii="Times New Roman" w:hAnsi="Times New Roman" w:cs="Times New Roman"/>
          <w:color w:val="000000" w:themeColor="text1"/>
        </w:rPr>
        <w:t xml:space="preserve"> a</w:t>
      </w:r>
      <w:r w:rsidR="001E68A9" w:rsidRPr="00DC550F">
        <w:rPr>
          <w:rFonts w:ascii="Times New Roman" w:hAnsi="Times New Roman" w:cs="Times New Roman"/>
          <w:color w:val="000000" w:themeColor="text1"/>
        </w:rPr>
        <w:t xml:space="preserve">lthough some suggest that there is inconsistency between the two </w:t>
      </w:r>
      <w:proofErr w:type="gramStart"/>
      <w:r w:rsidR="001E68A9" w:rsidRPr="00DC550F">
        <w:rPr>
          <w:rFonts w:ascii="Times New Roman" w:hAnsi="Times New Roman" w:cs="Times New Roman"/>
          <w:color w:val="000000" w:themeColor="text1"/>
        </w:rPr>
        <w:t>cases</w:t>
      </w:r>
      <w:r w:rsidRPr="00DC550F">
        <w:rPr>
          <w:rFonts w:ascii="Times New Roman" w:hAnsi="Times New Roman" w:cs="Times New Roman"/>
          <w:color w:val="000000" w:themeColor="text1"/>
        </w:rPr>
        <w:t>,</w:t>
      </w:r>
      <w:proofErr w:type="gramEnd"/>
      <w:r w:rsidR="001E68A9" w:rsidRPr="00DC550F">
        <w:rPr>
          <w:rStyle w:val="FootnoteReference"/>
          <w:rFonts w:ascii="Times New Roman" w:hAnsi="Times New Roman" w:cs="Times New Roman"/>
          <w:color w:val="000000" w:themeColor="text1"/>
        </w:rPr>
        <w:footnoteReference w:id="42"/>
      </w:r>
      <w:r w:rsidR="001E68A9" w:rsidRPr="00DC550F">
        <w:rPr>
          <w:rFonts w:ascii="Times New Roman" w:hAnsi="Times New Roman" w:cs="Times New Roman"/>
          <w:color w:val="000000" w:themeColor="text1"/>
        </w:rPr>
        <w:t xml:space="preserve"> </w:t>
      </w:r>
      <w:r w:rsidR="001E68A9" w:rsidRPr="00DC550F">
        <w:rPr>
          <w:rFonts w:ascii="Times New Roman" w:hAnsi="Times New Roman" w:cs="Times New Roman"/>
          <w:i/>
          <w:color w:val="000000" w:themeColor="text1"/>
        </w:rPr>
        <w:t>FE</w:t>
      </w:r>
      <w:r w:rsidR="001E68A9" w:rsidRPr="00DC550F">
        <w:rPr>
          <w:rFonts w:ascii="Times New Roman" w:hAnsi="Times New Roman" w:cs="Times New Roman"/>
          <w:color w:val="000000" w:themeColor="text1"/>
        </w:rPr>
        <w:t xml:space="preserve"> can be distinguished from </w:t>
      </w:r>
      <w:proofErr w:type="spellStart"/>
      <w:r w:rsidR="001E68A9" w:rsidRPr="00DC550F">
        <w:rPr>
          <w:rFonts w:ascii="Times New Roman" w:hAnsi="Times New Roman" w:cs="Times New Roman"/>
          <w:i/>
          <w:color w:val="000000" w:themeColor="text1"/>
        </w:rPr>
        <w:t>Armagas</w:t>
      </w:r>
      <w:proofErr w:type="spellEnd"/>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as</w:t>
      </w:r>
      <w:r w:rsidR="001E68A9" w:rsidRPr="00DC550F">
        <w:rPr>
          <w:rFonts w:ascii="Times New Roman" w:hAnsi="Times New Roman" w:cs="Times New Roman"/>
          <w:color w:val="000000" w:themeColor="text1"/>
        </w:rPr>
        <w:t xml:space="preserve"> ‘every case calls for a careful examination of its particular facts’</w:t>
      </w:r>
      <w:r w:rsidR="0071012B"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43"/>
      </w:r>
      <w:r w:rsidR="001E68A9" w:rsidRPr="00DC550F">
        <w:rPr>
          <w:rFonts w:ascii="Times New Roman" w:hAnsi="Times New Roman" w:cs="Times New Roman"/>
          <w:color w:val="000000" w:themeColor="text1"/>
        </w:rPr>
        <w:t xml:space="preserve"> The main distinction which is widely discussed and will be extensively analysed is based on the seniority of the agent.</w:t>
      </w:r>
      <w:r w:rsidR="001E68A9" w:rsidRPr="00DC550F">
        <w:rPr>
          <w:rStyle w:val="FootnoteReference"/>
          <w:rFonts w:ascii="Times New Roman" w:hAnsi="Times New Roman" w:cs="Times New Roman"/>
          <w:color w:val="000000" w:themeColor="text1"/>
        </w:rPr>
        <w:footnoteReference w:id="44"/>
      </w:r>
      <w:r w:rsidR="001E68A9" w:rsidRPr="00DC550F">
        <w:rPr>
          <w:rFonts w:ascii="Times New Roman" w:hAnsi="Times New Roman" w:cs="Times New Roman"/>
          <w:color w:val="000000" w:themeColor="text1"/>
        </w:rPr>
        <w:t xml:space="preserve"> In </w:t>
      </w:r>
      <w:proofErr w:type="spellStart"/>
      <w:r w:rsidR="001E68A9" w:rsidRPr="00DC550F">
        <w:rPr>
          <w:rFonts w:ascii="Times New Roman" w:hAnsi="Times New Roman" w:cs="Times New Roman"/>
          <w:i/>
          <w:color w:val="000000" w:themeColor="text1"/>
        </w:rPr>
        <w:t>Armagas</w:t>
      </w:r>
      <w:proofErr w:type="spellEnd"/>
      <w:r w:rsidR="001E68A9" w:rsidRPr="00DC550F">
        <w:rPr>
          <w:rFonts w:ascii="Times New Roman" w:hAnsi="Times New Roman" w:cs="Times New Roman"/>
          <w:i/>
          <w:color w:val="000000" w:themeColor="text1"/>
        </w:rPr>
        <w:t>,</w:t>
      </w:r>
      <w:r w:rsidR="001E68A9" w:rsidRPr="00DC550F">
        <w:rPr>
          <w:rFonts w:ascii="Times New Roman" w:hAnsi="Times New Roman" w:cs="Times New Roman"/>
          <w:color w:val="000000" w:themeColor="text1"/>
        </w:rPr>
        <w:t xml:space="preserve"> both the alleged authority to enter into a transaction and</w:t>
      </w:r>
      <w:r w:rsidR="001E68A9" w:rsidRPr="00DC550F">
        <w:rPr>
          <w:rFonts w:ascii="Times New Roman" w:hAnsi="Times New Roman" w:cs="Times New Roman"/>
          <w:i/>
          <w:color w:val="000000" w:themeColor="text1"/>
        </w:rPr>
        <w:t xml:space="preserve"> </w:t>
      </w:r>
      <w:r w:rsidR="001E68A9" w:rsidRPr="00DC550F">
        <w:rPr>
          <w:rFonts w:ascii="Times New Roman" w:hAnsi="Times New Roman" w:cs="Times New Roman"/>
          <w:color w:val="000000" w:themeColor="text1"/>
        </w:rPr>
        <w:t xml:space="preserve">communicate approval of a transaction </w:t>
      </w:r>
      <w:proofErr w:type="gramStart"/>
      <w:r w:rsidR="001E68A9" w:rsidRPr="00DC550F">
        <w:rPr>
          <w:rFonts w:ascii="Times New Roman" w:hAnsi="Times New Roman" w:cs="Times New Roman"/>
          <w:color w:val="000000" w:themeColor="text1"/>
        </w:rPr>
        <w:t>were</w:t>
      </w:r>
      <w:proofErr w:type="gramEnd"/>
      <w:r w:rsidR="001E68A9" w:rsidRPr="00DC550F">
        <w:rPr>
          <w:rFonts w:ascii="Times New Roman" w:hAnsi="Times New Roman" w:cs="Times New Roman"/>
          <w:color w:val="000000" w:themeColor="text1"/>
        </w:rPr>
        <w:t xml:space="preserve"> found not to exist, as the court treated them as interchangeable.</w:t>
      </w:r>
      <w:r w:rsidR="001E68A9" w:rsidRPr="00DC550F">
        <w:rPr>
          <w:rStyle w:val="FootnoteReference"/>
          <w:rFonts w:ascii="Times New Roman" w:hAnsi="Times New Roman" w:cs="Times New Roman"/>
          <w:color w:val="000000" w:themeColor="text1"/>
        </w:rPr>
        <w:footnoteReference w:id="45"/>
      </w:r>
      <w:r w:rsidR="001E68A9" w:rsidRPr="00DC550F">
        <w:rPr>
          <w:rFonts w:ascii="Times New Roman" w:hAnsi="Times New Roman" w:cs="Times New Roman"/>
          <w:color w:val="000000" w:themeColor="text1"/>
        </w:rPr>
        <w:t xml:space="preserve"> However, </w:t>
      </w:r>
      <w:proofErr w:type="spellStart"/>
      <w:r w:rsidR="001E68A9" w:rsidRPr="00DC550F">
        <w:rPr>
          <w:rFonts w:ascii="Times New Roman" w:hAnsi="Times New Roman" w:cs="Times New Roman"/>
          <w:i/>
          <w:color w:val="000000" w:themeColor="text1"/>
        </w:rPr>
        <w:t>Armagas</w:t>
      </w:r>
      <w:proofErr w:type="spellEnd"/>
      <w:r w:rsidR="001E68A9" w:rsidRPr="00DC550F">
        <w:rPr>
          <w:rFonts w:ascii="Times New Roman" w:hAnsi="Times New Roman" w:cs="Times New Roman"/>
          <w:i/>
          <w:color w:val="000000" w:themeColor="text1"/>
        </w:rPr>
        <w:t xml:space="preserve"> </w:t>
      </w:r>
      <w:r w:rsidR="001E68A9" w:rsidRPr="00DC550F">
        <w:rPr>
          <w:rFonts w:ascii="Times New Roman" w:hAnsi="Times New Roman" w:cs="Times New Roman"/>
          <w:color w:val="000000" w:themeColor="text1"/>
        </w:rPr>
        <w:t xml:space="preserve">did not deal expressly with a situation </w:t>
      </w:r>
      <w:r w:rsidR="001E68A9" w:rsidRPr="00DC550F">
        <w:rPr>
          <w:rStyle w:val="FootnoteReference"/>
          <w:rFonts w:ascii="Times New Roman" w:hAnsi="Times New Roman" w:cs="Times New Roman"/>
          <w:color w:val="000000" w:themeColor="text1"/>
        </w:rPr>
        <w:footnoteReference w:id="46"/>
      </w:r>
      <w:r w:rsidR="001E68A9" w:rsidRPr="00DC550F">
        <w:rPr>
          <w:rFonts w:ascii="Times New Roman" w:hAnsi="Times New Roman" w:cs="Times New Roman"/>
          <w:color w:val="000000" w:themeColor="text1"/>
        </w:rPr>
        <w:t xml:space="preserve"> where the agent by virtue of his </w:t>
      </w:r>
      <w:r w:rsidR="001E68A9" w:rsidRPr="0091589A">
        <w:rPr>
          <w:rFonts w:ascii="Times New Roman" w:hAnsi="Times New Roman" w:cs="Times New Roman"/>
          <w:color w:val="000000" w:themeColor="text1"/>
        </w:rPr>
        <w:t>position</w:t>
      </w:r>
      <w:r w:rsidR="001E68A9" w:rsidRPr="00DC550F">
        <w:rPr>
          <w:rFonts w:ascii="Times New Roman" w:hAnsi="Times New Roman" w:cs="Times New Roman"/>
          <w:i/>
          <w:color w:val="000000" w:themeColor="text1"/>
        </w:rPr>
        <w:t xml:space="preserve"> </w:t>
      </w:r>
      <w:r w:rsidR="001E68A9" w:rsidRPr="00DC550F">
        <w:rPr>
          <w:rFonts w:ascii="Times New Roman" w:hAnsi="Times New Roman" w:cs="Times New Roman"/>
          <w:color w:val="000000" w:themeColor="text1"/>
        </w:rPr>
        <w:t>necessarily had some authority to communicate decisions made by his seniors</w:t>
      </w:r>
      <w:r w:rsidR="00253EF3"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47"/>
      </w:r>
      <w:r w:rsidR="001E68A9" w:rsidRPr="00DC550F">
        <w:rPr>
          <w:rFonts w:ascii="Times New Roman" w:hAnsi="Times New Roman" w:cs="Times New Roman"/>
          <w:color w:val="000000" w:themeColor="text1"/>
        </w:rPr>
        <w:t xml:space="preserve"> The distinction suggests that </w:t>
      </w:r>
      <w:r w:rsidR="001E68A9" w:rsidRPr="00DC550F">
        <w:rPr>
          <w:rFonts w:ascii="Times New Roman" w:hAnsi="Times New Roman" w:cs="Times New Roman"/>
          <w:i/>
          <w:color w:val="000000" w:themeColor="text1"/>
        </w:rPr>
        <w:t xml:space="preserve">FE </w:t>
      </w:r>
      <w:r w:rsidR="001E68A9" w:rsidRPr="00DC550F">
        <w:rPr>
          <w:rFonts w:ascii="Times New Roman" w:hAnsi="Times New Roman" w:cs="Times New Roman"/>
          <w:color w:val="000000" w:themeColor="text1"/>
        </w:rPr>
        <w:t>is not as ‘revolutionary’</w:t>
      </w:r>
      <w:r w:rsidR="001E68A9" w:rsidRPr="00DC550F">
        <w:rPr>
          <w:rStyle w:val="FootnoteReference"/>
          <w:rFonts w:ascii="Times New Roman" w:hAnsi="Times New Roman" w:cs="Times New Roman"/>
          <w:color w:val="000000" w:themeColor="text1"/>
        </w:rPr>
        <w:footnoteReference w:id="48"/>
      </w:r>
      <w:r w:rsidR="001E68A9" w:rsidRPr="00DC550F">
        <w:rPr>
          <w:rFonts w:ascii="Times New Roman" w:hAnsi="Times New Roman" w:cs="Times New Roman"/>
          <w:color w:val="000000" w:themeColor="text1"/>
        </w:rPr>
        <w:t xml:space="preserve"> as initially believed because it can be distinguished from </w:t>
      </w:r>
      <w:proofErr w:type="spellStart"/>
      <w:r w:rsidR="001E68A9" w:rsidRPr="00DC550F">
        <w:rPr>
          <w:rFonts w:ascii="Times New Roman" w:hAnsi="Times New Roman" w:cs="Times New Roman"/>
          <w:i/>
          <w:color w:val="000000" w:themeColor="text1"/>
        </w:rPr>
        <w:t>Armagas</w:t>
      </w:r>
      <w:proofErr w:type="spellEnd"/>
      <w:r w:rsidR="001E68A9" w:rsidRPr="00DC550F">
        <w:rPr>
          <w:rFonts w:ascii="Times New Roman" w:hAnsi="Times New Roman" w:cs="Times New Roman"/>
          <w:color w:val="000000" w:themeColor="text1"/>
        </w:rPr>
        <w:t xml:space="preserve"> based on the agent’s position. </w:t>
      </w:r>
      <w:proofErr w:type="gramStart"/>
      <w:r w:rsidR="001E68A9" w:rsidRPr="00DC550F">
        <w:rPr>
          <w:rFonts w:ascii="Times New Roman" w:hAnsi="Times New Roman" w:cs="Times New Roman"/>
          <w:color w:val="000000" w:themeColor="text1"/>
        </w:rPr>
        <w:t>Thus, undermining the submission that the two cases cannot be reconciled.</w:t>
      </w:r>
      <w:proofErr w:type="gramEnd"/>
    </w:p>
    <w:p w14:paraId="53CBB96E" w14:textId="48668FB3" w:rsidR="001E68A9" w:rsidRPr="00DC550F" w:rsidRDefault="001E68A9" w:rsidP="001E68A9">
      <w:pPr>
        <w:widowControl w:val="0"/>
        <w:autoSpaceDE w:val="0"/>
        <w:autoSpaceDN w:val="0"/>
        <w:adjustRightInd w:val="0"/>
        <w:spacing w:after="240"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The recognition of the agent’s position has been welcomed as it would be unrealistic for a plaintiff to question the agent’s general apparent authority which enabled him to communicate the approval of the transaction in question</w:t>
      </w:r>
      <w:r w:rsidR="00425D25"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49"/>
      </w:r>
      <w:r w:rsidRPr="00DC550F">
        <w:rPr>
          <w:rFonts w:ascii="Times New Roman" w:hAnsi="Times New Roman" w:cs="Times New Roman"/>
          <w:color w:val="000000" w:themeColor="text1"/>
        </w:rPr>
        <w:t xml:space="preserve"> Academics </w:t>
      </w:r>
      <w:r w:rsidR="00031FE4" w:rsidRPr="00DC550F">
        <w:rPr>
          <w:rFonts w:ascii="Times New Roman" w:hAnsi="Times New Roman" w:cs="Times New Roman"/>
          <w:color w:val="000000" w:themeColor="text1"/>
        </w:rPr>
        <w:t xml:space="preserve">correctly </w:t>
      </w:r>
      <w:r w:rsidRPr="00DC550F">
        <w:rPr>
          <w:rFonts w:ascii="Times New Roman" w:hAnsi="Times New Roman" w:cs="Times New Roman"/>
          <w:color w:val="000000" w:themeColor="text1"/>
        </w:rPr>
        <w:t>suggest that it is ‘unreasonable’,</w:t>
      </w:r>
      <w:r w:rsidRPr="00DC550F">
        <w:rPr>
          <w:rStyle w:val="FootnoteReference"/>
          <w:rFonts w:ascii="Times New Roman" w:hAnsi="Times New Roman" w:cs="Times New Roman"/>
          <w:color w:val="000000" w:themeColor="text1"/>
        </w:rPr>
        <w:footnoteReference w:id="50"/>
      </w:r>
      <w:r w:rsidRPr="00DC550F">
        <w:rPr>
          <w:rFonts w:ascii="Times New Roman" w:hAnsi="Times New Roman" w:cs="Times New Roman"/>
          <w:color w:val="000000" w:themeColor="text1"/>
        </w:rPr>
        <w:t xml:space="preserve"> ‘risky’,</w:t>
      </w:r>
      <w:r w:rsidRPr="00DC550F">
        <w:rPr>
          <w:rStyle w:val="FootnoteReference"/>
          <w:rFonts w:ascii="Times New Roman" w:hAnsi="Times New Roman" w:cs="Times New Roman"/>
          <w:color w:val="000000" w:themeColor="text1"/>
        </w:rPr>
        <w:footnoteReference w:id="51"/>
      </w:r>
      <w:r w:rsidRPr="00DC550F">
        <w:rPr>
          <w:rFonts w:ascii="Times New Roman" w:hAnsi="Times New Roman" w:cs="Times New Roman"/>
          <w:color w:val="000000" w:themeColor="text1"/>
        </w:rPr>
        <w:t>‘commercially unwise’</w:t>
      </w:r>
      <w:r w:rsidRPr="00DC550F">
        <w:rPr>
          <w:rStyle w:val="FootnoteReference"/>
          <w:rFonts w:ascii="Times New Roman" w:hAnsi="Times New Roman" w:cs="Times New Roman"/>
          <w:color w:val="000000" w:themeColor="text1"/>
        </w:rPr>
        <w:footnoteReference w:id="52"/>
      </w:r>
      <w:r w:rsidRPr="00DC550F">
        <w:rPr>
          <w:rFonts w:ascii="Times New Roman" w:hAnsi="Times New Roman" w:cs="Times New Roman"/>
          <w:color w:val="000000" w:themeColor="text1"/>
        </w:rPr>
        <w:t xml:space="preserve"> and ‘absurd’</w:t>
      </w:r>
      <w:r w:rsidRPr="00DC550F">
        <w:rPr>
          <w:rStyle w:val="FootnoteReference"/>
          <w:rFonts w:ascii="Times New Roman" w:hAnsi="Times New Roman" w:cs="Times New Roman"/>
          <w:color w:val="000000" w:themeColor="text1"/>
        </w:rPr>
        <w:footnoteReference w:id="53"/>
      </w:r>
      <w:r w:rsidR="00031FE4" w:rsidRPr="00DC550F">
        <w:rPr>
          <w:rFonts w:ascii="Times New Roman" w:hAnsi="Times New Roman" w:cs="Times New Roman"/>
          <w:color w:val="000000" w:themeColor="text1"/>
        </w:rPr>
        <w:t xml:space="preserve"> to propose a</w:t>
      </w:r>
      <w:r w:rsidRPr="00DC550F">
        <w:rPr>
          <w:rFonts w:ascii="Times New Roman" w:hAnsi="Times New Roman" w:cs="Times New Roman"/>
          <w:color w:val="000000" w:themeColor="text1"/>
        </w:rPr>
        <w:t xml:space="preserve"> third party should seek information from the board of directors.</w:t>
      </w:r>
      <w:r w:rsidRPr="00DC550F">
        <w:rPr>
          <w:rStyle w:val="FootnoteReference"/>
          <w:rFonts w:ascii="Times New Roman" w:hAnsi="Times New Roman" w:cs="Times New Roman"/>
          <w:color w:val="000000" w:themeColor="text1"/>
        </w:rPr>
        <w:footnoteReference w:id="54"/>
      </w:r>
      <w:r w:rsidRPr="00DC550F">
        <w:rPr>
          <w:rFonts w:ascii="Times New Roman" w:hAnsi="Times New Roman" w:cs="Times New Roman"/>
          <w:color w:val="000000" w:themeColor="text1"/>
        </w:rPr>
        <w:t xml:space="preserve"> Therefore, this development has been welcomed by the judiciary</w:t>
      </w:r>
      <w:r w:rsidRPr="00DC550F">
        <w:rPr>
          <w:rStyle w:val="FootnoteReference"/>
          <w:rFonts w:ascii="Times New Roman" w:hAnsi="Times New Roman" w:cs="Times New Roman"/>
          <w:color w:val="000000" w:themeColor="text1"/>
        </w:rPr>
        <w:footnoteReference w:id="55"/>
      </w:r>
      <w:r w:rsidRPr="00DC550F">
        <w:rPr>
          <w:rFonts w:ascii="Times New Roman" w:hAnsi="Times New Roman" w:cs="Times New Roman"/>
          <w:color w:val="000000" w:themeColor="text1"/>
        </w:rPr>
        <w:t xml:space="preserve"> as it complies with commercial reality</w:t>
      </w:r>
      <w:r w:rsidRPr="00DC550F">
        <w:rPr>
          <w:rStyle w:val="FootnoteReference"/>
          <w:rFonts w:ascii="Times New Roman" w:hAnsi="Times New Roman" w:cs="Times New Roman"/>
          <w:color w:val="000000" w:themeColor="text1"/>
        </w:rPr>
        <w:footnoteReference w:id="56"/>
      </w:r>
      <w:r w:rsidRPr="00DC550F">
        <w:rPr>
          <w:rFonts w:ascii="Times New Roman" w:hAnsi="Times New Roman" w:cs="Times New Roman"/>
          <w:color w:val="000000" w:themeColor="text1"/>
        </w:rPr>
        <w:t xml:space="preserve"> that where an agent is clothed with authority by his principal to make representations of fact</w:t>
      </w:r>
      <w:r w:rsidRPr="00DC550F">
        <w:rPr>
          <w:rStyle w:val="FootnoteReference"/>
          <w:rFonts w:ascii="Times New Roman" w:hAnsi="Times New Roman" w:cs="Times New Roman"/>
          <w:color w:val="000000" w:themeColor="text1"/>
        </w:rPr>
        <w:footnoteReference w:id="57"/>
      </w:r>
      <w:r w:rsidRPr="00DC550F">
        <w:rPr>
          <w:rFonts w:ascii="Times New Roman" w:hAnsi="Times New Roman" w:cs="Times New Roman"/>
          <w:color w:val="000000" w:themeColor="text1"/>
        </w:rPr>
        <w:t xml:space="preserve">, it is not </w:t>
      </w:r>
      <w:r w:rsidRPr="00DC550F">
        <w:rPr>
          <w:rFonts w:ascii="Times New Roman" w:hAnsi="Times New Roman" w:cs="Times New Roman"/>
          <w:color w:val="000000" w:themeColor="text1"/>
        </w:rPr>
        <w:lastRenderedPageBreak/>
        <w:t>always ‘realistic’</w:t>
      </w:r>
      <w:r w:rsidRPr="00DC550F">
        <w:rPr>
          <w:rStyle w:val="FootnoteReference"/>
          <w:rFonts w:ascii="Times New Roman" w:hAnsi="Times New Roman" w:cs="Times New Roman"/>
          <w:color w:val="000000" w:themeColor="text1"/>
        </w:rPr>
        <w:footnoteReference w:id="58"/>
      </w:r>
      <w:r w:rsidRPr="00DC550F">
        <w:rPr>
          <w:rFonts w:ascii="Times New Roman" w:hAnsi="Times New Roman" w:cs="Times New Roman"/>
          <w:color w:val="000000" w:themeColor="text1"/>
        </w:rPr>
        <w:t xml:space="preserve"> to question their authority. Furthermore, such a requirement would not afford adequate protection to third parties. </w:t>
      </w:r>
    </w:p>
    <w:p w14:paraId="49959BCF" w14:textId="75749F55" w:rsidR="001E68A9" w:rsidRPr="00DC550F" w:rsidRDefault="00F00D3F"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Despite this argument being the most advanced</w:t>
      </w:r>
      <w:r w:rsidR="001E68A9"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Tan contends that</w:t>
      </w:r>
      <w:r w:rsidR="001E68A9" w:rsidRPr="00DC550F">
        <w:rPr>
          <w:rFonts w:ascii="Times New Roman" w:hAnsi="Times New Roman" w:cs="Times New Roman"/>
          <w:color w:val="000000" w:themeColor="text1"/>
        </w:rPr>
        <w:t xml:space="preserve"> it would have been reasonable for the third party in </w:t>
      </w:r>
      <w:r w:rsidR="001E68A9" w:rsidRPr="00DC550F">
        <w:rPr>
          <w:rFonts w:ascii="Times New Roman" w:hAnsi="Times New Roman" w:cs="Times New Roman"/>
          <w:i/>
          <w:iCs/>
          <w:color w:val="000000" w:themeColor="text1"/>
        </w:rPr>
        <w:t xml:space="preserve">FE </w:t>
      </w:r>
      <w:r w:rsidR="001E68A9" w:rsidRPr="00DC550F">
        <w:rPr>
          <w:rFonts w:ascii="Times New Roman" w:hAnsi="Times New Roman" w:cs="Times New Roman"/>
          <w:color w:val="000000" w:themeColor="text1"/>
        </w:rPr>
        <w:t>to have checked the authority of the agent with the principal</w:t>
      </w:r>
      <w:r w:rsidR="00253EF3"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59"/>
      </w:r>
      <w:r w:rsidR="001E68A9"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This is because</w:t>
      </w:r>
      <w:r w:rsidR="001E68A9" w:rsidRPr="00DC550F">
        <w:rPr>
          <w:rFonts w:ascii="Times New Roman" w:hAnsi="Times New Roman" w:cs="Times New Roman"/>
          <w:color w:val="000000" w:themeColor="text1"/>
        </w:rPr>
        <w:t xml:space="preserve"> </w:t>
      </w:r>
      <w:r w:rsidR="001E68A9" w:rsidRPr="00DC550F">
        <w:rPr>
          <w:rFonts w:ascii="Times New Roman" w:hAnsi="Times New Roman" w:cs="Times New Roman"/>
          <w:i/>
          <w:color w:val="000000" w:themeColor="text1"/>
        </w:rPr>
        <w:t>FE</w:t>
      </w:r>
      <w:r w:rsidR="001E68A9" w:rsidRPr="00DC550F">
        <w:rPr>
          <w:rFonts w:ascii="Times New Roman" w:hAnsi="Times New Roman" w:cs="Times New Roman"/>
          <w:color w:val="000000" w:themeColor="text1"/>
        </w:rPr>
        <w:t xml:space="preserve"> did not concern ‘a run of the mill transaction’ and involved a </w:t>
      </w:r>
      <w:r w:rsidRPr="00DC550F">
        <w:rPr>
          <w:rFonts w:ascii="Times New Roman" w:hAnsi="Times New Roman" w:cs="Times New Roman"/>
          <w:color w:val="000000" w:themeColor="text1"/>
        </w:rPr>
        <w:t>‘</w:t>
      </w:r>
      <w:r w:rsidR="00253EF3" w:rsidRPr="00DC550F">
        <w:rPr>
          <w:rFonts w:ascii="Times New Roman" w:hAnsi="Times New Roman" w:cs="Times New Roman"/>
          <w:color w:val="000000" w:themeColor="text1"/>
        </w:rPr>
        <w:t>long process of negotiation</w:t>
      </w:r>
      <w:r w:rsidRPr="00DC550F">
        <w:rPr>
          <w:rFonts w:ascii="Times New Roman" w:hAnsi="Times New Roman" w:cs="Times New Roman"/>
          <w:color w:val="000000" w:themeColor="text1"/>
        </w:rPr>
        <w:t>’</w:t>
      </w:r>
      <w:r w:rsidR="00253EF3"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60"/>
      </w:r>
      <w:r w:rsidR="001E68A9" w:rsidRPr="00DC550F">
        <w:rPr>
          <w:rFonts w:ascii="Times New Roman" w:hAnsi="Times New Roman" w:cs="Times New Roman"/>
          <w:color w:val="000000" w:themeColor="text1"/>
        </w:rPr>
        <w:t xml:space="preserve"> However, this argument does not acknowledge that questioning the agent’s authority would not give effect to the ‘commercial realities of the situation’</w:t>
      </w:r>
      <w:r w:rsidR="001E68A9" w:rsidRPr="00DC550F">
        <w:rPr>
          <w:rStyle w:val="FootnoteReference"/>
          <w:rFonts w:ascii="Times New Roman" w:hAnsi="Times New Roman" w:cs="Times New Roman"/>
          <w:color w:val="000000" w:themeColor="text1"/>
        </w:rPr>
        <w:footnoteReference w:id="61"/>
      </w:r>
      <w:r w:rsidR="001E68A9" w:rsidRPr="00DC550F">
        <w:rPr>
          <w:rFonts w:ascii="Times New Roman" w:hAnsi="Times New Roman" w:cs="Times New Roman"/>
          <w:color w:val="000000" w:themeColor="text1"/>
        </w:rPr>
        <w:t xml:space="preserve"> where principals are rarely ‘accessible and visible.’</w:t>
      </w:r>
      <w:r w:rsidR="001E68A9" w:rsidRPr="00DC550F">
        <w:rPr>
          <w:rStyle w:val="FootnoteReference"/>
          <w:rFonts w:ascii="Times New Roman" w:hAnsi="Times New Roman" w:cs="Times New Roman"/>
          <w:color w:val="000000" w:themeColor="text1"/>
        </w:rPr>
        <w:footnoteReference w:id="62"/>
      </w:r>
      <w:r w:rsidR="001E68A9" w:rsidRPr="00DC550F">
        <w:rPr>
          <w:rFonts w:ascii="Times New Roman" w:hAnsi="Times New Roman" w:cs="Times New Roman"/>
          <w:color w:val="000000" w:themeColor="text1"/>
        </w:rPr>
        <w:t xml:space="preserve"> It would be </w:t>
      </w:r>
      <w:r w:rsidR="00253EF3" w:rsidRPr="00DC550F">
        <w:rPr>
          <w:rFonts w:ascii="Times New Roman" w:hAnsi="Times New Roman" w:cs="Times New Roman"/>
          <w:color w:val="000000" w:themeColor="text1"/>
        </w:rPr>
        <w:t>‘</w:t>
      </w:r>
      <w:r w:rsidR="001E68A9" w:rsidRPr="00DC550F">
        <w:rPr>
          <w:rFonts w:ascii="Times New Roman" w:hAnsi="Times New Roman" w:cs="Times New Roman"/>
          <w:color w:val="000000" w:themeColor="text1"/>
        </w:rPr>
        <w:t>unreasonable to expect the third party to doubt or suspect that the fund transfer had not been approved</w:t>
      </w:r>
      <w:r w:rsidR="00253EF3"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63"/>
      </w:r>
      <w:r w:rsidR="001E68A9" w:rsidRPr="00DC550F">
        <w:rPr>
          <w:rFonts w:ascii="Times New Roman" w:hAnsi="Times New Roman" w:cs="Times New Roman"/>
          <w:color w:val="000000" w:themeColor="text1"/>
        </w:rPr>
        <w:t xml:space="preserve"> Furthermore, if confirmation had to be obtained from the company’s head office, this would ‘defeat the object of appointing a senior manager.’</w:t>
      </w:r>
      <w:r w:rsidR="001E68A9" w:rsidRPr="00DC550F">
        <w:rPr>
          <w:rStyle w:val="FootnoteReference"/>
          <w:rFonts w:ascii="Times New Roman" w:hAnsi="Times New Roman" w:cs="Times New Roman"/>
          <w:color w:val="000000" w:themeColor="text1"/>
        </w:rPr>
        <w:footnoteReference w:id="64"/>
      </w:r>
      <w:r w:rsidR="001E68A9" w:rsidRPr="00DC550F">
        <w:rPr>
          <w:rFonts w:ascii="Times New Roman" w:hAnsi="Times New Roman" w:cs="Times New Roman"/>
          <w:color w:val="000000" w:themeColor="text1"/>
        </w:rPr>
        <w:t xml:space="preserve"> Therefore, judgement for</w:t>
      </w:r>
      <w:r w:rsidR="00253EF3" w:rsidRPr="00DC550F">
        <w:rPr>
          <w:rFonts w:ascii="Times New Roman" w:hAnsi="Times New Roman" w:cs="Times New Roman"/>
          <w:color w:val="000000" w:themeColor="text1"/>
        </w:rPr>
        <w:t xml:space="preserve"> the</w:t>
      </w:r>
      <w:r w:rsidR="001E68A9" w:rsidRPr="00DC550F">
        <w:rPr>
          <w:rFonts w:ascii="Times New Roman" w:hAnsi="Times New Roman" w:cs="Times New Roman"/>
          <w:color w:val="000000" w:themeColor="text1"/>
        </w:rPr>
        <w:t xml:space="preserve"> defendant would ‘fly in the face of the way in which negotiations are concluded between trading banks and customers seeking commercial loans.’</w:t>
      </w:r>
      <w:r w:rsidR="001E68A9" w:rsidRPr="00DC550F">
        <w:rPr>
          <w:rStyle w:val="FootnoteReference"/>
          <w:rFonts w:ascii="Times New Roman" w:hAnsi="Times New Roman" w:cs="Times New Roman"/>
          <w:color w:val="000000" w:themeColor="text1"/>
        </w:rPr>
        <w:footnoteReference w:id="65"/>
      </w:r>
      <w:r w:rsidR="001E68A9" w:rsidRPr="00DC550F">
        <w:rPr>
          <w:rFonts w:ascii="Times New Roman" w:hAnsi="Times New Roman" w:cs="Times New Roman"/>
          <w:color w:val="000000" w:themeColor="text1"/>
        </w:rPr>
        <w:t xml:space="preserve"> This contention again reinforces that the developments rightly give recognition to the realities of modern commerce that business is impersonal and complex</w:t>
      </w:r>
      <w:r w:rsidR="00253EF3" w:rsidRPr="00DC550F">
        <w:rPr>
          <w:rFonts w:ascii="Times New Roman" w:hAnsi="Times New Roman" w:cs="Times New Roman"/>
          <w:color w:val="000000" w:themeColor="text1"/>
        </w:rPr>
        <w:t>,</w:t>
      </w:r>
      <w:r w:rsidR="001E68A9" w:rsidRPr="00DC550F">
        <w:rPr>
          <w:rStyle w:val="FootnoteReference"/>
          <w:rFonts w:ascii="Times New Roman" w:hAnsi="Times New Roman" w:cs="Times New Roman"/>
          <w:color w:val="000000" w:themeColor="text1"/>
        </w:rPr>
        <w:footnoteReference w:id="66"/>
      </w:r>
      <w:r w:rsidR="001E68A9" w:rsidRPr="00DC550F">
        <w:rPr>
          <w:rFonts w:ascii="Times New Roman" w:hAnsi="Times New Roman" w:cs="Times New Roman"/>
          <w:color w:val="000000" w:themeColor="text1"/>
        </w:rPr>
        <w:t xml:space="preserve"> and that agents have a substantial role in the facilitation of transactions.</w:t>
      </w:r>
      <w:r w:rsidR="001E68A9" w:rsidRPr="00DC550F">
        <w:rPr>
          <w:rStyle w:val="FootnoteReference"/>
          <w:rFonts w:ascii="Times New Roman" w:hAnsi="Times New Roman" w:cs="Times New Roman"/>
          <w:color w:val="000000" w:themeColor="text1"/>
        </w:rPr>
        <w:footnoteReference w:id="67"/>
      </w:r>
      <w:r w:rsidR="001E68A9" w:rsidRPr="00DC550F">
        <w:rPr>
          <w:rFonts w:ascii="Times New Roman" w:hAnsi="Times New Roman" w:cs="Times New Roman"/>
          <w:color w:val="000000" w:themeColor="text1"/>
        </w:rPr>
        <w:t xml:space="preserve"> </w:t>
      </w:r>
    </w:p>
    <w:p w14:paraId="0B872ECB" w14:textId="77777777" w:rsidR="001E68A9" w:rsidRPr="00DC550F" w:rsidRDefault="001E68A9" w:rsidP="001E68A9">
      <w:pPr>
        <w:spacing w:line="360" w:lineRule="auto"/>
        <w:jc w:val="both"/>
        <w:rPr>
          <w:rFonts w:ascii="Times New Roman" w:hAnsi="Times New Roman" w:cs="Times New Roman"/>
          <w:color w:val="000000" w:themeColor="text1"/>
        </w:rPr>
      </w:pPr>
    </w:p>
    <w:p w14:paraId="5C1AC603" w14:textId="624CD8C8" w:rsidR="001E68A9" w:rsidRPr="00DC550F" w:rsidRDefault="001E68A9" w:rsidP="001E68A9">
      <w:pPr>
        <w:spacing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As previously highlighted, the courts have traditionally been overprotective of a principal’s interests</w:t>
      </w:r>
      <w:r w:rsidR="00425D25"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68"/>
      </w:r>
      <w:r w:rsidR="00425D25"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 xml:space="preserve">also </w:t>
      </w:r>
      <w:r w:rsidR="00F00D3F" w:rsidRPr="00DC550F">
        <w:rPr>
          <w:rFonts w:ascii="Times New Roman" w:hAnsi="Times New Roman" w:cs="Times New Roman"/>
          <w:color w:val="000000" w:themeColor="text1"/>
        </w:rPr>
        <w:t xml:space="preserve">endorsed </w:t>
      </w:r>
      <w:r w:rsidRPr="00DC550F">
        <w:rPr>
          <w:rFonts w:ascii="Times New Roman" w:hAnsi="Times New Roman" w:cs="Times New Roman"/>
          <w:color w:val="000000" w:themeColor="text1"/>
        </w:rPr>
        <w:t xml:space="preserve">in </w:t>
      </w:r>
      <w:r w:rsidRPr="00DC550F">
        <w:rPr>
          <w:rFonts w:ascii="Times New Roman" w:hAnsi="Times New Roman" w:cs="Times New Roman"/>
          <w:i/>
          <w:color w:val="000000" w:themeColor="text1"/>
        </w:rPr>
        <w:t xml:space="preserve">British Bank v </w:t>
      </w:r>
      <w:proofErr w:type="spellStart"/>
      <w:r w:rsidRPr="00DC550F">
        <w:rPr>
          <w:rFonts w:ascii="Times New Roman" w:hAnsi="Times New Roman" w:cs="Times New Roman"/>
          <w:i/>
          <w:color w:val="000000" w:themeColor="text1"/>
        </w:rPr>
        <w:t>Sunlife</w:t>
      </w:r>
      <w:proofErr w:type="spellEnd"/>
      <w:r w:rsidRPr="00DC550F">
        <w:rPr>
          <w:rStyle w:val="FootnoteReference"/>
          <w:rFonts w:ascii="Times New Roman" w:hAnsi="Times New Roman" w:cs="Times New Roman"/>
          <w:i/>
          <w:color w:val="000000" w:themeColor="text1"/>
        </w:rPr>
        <w:footnoteReference w:id="69"/>
      </w:r>
      <w:r w:rsidRPr="00DC550F">
        <w:rPr>
          <w:rFonts w:ascii="Times New Roman" w:hAnsi="Times New Roman" w:cs="Times New Roman"/>
          <w:i/>
          <w:color w:val="000000" w:themeColor="text1"/>
        </w:rPr>
        <w:t>.</w:t>
      </w:r>
      <w:r w:rsidRPr="00DC550F">
        <w:rPr>
          <w:rFonts w:ascii="Times New Roman" w:hAnsi="Times New Roman" w:cs="Times New Roman"/>
          <w:color w:val="000000" w:themeColor="text1"/>
        </w:rPr>
        <w:t xml:space="preserve"> However, the developments in the </w:t>
      </w:r>
      <w:proofErr w:type="spellStart"/>
      <w:r w:rsidRPr="00DC550F">
        <w:rPr>
          <w:rFonts w:ascii="Times New Roman" w:hAnsi="Times New Roman" w:cs="Times New Roman"/>
          <w:i/>
          <w:color w:val="000000" w:themeColor="text1"/>
        </w:rPr>
        <w:t>Raffaella</w:t>
      </w:r>
      <w:proofErr w:type="spellEnd"/>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and</w:t>
      </w:r>
      <w:r w:rsidRPr="00DC550F">
        <w:rPr>
          <w:rFonts w:ascii="Times New Roman" w:hAnsi="Times New Roman" w:cs="Times New Roman"/>
          <w:i/>
          <w:color w:val="000000" w:themeColor="text1"/>
        </w:rPr>
        <w:t xml:space="preserve"> FE </w:t>
      </w:r>
      <w:r w:rsidRPr="00DC550F">
        <w:rPr>
          <w:rFonts w:ascii="Times New Roman" w:hAnsi="Times New Roman" w:cs="Times New Roman"/>
          <w:color w:val="000000" w:themeColor="text1"/>
        </w:rPr>
        <w:t>are based on the third party’s perception of the conduct of the agent</w:t>
      </w:r>
      <w:r w:rsidRPr="00DC550F">
        <w:rPr>
          <w:rStyle w:val="FootnoteReference"/>
          <w:rFonts w:ascii="Times New Roman" w:hAnsi="Times New Roman" w:cs="Times New Roman"/>
          <w:color w:val="000000" w:themeColor="text1"/>
        </w:rPr>
        <w:footnoteReference w:id="70"/>
      </w:r>
      <w:r w:rsidRPr="00DC550F">
        <w:rPr>
          <w:rFonts w:ascii="Times New Roman" w:hAnsi="Times New Roman" w:cs="Times New Roman"/>
          <w:color w:val="000000" w:themeColor="text1"/>
        </w:rPr>
        <w:t xml:space="preserve"> and desirability of </w:t>
      </w:r>
      <w:r w:rsidR="00253EF3" w:rsidRPr="00DC550F">
        <w:rPr>
          <w:rFonts w:ascii="Times New Roman" w:hAnsi="Times New Roman" w:cs="Times New Roman"/>
          <w:color w:val="000000" w:themeColor="text1"/>
        </w:rPr>
        <w:t>them</w:t>
      </w:r>
      <w:r w:rsidRPr="00DC550F">
        <w:rPr>
          <w:rFonts w:ascii="Times New Roman" w:hAnsi="Times New Roman" w:cs="Times New Roman"/>
          <w:color w:val="000000" w:themeColor="text1"/>
        </w:rPr>
        <w:t xml:space="preserve"> being able to rely on letters such as those written in the cases.</w:t>
      </w:r>
      <w:r w:rsidRPr="00DC550F">
        <w:rPr>
          <w:rStyle w:val="FootnoteReference"/>
          <w:rFonts w:ascii="Times New Roman" w:hAnsi="Times New Roman" w:cs="Times New Roman"/>
          <w:color w:val="000000" w:themeColor="text1"/>
        </w:rPr>
        <w:footnoteReference w:id="71"/>
      </w:r>
      <w:r w:rsidRPr="00DC550F">
        <w:rPr>
          <w:rFonts w:ascii="Times New Roman" w:hAnsi="Times New Roman" w:cs="Times New Roman"/>
          <w:color w:val="000000" w:themeColor="text1"/>
        </w:rPr>
        <w:t xml:space="preserve"> As a result, ‘reasonable expectations of honest men [are] protected and this is the ‘moulding force of our law of contract’</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2"/>
      </w:r>
      <w:r w:rsidRPr="00DC550F">
        <w:rPr>
          <w:rFonts w:ascii="Times New Roman" w:hAnsi="Times New Roman" w:cs="Times New Roman"/>
          <w:color w:val="000000" w:themeColor="text1"/>
        </w:rPr>
        <w:t xml:space="preserve"> Accordingly, the developments suggest the law is taking </w:t>
      </w:r>
      <w:r w:rsidRPr="00DC550F">
        <w:rPr>
          <w:rFonts w:ascii="Times New Roman" w:hAnsi="Times New Roman" w:cs="Times New Roman"/>
          <w:color w:val="000000" w:themeColor="text1"/>
        </w:rPr>
        <w:lastRenderedPageBreak/>
        <w:t xml:space="preserve">considerable </w:t>
      </w:r>
      <w:r w:rsidR="00F00D3F" w:rsidRPr="00DC550F">
        <w:rPr>
          <w:rFonts w:ascii="Times New Roman" w:hAnsi="Times New Roman" w:cs="Times New Roman"/>
          <w:color w:val="000000" w:themeColor="text1"/>
        </w:rPr>
        <w:t xml:space="preserve">positive </w:t>
      </w:r>
      <w:r w:rsidRPr="00DC550F">
        <w:rPr>
          <w:rFonts w:ascii="Times New Roman" w:hAnsi="Times New Roman" w:cs="Times New Roman"/>
          <w:color w:val="000000" w:themeColor="text1"/>
        </w:rPr>
        <w:t>steps in acknowledging the position of third parties ‘who are often helpless in the modern corporate environment to discover the true scope of an agent’s authority’</w:t>
      </w:r>
      <w:r w:rsidR="00425D25"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3"/>
      </w:r>
      <w:r w:rsidR="00425D25"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Whilst the developments</w:t>
      </w:r>
      <w:r w:rsidR="00425D25" w:rsidRPr="00DC550F">
        <w:rPr>
          <w:rFonts w:ascii="Times New Roman" w:hAnsi="Times New Roman" w:cs="Times New Roman"/>
          <w:color w:val="000000" w:themeColor="text1"/>
        </w:rPr>
        <w:t xml:space="preserve"> may</w:t>
      </w:r>
      <w:r w:rsidRPr="00DC550F">
        <w:rPr>
          <w:rFonts w:ascii="Times New Roman" w:hAnsi="Times New Roman" w:cs="Times New Roman"/>
          <w:color w:val="000000" w:themeColor="text1"/>
        </w:rPr>
        <w:t xml:space="preserve"> unnecessarily increase the potential liability of a principal, </w:t>
      </w:r>
      <w:r w:rsidR="00F00D3F" w:rsidRPr="00DC550F">
        <w:rPr>
          <w:rFonts w:ascii="Times New Roman" w:hAnsi="Times New Roman" w:cs="Times New Roman"/>
          <w:color w:val="000000" w:themeColor="text1"/>
        </w:rPr>
        <w:t>they are logical and</w:t>
      </w:r>
      <w:r w:rsidRPr="00DC550F">
        <w:rPr>
          <w:rFonts w:ascii="Times New Roman" w:hAnsi="Times New Roman" w:cs="Times New Roman"/>
          <w:color w:val="000000" w:themeColor="text1"/>
        </w:rPr>
        <w:t xml:space="preserve"> justified</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4"/>
      </w:r>
      <w:r w:rsidRPr="00DC550F">
        <w:rPr>
          <w:rFonts w:ascii="Times New Roman" w:hAnsi="Times New Roman" w:cs="Times New Roman"/>
          <w:color w:val="000000" w:themeColor="text1"/>
        </w:rPr>
        <w:t xml:space="preserve"> as they recognise the vulnerabilities of third parties who rely on agent’s representations, complying with the needs of modern commerce. </w:t>
      </w:r>
    </w:p>
    <w:p w14:paraId="0A2B37A3" w14:textId="77777777" w:rsidR="001E68A9" w:rsidRPr="00DC550F" w:rsidRDefault="001E68A9" w:rsidP="001E68A9">
      <w:pPr>
        <w:spacing w:line="360" w:lineRule="auto"/>
        <w:jc w:val="both"/>
        <w:rPr>
          <w:rFonts w:ascii="Times New Roman" w:hAnsi="Times New Roman" w:cs="Times New Roman"/>
          <w:color w:val="000000" w:themeColor="text1"/>
        </w:rPr>
      </w:pPr>
    </w:p>
    <w:p w14:paraId="370213D3" w14:textId="4A57AFB1" w:rsidR="001E68A9" w:rsidRPr="00DC550F" w:rsidRDefault="001E68A9" w:rsidP="001E68A9">
      <w:pPr>
        <w:spacing w:line="360" w:lineRule="auto"/>
        <w:jc w:val="both"/>
        <w:rPr>
          <w:rFonts w:ascii="Times New Roman" w:hAnsi="Times New Roman" w:cs="Times New Roman"/>
          <w:color w:val="000000" w:themeColor="text1"/>
          <w:u w:val="single"/>
        </w:rPr>
      </w:pPr>
      <w:r w:rsidRPr="00DC550F">
        <w:rPr>
          <w:rFonts w:ascii="Times New Roman" w:hAnsi="Times New Roman" w:cs="Times New Roman"/>
          <w:color w:val="000000" w:themeColor="text1"/>
          <w:u w:val="single"/>
        </w:rPr>
        <w:t>Future L</w:t>
      </w:r>
      <w:r w:rsidR="005759BA" w:rsidRPr="00DC550F">
        <w:rPr>
          <w:rFonts w:ascii="Times New Roman" w:hAnsi="Times New Roman" w:cs="Times New Roman"/>
          <w:color w:val="000000" w:themeColor="text1"/>
          <w:u w:val="single"/>
        </w:rPr>
        <w:t>itigation</w:t>
      </w:r>
    </w:p>
    <w:p w14:paraId="65BF548D" w14:textId="53C1CCAA" w:rsidR="001E68A9" w:rsidRPr="00DC550F" w:rsidRDefault="001E68A9" w:rsidP="001E68A9">
      <w:pPr>
        <w:widowControl w:val="0"/>
        <w:autoSpaceDE w:val="0"/>
        <w:autoSpaceDN w:val="0"/>
        <w:adjustRightInd w:val="0"/>
        <w:spacing w:after="240"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Although </w:t>
      </w:r>
      <w:r w:rsidRPr="00DC550F">
        <w:rPr>
          <w:rFonts w:ascii="Times New Roman" w:hAnsi="Times New Roman" w:cs="Times New Roman"/>
          <w:i/>
          <w:color w:val="000000" w:themeColor="text1"/>
        </w:rPr>
        <w:t>FE</w:t>
      </w:r>
      <w:r w:rsidRPr="00DC550F">
        <w:rPr>
          <w:rFonts w:ascii="Times New Roman" w:hAnsi="Times New Roman" w:cs="Times New Roman"/>
          <w:color w:val="000000" w:themeColor="text1"/>
        </w:rPr>
        <w:t xml:space="preserve"> is described as ‘exceptional on its facts’</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5"/>
      </w:r>
      <w:r w:rsidRPr="00DC550F">
        <w:rPr>
          <w:rFonts w:ascii="Times New Roman" w:hAnsi="Times New Roman" w:cs="Times New Roman"/>
          <w:color w:val="000000" w:themeColor="text1"/>
        </w:rPr>
        <w:t xml:space="preserve"> </w:t>
      </w:r>
      <w:r w:rsidRPr="00DC550F">
        <w:rPr>
          <w:rFonts w:ascii="Times New Roman" w:hAnsi="Times New Roman" w:cs="Times New Roman"/>
          <w:i/>
          <w:iCs/>
          <w:color w:val="000000" w:themeColor="text1"/>
        </w:rPr>
        <w:t>Kelly</w:t>
      </w:r>
      <w:r w:rsidRPr="00DC550F">
        <w:rPr>
          <w:rStyle w:val="FootnoteReference"/>
          <w:rFonts w:ascii="Times New Roman" w:hAnsi="Times New Roman" w:cs="Times New Roman"/>
          <w:iCs/>
          <w:color w:val="000000" w:themeColor="text1"/>
        </w:rPr>
        <w:footnoteReference w:id="76"/>
      </w:r>
      <w:r w:rsidRPr="00DC550F">
        <w:rPr>
          <w:rFonts w:ascii="Times New Roman" w:hAnsi="Times New Roman" w:cs="Times New Roman"/>
          <w:i/>
          <w:iCs/>
          <w:color w:val="000000" w:themeColor="text1"/>
        </w:rPr>
        <w:t xml:space="preserve"> </w:t>
      </w:r>
      <w:r w:rsidRPr="00DC550F">
        <w:rPr>
          <w:rFonts w:ascii="Times New Roman" w:hAnsi="Times New Roman" w:cs="Times New Roman"/>
          <w:iCs/>
          <w:color w:val="000000" w:themeColor="text1"/>
        </w:rPr>
        <w:t xml:space="preserve">affirms </w:t>
      </w:r>
      <w:r w:rsidRPr="00DC550F">
        <w:rPr>
          <w:rFonts w:ascii="Times New Roman" w:hAnsi="Times New Roman" w:cs="Times New Roman"/>
          <w:i/>
          <w:iCs/>
          <w:color w:val="000000" w:themeColor="text1"/>
        </w:rPr>
        <w:t>FE.</w:t>
      </w:r>
      <w:r w:rsidRPr="00DC550F">
        <w:rPr>
          <w:rFonts w:ascii="Times New Roman" w:hAnsi="Times New Roman" w:cs="Times New Roman"/>
          <w:iCs/>
          <w:color w:val="000000" w:themeColor="text1"/>
        </w:rPr>
        <w:t xml:space="preserve"> This case</w:t>
      </w:r>
      <w:r w:rsidRPr="00DC550F">
        <w:rPr>
          <w:rFonts w:ascii="Times New Roman" w:hAnsi="Times New Roman" w:cs="Times New Roman"/>
          <w:i/>
          <w:iCs/>
          <w:color w:val="000000" w:themeColor="text1"/>
        </w:rPr>
        <w:t xml:space="preserve"> </w:t>
      </w:r>
      <w:r w:rsidRPr="00DC550F">
        <w:rPr>
          <w:rFonts w:ascii="Times New Roman" w:hAnsi="Times New Roman" w:cs="Times New Roman"/>
          <w:color w:val="000000" w:themeColor="text1"/>
        </w:rPr>
        <w:t>made clear that an agent lacking authority to approve a transaction himself can still have apparent authority to communicate that a transaction has been approved</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7"/>
      </w:r>
      <w:r w:rsidRPr="00DC550F">
        <w:rPr>
          <w:rFonts w:ascii="Times New Roman" w:hAnsi="Times New Roman" w:cs="Times New Roman"/>
          <w:color w:val="000000" w:themeColor="text1"/>
        </w:rPr>
        <w:t xml:space="preserve"> Despite being a Privy Council decision which is not binding, it suggests the law is prepared to give effect to </w:t>
      </w:r>
      <w:r w:rsidRPr="00DC550F">
        <w:rPr>
          <w:rFonts w:ascii="Times New Roman" w:hAnsi="Times New Roman" w:cs="Times New Roman"/>
          <w:i/>
          <w:color w:val="000000" w:themeColor="text1"/>
        </w:rPr>
        <w:t xml:space="preserve">FE. </w:t>
      </w:r>
      <w:r w:rsidRPr="00DC550F">
        <w:rPr>
          <w:rFonts w:ascii="Times New Roman" w:hAnsi="Times New Roman" w:cs="Times New Roman"/>
          <w:color w:val="000000" w:themeColor="text1"/>
        </w:rPr>
        <w:t>Both cases acknowledge that the law does not recognise the idea of a self-authorising agent</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8"/>
      </w:r>
      <w:r w:rsidRPr="00DC550F">
        <w:rPr>
          <w:rFonts w:ascii="Times New Roman" w:hAnsi="Times New Roman" w:cs="Times New Roman"/>
          <w:color w:val="000000" w:themeColor="text1"/>
        </w:rPr>
        <w:t xml:space="preserve"> undermining the contention that the latest developments enable any agent to make any</w:t>
      </w:r>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representations about their authority in any given situation. However, both cases do suggest that it may be necessary in modern commerce to allow agents authority to state facts from which legal conclusions can be drawn</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79"/>
      </w:r>
      <w:r w:rsidRPr="00DC550F">
        <w:rPr>
          <w:rFonts w:ascii="Times New Roman" w:hAnsi="Times New Roman" w:cs="Times New Roman"/>
          <w:color w:val="000000" w:themeColor="text1"/>
        </w:rPr>
        <w:t xml:space="preserve"> where the principal </w:t>
      </w:r>
      <w:r w:rsidR="006D392D" w:rsidRPr="00DC550F">
        <w:rPr>
          <w:rFonts w:ascii="Times New Roman" w:hAnsi="Times New Roman" w:cs="Times New Roman"/>
          <w:color w:val="000000" w:themeColor="text1"/>
        </w:rPr>
        <w:t>‘</w:t>
      </w:r>
      <w:r w:rsidRPr="00DC550F">
        <w:rPr>
          <w:rFonts w:ascii="Times New Roman" w:hAnsi="Times New Roman" w:cs="Times New Roman"/>
          <w:color w:val="000000" w:themeColor="text1"/>
        </w:rPr>
        <w:t>holds out the agent as a person authorised to convey its approval.</w:t>
      </w:r>
      <w:r w:rsidR="006D392D"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80"/>
      </w:r>
      <w:r w:rsidRPr="00DC550F">
        <w:rPr>
          <w:rFonts w:ascii="Times New Roman" w:hAnsi="Times New Roman" w:cs="Times New Roman"/>
          <w:color w:val="000000" w:themeColor="text1"/>
        </w:rPr>
        <w:t xml:space="preserve"> As a result, the latest developments </w:t>
      </w:r>
      <w:r w:rsidR="003363DA" w:rsidRPr="00DC550F">
        <w:rPr>
          <w:rFonts w:ascii="Times New Roman" w:hAnsi="Times New Roman" w:cs="Times New Roman"/>
          <w:color w:val="000000" w:themeColor="text1"/>
        </w:rPr>
        <w:t xml:space="preserve">rightly </w:t>
      </w:r>
      <w:r w:rsidRPr="00DC550F">
        <w:rPr>
          <w:rFonts w:ascii="Times New Roman" w:hAnsi="Times New Roman" w:cs="Times New Roman"/>
          <w:color w:val="000000" w:themeColor="text1"/>
        </w:rPr>
        <w:t>expand the DOAA in some circumstances but do not completely abolish it.</w:t>
      </w:r>
      <w:r w:rsidRPr="00DC550F">
        <w:rPr>
          <w:rStyle w:val="FootnoteReference"/>
          <w:rFonts w:ascii="Times New Roman" w:hAnsi="Times New Roman" w:cs="Times New Roman"/>
          <w:color w:val="000000" w:themeColor="text1"/>
        </w:rPr>
        <w:footnoteReference w:id="81"/>
      </w:r>
      <w:r w:rsidRPr="00DC550F">
        <w:rPr>
          <w:rFonts w:ascii="Times New Roman" w:hAnsi="Times New Roman" w:cs="Times New Roman"/>
          <w:color w:val="000000" w:themeColor="text1"/>
        </w:rPr>
        <w:t xml:space="preserve"> Nonetheless, the impact of the developments remain uncertain</w:t>
      </w:r>
      <w:r w:rsidRPr="00DC550F">
        <w:rPr>
          <w:rStyle w:val="FootnoteReference"/>
          <w:rFonts w:ascii="Times New Roman" w:hAnsi="Times New Roman" w:cs="Times New Roman"/>
          <w:color w:val="000000" w:themeColor="text1"/>
        </w:rPr>
        <w:footnoteReference w:id="82"/>
      </w:r>
      <w:r w:rsidRPr="00DC550F">
        <w:rPr>
          <w:rFonts w:ascii="Times New Roman" w:hAnsi="Times New Roman" w:cs="Times New Roman"/>
          <w:color w:val="000000" w:themeColor="text1"/>
        </w:rPr>
        <w:t xml:space="preserve"> and ‘modification of the theoretical basis of apparent authority may be needed’</w:t>
      </w:r>
      <w:r w:rsidR="00425D25"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83"/>
      </w:r>
      <w:r w:rsidRPr="00DC550F">
        <w:rPr>
          <w:rFonts w:ascii="Times New Roman" w:hAnsi="Times New Roman" w:cs="Times New Roman"/>
          <w:color w:val="000000" w:themeColor="text1"/>
        </w:rPr>
        <w:t xml:space="preserve"> Accordingly, the developments could radically </w:t>
      </w:r>
      <w:proofErr w:type="gramStart"/>
      <w:r w:rsidRPr="00DC550F">
        <w:rPr>
          <w:rFonts w:ascii="Times New Roman" w:hAnsi="Times New Roman" w:cs="Times New Roman"/>
          <w:color w:val="000000" w:themeColor="text1"/>
        </w:rPr>
        <w:t>effect</w:t>
      </w:r>
      <w:proofErr w:type="gramEnd"/>
      <w:r w:rsidRPr="00DC550F">
        <w:rPr>
          <w:rFonts w:ascii="Times New Roman" w:hAnsi="Times New Roman" w:cs="Times New Roman"/>
          <w:color w:val="000000" w:themeColor="text1"/>
        </w:rPr>
        <w:t xml:space="preserve"> the doctrine in the future,</w:t>
      </w:r>
      <w:r w:rsidRPr="00DC550F">
        <w:rPr>
          <w:rStyle w:val="FootnoteReference"/>
          <w:rFonts w:ascii="Times New Roman" w:hAnsi="Times New Roman" w:cs="Times New Roman"/>
          <w:color w:val="000000" w:themeColor="text1"/>
        </w:rPr>
        <w:footnoteReference w:id="84"/>
      </w:r>
      <w:r w:rsidRPr="00DC550F">
        <w:rPr>
          <w:rFonts w:ascii="Times New Roman" w:hAnsi="Times New Roman" w:cs="Times New Roman"/>
          <w:color w:val="000000" w:themeColor="text1"/>
        </w:rPr>
        <w:t xml:space="preserve"> which as a result, may allow broader situations that enable agents to make representations as to their apparent authority.</w:t>
      </w:r>
    </w:p>
    <w:p w14:paraId="781B8953" w14:textId="7CAB7DBF" w:rsidR="001E68A9" w:rsidRPr="00DC550F" w:rsidRDefault="005759BA" w:rsidP="001E68A9">
      <w:pPr>
        <w:widowControl w:val="0"/>
        <w:autoSpaceDE w:val="0"/>
        <w:autoSpaceDN w:val="0"/>
        <w:adjustRightInd w:val="0"/>
        <w:spacing w:after="240" w:line="360" w:lineRule="auto"/>
        <w:jc w:val="both"/>
        <w:rPr>
          <w:rFonts w:ascii="Times New Roman" w:hAnsi="Times New Roman" w:cs="Times New Roman"/>
          <w:color w:val="000000" w:themeColor="text1"/>
          <w:u w:val="single"/>
        </w:rPr>
      </w:pPr>
      <w:r w:rsidRPr="00DC550F">
        <w:rPr>
          <w:rFonts w:ascii="Times New Roman" w:hAnsi="Times New Roman" w:cs="Times New Roman"/>
          <w:color w:val="000000" w:themeColor="text1"/>
          <w:u w:val="single"/>
        </w:rPr>
        <w:t>Reflections</w:t>
      </w:r>
    </w:p>
    <w:p w14:paraId="537028C4" w14:textId="4BC220DB" w:rsidR="001E68A9" w:rsidRPr="00DC550F" w:rsidRDefault="001E68A9" w:rsidP="001E68A9">
      <w:pPr>
        <w:widowControl w:val="0"/>
        <w:autoSpaceDE w:val="0"/>
        <w:autoSpaceDN w:val="0"/>
        <w:adjustRightInd w:val="0"/>
        <w:spacing w:after="240" w:line="360" w:lineRule="auto"/>
        <w:jc w:val="both"/>
        <w:rPr>
          <w:rFonts w:ascii="Times New Roman" w:hAnsi="Times New Roman" w:cs="Times New Roman"/>
          <w:color w:val="000000" w:themeColor="text1"/>
        </w:rPr>
      </w:pPr>
      <w:r w:rsidRPr="00DC550F">
        <w:rPr>
          <w:rFonts w:ascii="Times New Roman" w:hAnsi="Times New Roman" w:cs="Times New Roman"/>
          <w:color w:val="000000" w:themeColor="text1"/>
        </w:rPr>
        <w:t xml:space="preserve">From this analysis, it is evident </w:t>
      </w:r>
      <w:r w:rsidR="002B033D">
        <w:rPr>
          <w:rFonts w:ascii="Times New Roman" w:hAnsi="Times New Roman" w:cs="Times New Roman"/>
          <w:color w:val="000000" w:themeColor="text1"/>
        </w:rPr>
        <w:t xml:space="preserve">that </w:t>
      </w:r>
      <w:r w:rsidRPr="00DC550F">
        <w:rPr>
          <w:rFonts w:ascii="Times New Roman" w:hAnsi="Times New Roman" w:cs="Times New Roman"/>
          <w:color w:val="000000" w:themeColor="text1"/>
        </w:rPr>
        <w:t xml:space="preserve">the latest developments suggest that agents can make </w:t>
      </w:r>
      <w:r w:rsidRPr="00DC550F">
        <w:rPr>
          <w:rFonts w:ascii="Times New Roman" w:hAnsi="Times New Roman" w:cs="Times New Roman"/>
          <w:color w:val="000000" w:themeColor="text1"/>
        </w:rPr>
        <w:lastRenderedPageBreak/>
        <w:t xml:space="preserve">representations as to their apparent authority. However, </w:t>
      </w:r>
      <w:r w:rsidR="003363DA" w:rsidRPr="00DC550F">
        <w:rPr>
          <w:rFonts w:ascii="Times New Roman" w:hAnsi="Times New Roman" w:cs="Times New Roman"/>
          <w:color w:val="000000" w:themeColor="text1"/>
        </w:rPr>
        <w:t xml:space="preserve">crucially, it has been demonstrated </w:t>
      </w:r>
      <w:r w:rsidR="002B033D">
        <w:rPr>
          <w:rFonts w:ascii="Times New Roman" w:hAnsi="Times New Roman" w:cs="Times New Roman"/>
          <w:color w:val="000000" w:themeColor="text1"/>
        </w:rPr>
        <w:t xml:space="preserve">that </w:t>
      </w:r>
      <w:r w:rsidRPr="00DC550F">
        <w:rPr>
          <w:rFonts w:ascii="Times New Roman" w:hAnsi="Times New Roman" w:cs="Times New Roman"/>
          <w:color w:val="000000" w:themeColor="text1"/>
        </w:rPr>
        <w:t>t</w:t>
      </w:r>
      <w:r w:rsidR="00425D25" w:rsidRPr="00DC550F">
        <w:rPr>
          <w:rFonts w:ascii="Times New Roman" w:hAnsi="Times New Roman" w:cs="Times New Roman"/>
          <w:color w:val="000000" w:themeColor="text1"/>
        </w:rPr>
        <w:t>he developments do not propose</w:t>
      </w:r>
      <w:r w:rsidRPr="00DC550F">
        <w:rPr>
          <w:rFonts w:ascii="Times New Roman" w:hAnsi="Times New Roman" w:cs="Times New Roman"/>
          <w:color w:val="000000" w:themeColor="text1"/>
        </w:rPr>
        <w:t xml:space="preserve"> an agent can make representations that they may approve transactions themselves.</w:t>
      </w:r>
      <w:r w:rsidRPr="00DC550F">
        <w:rPr>
          <w:rStyle w:val="FootnoteReference"/>
          <w:rFonts w:ascii="Times New Roman" w:hAnsi="Times New Roman" w:cs="Times New Roman"/>
          <w:color w:val="000000" w:themeColor="text1"/>
        </w:rPr>
        <w:footnoteReference w:id="85"/>
      </w:r>
      <w:r w:rsidRPr="00DC550F">
        <w:rPr>
          <w:rFonts w:ascii="Times New Roman" w:hAnsi="Times New Roman" w:cs="Times New Roman"/>
          <w:color w:val="000000" w:themeColor="text1"/>
        </w:rPr>
        <w:t xml:space="preserve"> They instead indicate that based on their position, some agents are authorised to represent that their principal</w:t>
      </w:r>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has approved a given transaction</w:t>
      </w:r>
      <w:r w:rsidR="00F631C4" w:rsidRPr="00DC550F">
        <w:rPr>
          <w:rFonts w:ascii="Times New Roman" w:hAnsi="Times New Roman" w:cs="Times New Roman"/>
          <w:color w:val="000000" w:themeColor="text1"/>
        </w:rPr>
        <w:t>.</w:t>
      </w:r>
      <w:r w:rsidRPr="00DC550F">
        <w:rPr>
          <w:rStyle w:val="FootnoteReference"/>
          <w:rFonts w:ascii="Times New Roman" w:hAnsi="Times New Roman" w:cs="Times New Roman"/>
          <w:color w:val="000000" w:themeColor="text1"/>
        </w:rPr>
        <w:footnoteReference w:id="86"/>
      </w:r>
      <w:r w:rsidR="00F631C4" w:rsidRPr="00DC550F">
        <w:rPr>
          <w:rFonts w:ascii="Times New Roman" w:hAnsi="Times New Roman" w:cs="Times New Roman"/>
          <w:color w:val="000000" w:themeColor="text1"/>
        </w:rPr>
        <w:t xml:space="preserve"> </w:t>
      </w:r>
      <w:r w:rsidRPr="00DC550F">
        <w:rPr>
          <w:rFonts w:ascii="Times New Roman" w:hAnsi="Times New Roman" w:cs="Times New Roman"/>
          <w:color w:val="000000" w:themeColor="text1"/>
        </w:rPr>
        <w:t>This result does not suggest that agents can be self-authorising. The source of their apparent authority to make representations ultimately derives from the principal’s conduct in authorising their agent to communicate</w:t>
      </w:r>
      <w:r w:rsidRPr="00DC550F">
        <w:rPr>
          <w:rFonts w:ascii="Times New Roman" w:hAnsi="Times New Roman" w:cs="Times New Roman"/>
          <w:i/>
          <w:color w:val="000000" w:themeColor="text1"/>
        </w:rPr>
        <w:t xml:space="preserve"> </w:t>
      </w:r>
      <w:r w:rsidRPr="00DC550F">
        <w:rPr>
          <w:rFonts w:ascii="Times New Roman" w:hAnsi="Times New Roman" w:cs="Times New Roman"/>
          <w:color w:val="000000" w:themeColor="text1"/>
        </w:rPr>
        <w:t>the approval of decisions made by their superiors.</w:t>
      </w:r>
      <w:r w:rsidRPr="00DC550F">
        <w:rPr>
          <w:rStyle w:val="FootnoteReference"/>
          <w:rFonts w:ascii="Times New Roman" w:hAnsi="Times New Roman" w:cs="Times New Roman"/>
          <w:color w:val="000000" w:themeColor="text1"/>
        </w:rPr>
        <w:footnoteReference w:id="87"/>
      </w:r>
      <w:r w:rsidRPr="00DC550F">
        <w:rPr>
          <w:rFonts w:ascii="Times New Roman" w:hAnsi="Times New Roman" w:cs="Times New Roman"/>
          <w:color w:val="000000" w:themeColor="text1"/>
        </w:rPr>
        <w:t xml:space="preserve"> </w:t>
      </w:r>
      <w:r w:rsidR="003363DA" w:rsidRPr="00DC550F">
        <w:rPr>
          <w:rFonts w:ascii="Times New Roman" w:hAnsi="Times New Roman" w:cs="Times New Roman"/>
          <w:color w:val="000000" w:themeColor="text1"/>
        </w:rPr>
        <w:t>Moreover</w:t>
      </w:r>
      <w:r w:rsidRPr="00DC550F">
        <w:rPr>
          <w:rFonts w:ascii="Times New Roman" w:hAnsi="Times New Roman" w:cs="Times New Roman"/>
          <w:color w:val="000000" w:themeColor="text1"/>
        </w:rPr>
        <w:t xml:space="preserve">, whilst it is submitted that the developments undermine the DOAA, </w:t>
      </w:r>
      <w:r w:rsidR="003363DA" w:rsidRPr="00DC550F">
        <w:rPr>
          <w:rFonts w:ascii="Times New Roman" w:hAnsi="Times New Roman" w:cs="Times New Roman"/>
          <w:color w:val="000000" w:themeColor="text1"/>
        </w:rPr>
        <w:t>they are welcomed as they</w:t>
      </w:r>
      <w:r w:rsidR="00EC73A4">
        <w:rPr>
          <w:rFonts w:ascii="Times New Roman" w:hAnsi="Times New Roman" w:cs="Times New Roman"/>
          <w:color w:val="000000" w:themeColor="text1"/>
        </w:rPr>
        <w:t xml:space="preserve"> give</w:t>
      </w:r>
      <w:r w:rsidRPr="00DC550F">
        <w:rPr>
          <w:rFonts w:ascii="Times New Roman" w:hAnsi="Times New Roman" w:cs="Times New Roman"/>
          <w:color w:val="000000" w:themeColor="text1"/>
        </w:rPr>
        <w:t xml:space="preserve"> effect to the commercial reality that agents have an active role and are not strangers in the facilitation of transactions.</w:t>
      </w:r>
      <w:r w:rsidRPr="00DC550F">
        <w:rPr>
          <w:rStyle w:val="FootnoteReference"/>
          <w:rFonts w:ascii="Times New Roman" w:hAnsi="Times New Roman" w:cs="Times New Roman"/>
          <w:color w:val="000000" w:themeColor="text1"/>
        </w:rPr>
        <w:footnoteReference w:id="88"/>
      </w:r>
      <w:r w:rsidRPr="00DC550F">
        <w:rPr>
          <w:rFonts w:ascii="Times New Roman" w:hAnsi="Times New Roman" w:cs="Times New Roman"/>
          <w:color w:val="000000" w:themeColor="text1"/>
        </w:rPr>
        <w:t xml:space="preserve"> </w:t>
      </w:r>
      <w:r w:rsidR="00F631C4" w:rsidRPr="00DC550F">
        <w:rPr>
          <w:rFonts w:ascii="Times New Roman" w:hAnsi="Times New Roman" w:cs="Times New Roman"/>
          <w:color w:val="000000" w:themeColor="text1"/>
        </w:rPr>
        <w:t>These</w:t>
      </w:r>
      <w:r w:rsidRPr="00DC550F">
        <w:rPr>
          <w:rFonts w:ascii="Times New Roman" w:hAnsi="Times New Roman" w:cs="Times New Roman"/>
          <w:color w:val="000000" w:themeColor="text1"/>
        </w:rPr>
        <w:t xml:space="preserve"> developments do not completely abolish the DOAA; they may, however, have the potential to change its entire notion.</w:t>
      </w:r>
      <w:r w:rsidRPr="00DC550F">
        <w:rPr>
          <w:rStyle w:val="FootnoteReference"/>
          <w:rFonts w:ascii="Times New Roman" w:hAnsi="Times New Roman" w:cs="Times New Roman"/>
          <w:color w:val="000000" w:themeColor="text1"/>
        </w:rPr>
        <w:footnoteReference w:id="89"/>
      </w:r>
      <w:r w:rsidRPr="00DC550F">
        <w:rPr>
          <w:rFonts w:ascii="Times New Roman" w:hAnsi="Times New Roman" w:cs="Times New Roman"/>
          <w:color w:val="000000" w:themeColor="text1"/>
        </w:rPr>
        <w:t xml:space="preserve"> </w:t>
      </w:r>
    </w:p>
    <w:p w14:paraId="10D8CB89" w14:textId="77777777" w:rsidR="001E68A9" w:rsidRPr="00DC550F" w:rsidRDefault="001E68A9" w:rsidP="001E68A9">
      <w:pPr>
        <w:jc w:val="both"/>
        <w:rPr>
          <w:rFonts w:ascii="Times New Roman" w:hAnsi="Times New Roman" w:cs="Times New Roman"/>
          <w:color w:val="000000" w:themeColor="text1"/>
          <w:sz w:val="22"/>
          <w:szCs w:val="22"/>
        </w:rPr>
      </w:pPr>
    </w:p>
    <w:p w14:paraId="6805028F" w14:textId="77777777" w:rsidR="001E68A9" w:rsidRPr="00DC550F" w:rsidRDefault="001E68A9" w:rsidP="001E68A9">
      <w:pPr>
        <w:jc w:val="both"/>
        <w:rPr>
          <w:rFonts w:ascii="Times New Roman" w:hAnsi="Times New Roman" w:cs="Times New Roman"/>
          <w:color w:val="000000" w:themeColor="text1"/>
          <w:sz w:val="22"/>
          <w:szCs w:val="22"/>
          <w:u w:val="single"/>
        </w:rPr>
      </w:pPr>
      <w:r w:rsidRPr="00DC550F">
        <w:rPr>
          <w:rFonts w:ascii="Times New Roman" w:hAnsi="Times New Roman" w:cs="Times New Roman"/>
          <w:color w:val="000000" w:themeColor="text1"/>
          <w:sz w:val="22"/>
          <w:szCs w:val="22"/>
          <w:u w:val="single"/>
        </w:rPr>
        <w:t>UK Cases:</w:t>
      </w:r>
    </w:p>
    <w:p w14:paraId="23402635"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proofErr w:type="spellStart"/>
      <w:r w:rsidRPr="00DC550F">
        <w:rPr>
          <w:rFonts w:ascii="Times New Roman" w:hAnsi="Times New Roman" w:cs="Times New Roman"/>
          <w:color w:val="000000" w:themeColor="text1"/>
          <w:sz w:val="22"/>
          <w:szCs w:val="22"/>
        </w:rPr>
        <w:t>Armagas</w:t>
      </w:r>
      <w:proofErr w:type="spellEnd"/>
      <w:r w:rsidRPr="00DC550F">
        <w:rPr>
          <w:rFonts w:ascii="Times New Roman" w:hAnsi="Times New Roman" w:cs="Times New Roman"/>
          <w:color w:val="000000" w:themeColor="text1"/>
          <w:sz w:val="22"/>
          <w:szCs w:val="22"/>
        </w:rPr>
        <w:t xml:space="preserve"> Ltd v </w:t>
      </w:r>
      <w:proofErr w:type="spellStart"/>
      <w:r w:rsidRPr="00DC550F">
        <w:rPr>
          <w:rFonts w:ascii="Times New Roman" w:hAnsi="Times New Roman" w:cs="Times New Roman"/>
          <w:color w:val="000000" w:themeColor="text1"/>
          <w:sz w:val="22"/>
          <w:szCs w:val="22"/>
        </w:rPr>
        <w:t>Mundogas</w:t>
      </w:r>
      <w:proofErr w:type="spellEnd"/>
      <w:r w:rsidRPr="00DC550F">
        <w:rPr>
          <w:rFonts w:ascii="Times New Roman" w:hAnsi="Times New Roman" w:cs="Times New Roman"/>
          <w:color w:val="000000" w:themeColor="text1"/>
          <w:sz w:val="22"/>
          <w:szCs w:val="22"/>
        </w:rPr>
        <w:t xml:space="preserve"> SA [1986] AC 717</w:t>
      </w:r>
    </w:p>
    <w:p w14:paraId="6F067533"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British Bank of the Middle East v Sun life Assurance Co of Canada (UK) Ltd [1983] 2 Lloyds Rep 9</w:t>
      </w:r>
    </w:p>
    <w:p w14:paraId="65CB1D56"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First Energy (UK) v Hungarian International Bank Ltd [1993] B.C.C. 533</w:t>
      </w:r>
    </w:p>
    <w:p w14:paraId="3C31572A"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 xml:space="preserve">Freeman and </w:t>
      </w:r>
      <w:proofErr w:type="spellStart"/>
      <w:r w:rsidRPr="00DC550F">
        <w:rPr>
          <w:rFonts w:ascii="Times New Roman" w:hAnsi="Times New Roman" w:cs="Times New Roman"/>
          <w:color w:val="000000" w:themeColor="text1"/>
          <w:sz w:val="22"/>
          <w:szCs w:val="22"/>
        </w:rPr>
        <w:t>Lockyer</w:t>
      </w:r>
      <w:proofErr w:type="spellEnd"/>
      <w:r w:rsidRPr="00DC550F">
        <w:rPr>
          <w:rFonts w:ascii="Times New Roman" w:hAnsi="Times New Roman" w:cs="Times New Roman"/>
          <w:color w:val="000000" w:themeColor="text1"/>
          <w:sz w:val="22"/>
          <w:szCs w:val="22"/>
        </w:rPr>
        <w:t xml:space="preserve"> v Buckhurst Park Properties (</w:t>
      </w:r>
      <w:proofErr w:type="spellStart"/>
      <w:r w:rsidRPr="00DC550F">
        <w:rPr>
          <w:rFonts w:ascii="Times New Roman" w:hAnsi="Times New Roman" w:cs="Times New Roman"/>
          <w:color w:val="000000" w:themeColor="text1"/>
          <w:sz w:val="22"/>
          <w:szCs w:val="22"/>
        </w:rPr>
        <w:t>Mangal</w:t>
      </w:r>
      <w:proofErr w:type="spellEnd"/>
      <w:r w:rsidRPr="00DC550F">
        <w:rPr>
          <w:rFonts w:ascii="Times New Roman" w:hAnsi="Times New Roman" w:cs="Times New Roman"/>
          <w:color w:val="000000" w:themeColor="text1"/>
          <w:sz w:val="22"/>
          <w:szCs w:val="22"/>
        </w:rPr>
        <w:t>) Ltd [1964] 2 QB 480</w:t>
      </w:r>
    </w:p>
    <w:p w14:paraId="4BE9C7D0"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Kelly v Fraser [2012] 3 WLR 1008</w:t>
      </w:r>
    </w:p>
    <w:p w14:paraId="62A3636E"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Rama Corporation Ltd v Proved Tin and General Investments Ltd [1952] 2 QB 147</w:t>
      </w:r>
    </w:p>
    <w:p w14:paraId="312A703E"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 xml:space="preserve">The </w:t>
      </w:r>
      <w:proofErr w:type="spellStart"/>
      <w:r w:rsidRPr="00DC550F">
        <w:rPr>
          <w:rFonts w:ascii="Times New Roman" w:hAnsi="Times New Roman" w:cs="Times New Roman"/>
          <w:color w:val="000000" w:themeColor="text1"/>
          <w:sz w:val="22"/>
          <w:szCs w:val="22"/>
        </w:rPr>
        <w:t>Raffaella</w:t>
      </w:r>
      <w:proofErr w:type="spellEnd"/>
      <w:r w:rsidRPr="00DC550F">
        <w:rPr>
          <w:rFonts w:ascii="Times New Roman" w:hAnsi="Times New Roman" w:cs="Times New Roman"/>
          <w:i/>
          <w:color w:val="000000" w:themeColor="text1"/>
          <w:sz w:val="22"/>
          <w:szCs w:val="22"/>
        </w:rPr>
        <w:t xml:space="preserve"> </w:t>
      </w:r>
      <w:r w:rsidRPr="00DC550F">
        <w:rPr>
          <w:rFonts w:ascii="Times New Roman" w:hAnsi="Times New Roman" w:cs="Times New Roman"/>
          <w:color w:val="000000" w:themeColor="text1"/>
          <w:sz w:val="22"/>
          <w:szCs w:val="22"/>
        </w:rPr>
        <w:t>[1985] 2 Lloyds Rep 36</w:t>
      </w:r>
    </w:p>
    <w:p w14:paraId="4420C8F9" w14:textId="77777777" w:rsidR="001E68A9" w:rsidRPr="00DC550F" w:rsidRDefault="001E68A9" w:rsidP="001E68A9">
      <w:pPr>
        <w:ind w:left="360"/>
        <w:jc w:val="both"/>
        <w:rPr>
          <w:rFonts w:ascii="Times New Roman" w:hAnsi="Times New Roman" w:cs="Times New Roman"/>
          <w:color w:val="000000" w:themeColor="text1"/>
          <w:sz w:val="22"/>
          <w:szCs w:val="22"/>
        </w:rPr>
      </w:pPr>
    </w:p>
    <w:p w14:paraId="38CAD91E" w14:textId="77777777" w:rsidR="001E68A9" w:rsidRPr="00DC550F" w:rsidRDefault="001E68A9" w:rsidP="001E68A9">
      <w:pPr>
        <w:ind w:left="360"/>
        <w:jc w:val="both"/>
        <w:rPr>
          <w:rFonts w:ascii="Times New Roman" w:hAnsi="Times New Roman" w:cs="Times New Roman"/>
          <w:color w:val="000000" w:themeColor="text1"/>
          <w:sz w:val="22"/>
          <w:szCs w:val="22"/>
        </w:rPr>
      </w:pPr>
    </w:p>
    <w:p w14:paraId="58F81383" w14:textId="77777777" w:rsidR="001E68A9" w:rsidRPr="00DC550F" w:rsidRDefault="001E68A9" w:rsidP="001E68A9">
      <w:pPr>
        <w:jc w:val="both"/>
        <w:rPr>
          <w:rFonts w:ascii="Times New Roman" w:hAnsi="Times New Roman" w:cs="Times New Roman"/>
          <w:color w:val="000000" w:themeColor="text1"/>
          <w:sz w:val="22"/>
          <w:szCs w:val="22"/>
          <w:u w:val="single"/>
        </w:rPr>
      </w:pPr>
      <w:r w:rsidRPr="00DC550F">
        <w:rPr>
          <w:rFonts w:ascii="Times New Roman" w:hAnsi="Times New Roman" w:cs="Times New Roman"/>
          <w:color w:val="000000" w:themeColor="text1"/>
          <w:sz w:val="22"/>
          <w:szCs w:val="22"/>
          <w:u w:val="single"/>
        </w:rPr>
        <w:t>International Cases:</w:t>
      </w:r>
    </w:p>
    <w:p w14:paraId="40116A99"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proofErr w:type="spellStart"/>
      <w:r w:rsidRPr="00DC550F">
        <w:rPr>
          <w:rFonts w:ascii="Times New Roman" w:hAnsi="Times New Roman" w:cs="Times New Roman"/>
          <w:color w:val="000000" w:themeColor="text1"/>
          <w:sz w:val="22"/>
          <w:szCs w:val="22"/>
        </w:rPr>
        <w:t>Thanakharn</w:t>
      </w:r>
      <w:proofErr w:type="spellEnd"/>
      <w:r w:rsidRPr="00DC550F">
        <w:rPr>
          <w:rFonts w:ascii="Times New Roman" w:hAnsi="Times New Roman" w:cs="Times New Roman"/>
          <w:color w:val="000000" w:themeColor="text1"/>
          <w:sz w:val="22"/>
          <w:szCs w:val="22"/>
        </w:rPr>
        <w:t xml:space="preserve"> </w:t>
      </w:r>
      <w:proofErr w:type="spellStart"/>
      <w:r w:rsidRPr="00DC550F">
        <w:rPr>
          <w:rFonts w:ascii="Times New Roman" w:hAnsi="Times New Roman" w:cs="Times New Roman"/>
          <w:color w:val="000000" w:themeColor="text1"/>
          <w:sz w:val="22"/>
          <w:szCs w:val="22"/>
        </w:rPr>
        <w:t>Kasikorn</w:t>
      </w:r>
      <w:proofErr w:type="spellEnd"/>
      <w:r w:rsidRPr="00DC550F">
        <w:rPr>
          <w:rFonts w:ascii="Times New Roman" w:hAnsi="Times New Roman" w:cs="Times New Roman"/>
          <w:color w:val="000000" w:themeColor="text1"/>
          <w:sz w:val="22"/>
          <w:szCs w:val="22"/>
        </w:rPr>
        <w:t xml:space="preserve"> Thai </w:t>
      </w:r>
      <w:proofErr w:type="spellStart"/>
      <w:r w:rsidRPr="00DC550F">
        <w:rPr>
          <w:rFonts w:ascii="Times New Roman" w:hAnsi="Times New Roman" w:cs="Times New Roman"/>
          <w:color w:val="000000" w:themeColor="text1"/>
          <w:sz w:val="22"/>
          <w:szCs w:val="22"/>
        </w:rPr>
        <w:t>Chamkat</w:t>
      </w:r>
      <w:proofErr w:type="spellEnd"/>
      <w:r w:rsidRPr="00DC550F">
        <w:rPr>
          <w:rFonts w:ascii="Times New Roman" w:hAnsi="Times New Roman" w:cs="Times New Roman"/>
          <w:color w:val="000000" w:themeColor="text1"/>
          <w:sz w:val="22"/>
          <w:szCs w:val="22"/>
        </w:rPr>
        <w:t xml:space="preserve"> (</w:t>
      </w:r>
      <w:proofErr w:type="spellStart"/>
      <w:r w:rsidRPr="00DC550F">
        <w:rPr>
          <w:rFonts w:ascii="Times New Roman" w:hAnsi="Times New Roman" w:cs="Times New Roman"/>
          <w:color w:val="000000" w:themeColor="text1"/>
          <w:sz w:val="22"/>
          <w:szCs w:val="22"/>
        </w:rPr>
        <w:t>Mahachon</w:t>
      </w:r>
      <w:proofErr w:type="spellEnd"/>
      <w:r w:rsidRPr="00DC550F">
        <w:rPr>
          <w:rFonts w:ascii="Times New Roman" w:hAnsi="Times New Roman" w:cs="Times New Roman"/>
          <w:color w:val="000000" w:themeColor="text1"/>
          <w:sz w:val="22"/>
          <w:szCs w:val="22"/>
        </w:rPr>
        <w:t>) v Akai Holdings [2016] HKCFA 64</w:t>
      </w:r>
    </w:p>
    <w:p w14:paraId="77333989" w14:textId="77777777" w:rsidR="001E68A9" w:rsidRPr="00DC550F" w:rsidRDefault="001E68A9" w:rsidP="001E68A9">
      <w:pPr>
        <w:jc w:val="both"/>
        <w:rPr>
          <w:rFonts w:ascii="Times New Roman" w:hAnsi="Times New Roman" w:cs="Times New Roman"/>
          <w:color w:val="000000" w:themeColor="text1"/>
          <w:sz w:val="22"/>
          <w:szCs w:val="22"/>
        </w:rPr>
      </w:pPr>
    </w:p>
    <w:p w14:paraId="03332154" w14:textId="77777777" w:rsidR="001E68A9" w:rsidRPr="00DC550F" w:rsidRDefault="001E68A9" w:rsidP="001E68A9">
      <w:pPr>
        <w:jc w:val="both"/>
        <w:rPr>
          <w:rFonts w:ascii="Times New Roman" w:hAnsi="Times New Roman" w:cs="Times New Roman"/>
          <w:color w:val="000000" w:themeColor="text1"/>
          <w:sz w:val="22"/>
          <w:szCs w:val="22"/>
          <w:u w:val="single"/>
        </w:rPr>
      </w:pPr>
      <w:r w:rsidRPr="00DC550F">
        <w:rPr>
          <w:rFonts w:ascii="Times New Roman" w:hAnsi="Times New Roman" w:cs="Times New Roman"/>
          <w:color w:val="000000" w:themeColor="text1"/>
          <w:sz w:val="22"/>
          <w:szCs w:val="22"/>
          <w:u w:val="single"/>
        </w:rPr>
        <w:t>Bibliography:</w:t>
      </w:r>
    </w:p>
    <w:p w14:paraId="5B923E00"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proofErr w:type="spellStart"/>
      <w:r w:rsidRPr="00DC550F">
        <w:rPr>
          <w:rFonts w:ascii="Times New Roman" w:hAnsi="Times New Roman" w:cs="Times New Roman"/>
          <w:color w:val="000000" w:themeColor="text1"/>
          <w:sz w:val="22"/>
          <w:szCs w:val="22"/>
        </w:rPr>
        <w:t>Baskind</w:t>
      </w:r>
      <w:proofErr w:type="spellEnd"/>
      <w:r w:rsidRPr="00DC550F">
        <w:rPr>
          <w:rFonts w:ascii="Times New Roman" w:hAnsi="Times New Roman" w:cs="Times New Roman"/>
          <w:color w:val="000000" w:themeColor="text1"/>
          <w:sz w:val="22"/>
          <w:szCs w:val="22"/>
        </w:rPr>
        <w:t xml:space="preserve"> E. et al, </w:t>
      </w:r>
      <w:r w:rsidRPr="00DC550F">
        <w:rPr>
          <w:rFonts w:ascii="Times New Roman" w:hAnsi="Times New Roman" w:cs="Times New Roman"/>
          <w:i/>
          <w:color w:val="000000" w:themeColor="text1"/>
          <w:sz w:val="22"/>
          <w:szCs w:val="22"/>
        </w:rPr>
        <w:t>Commercial Law</w:t>
      </w:r>
      <w:r w:rsidRPr="00DC550F">
        <w:rPr>
          <w:rFonts w:ascii="Times New Roman" w:hAnsi="Times New Roman" w:cs="Times New Roman"/>
          <w:color w:val="000000" w:themeColor="text1"/>
          <w:sz w:val="22"/>
          <w:szCs w:val="22"/>
        </w:rPr>
        <w:t>, (Second edition, Oxford University Press 2016)</w:t>
      </w:r>
    </w:p>
    <w:p w14:paraId="14615F78"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Brown I, ‘The agent’s apparent authority’ [1995] Journal of Business Law 360</w:t>
      </w:r>
    </w:p>
    <w:p w14:paraId="7698446D"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Brown I, ‘The significance of General and Special Authority in the Development of the Agent’s External Authority in English Law’ (2004) Journal of Business Law 391,</w:t>
      </w:r>
    </w:p>
    <w:p w14:paraId="4A85EE87" w14:textId="77777777" w:rsidR="001E68A9" w:rsidRPr="00DC550F" w:rsidRDefault="001E68A9" w:rsidP="001E68A9">
      <w:pPr>
        <w:pStyle w:val="FootnoteText"/>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 xml:space="preserve">Busch D. and Macgregor L.J, </w:t>
      </w:r>
      <w:r w:rsidRPr="00DC550F">
        <w:rPr>
          <w:rFonts w:ascii="Times New Roman" w:hAnsi="Times New Roman" w:cs="Times New Roman"/>
          <w:i/>
          <w:color w:val="000000" w:themeColor="text1"/>
          <w:sz w:val="22"/>
          <w:szCs w:val="22"/>
        </w:rPr>
        <w:t>The Unauthorised Agent: Perspectives from European and Comparative Law</w:t>
      </w:r>
      <w:r w:rsidRPr="00DC550F">
        <w:rPr>
          <w:rFonts w:ascii="Times New Roman" w:hAnsi="Times New Roman" w:cs="Times New Roman"/>
          <w:color w:val="000000" w:themeColor="text1"/>
          <w:sz w:val="22"/>
          <w:szCs w:val="22"/>
        </w:rPr>
        <w:t xml:space="preserve"> (Cambridge University Press 2009)</w:t>
      </w:r>
    </w:p>
    <w:p w14:paraId="0F1C7E4C"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proofErr w:type="spellStart"/>
      <w:r w:rsidRPr="00DC550F">
        <w:rPr>
          <w:rFonts w:ascii="Times New Roman" w:hAnsi="Times New Roman" w:cs="Times New Roman"/>
          <w:color w:val="000000" w:themeColor="text1"/>
          <w:sz w:val="22"/>
          <w:szCs w:val="22"/>
        </w:rPr>
        <w:t>Munday</w:t>
      </w:r>
      <w:proofErr w:type="spellEnd"/>
      <w:r w:rsidRPr="00DC550F">
        <w:rPr>
          <w:rFonts w:ascii="Times New Roman" w:hAnsi="Times New Roman" w:cs="Times New Roman"/>
          <w:color w:val="000000" w:themeColor="text1"/>
          <w:sz w:val="22"/>
          <w:szCs w:val="22"/>
        </w:rPr>
        <w:t xml:space="preserve"> R, </w:t>
      </w:r>
      <w:r w:rsidRPr="00DC550F">
        <w:rPr>
          <w:rFonts w:ascii="Times New Roman" w:hAnsi="Times New Roman" w:cs="Times New Roman"/>
          <w:i/>
          <w:color w:val="000000" w:themeColor="text1"/>
          <w:sz w:val="22"/>
          <w:szCs w:val="22"/>
        </w:rPr>
        <w:t>Agency Law and Principles</w:t>
      </w:r>
      <w:r w:rsidRPr="00DC550F">
        <w:rPr>
          <w:rFonts w:ascii="Times New Roman" w:hAnsi="Times New Roman" w:cs="Times New Roman"/>
          <w:color w:val="000000" w:themeColor="text1"/>
          <w:sz w:val="22"/>
          <w:szCs w:val="22"/>
        </w:rPr>
        <w:t xml:space="preserve"> (Third edition, Oxford University Press 2016)</w:t>
      </w:r>
    </w:p>
    <w:p w14:paraId="5325E780" w14:textId="77777777" w:rsidR="001E68A9" w:rsidRPr="00DC550F" w:rsidRDefault="001E68A9" w:rsidP="001E68A9">
      <w:pPr>
        <w:pStyle w:val="ListParagraph"/>
        <w:numPr>
          <w:ilvl w:val="0"/>
          <w:numId w:val="1"/>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Reynolds F, ‘Apparent Authority’ (2009) 17(6) European Review of Private Law 975</w:t>
      </w:r>
    </w:p>
    <w:p w14:paraId="702EF4AF" w14:textId="77777777" w:rsidR="001E68A9" w:rsidRPr="00DC550F" w:rsidRDefault="001E68A9" w:rsidP="001E68A9">
      <w:pPr>
        <w:pStyle w:val="ListParagraph"/>
        <w:numPr>
          <w:ilvl w:val="0"/>
          <w:numId w:val="2"/>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Reynolds F, ‘The Ultimate Apparent Authority’ (2014) 17(6) The European Law Review 21</w:t>
      </w:r>
    </w:p>
    <w:p w14:paraId="546DDFF3" w14:textId="77777777" w:rsidR="001E68A9" w:rsidRPr="00DC550F" w:rsidRDefault="001E68A9" w:rsidP="001E68A9">
      <w:pPr>
        <w:pStyle w:val="ListParagraph"/>
        <w:numPr>
          <w:ilvl w:val="0"/>
          <w:numId w:val="2"/>
        </w:numPr>
        <w:jc w:val="both"/>
        <w:rPr>
          <w:rFonts w:ascii="Times New Roman" w:hAnsi="Times New Roman" w:cs="Times New Roman"/>
          <w:color w:val="000000" w:themeColor="text1"/>
          <w:sz w:val="22"/>
          <w:szCs w:val="22"/>
        </w:rPr>
      </w:pPr>
      <w:proofErr w:type="spellStart"/>
      <w:r w:rsidRPr="00DC550F">
        <w:rPr>
          <w:rFonts w:ascii="Times New Roman" w:hAnsi="Times New Roman" w:cs="Times New Roman"/>
          <w:color w:val="000000" w:themeColor="text1"/>
          <w:sz w:val="22"/>
          <w:szCs w:val="22"/>
        </w:rPr>
        <w:t>Woan</w:t>
      </w:r>
      <w:proofErr w:type="spellEnd"/>
      <w:r w:rsidRPr="00DC550F">
        <w:rPr>
          <w:rFonts w:ascii="Times New Roman" w:hAnsi="Times New Roman" w:cs="Times New Roman"/>
          <w:color w:val="000000" w:themeColor="text1"/>
          <w:sz w:val="22"/>
          <w:szCs w:val="22"/>
        </w:rPr>
        <w:t xml:space="preserve"> P, The Apparent Authority of the Unauthorised Agent’ (2014) 26 Singapore Academy of Law Journal 258</w:t>
      </w:r>
    </w:p>
    <w:p w14:paraId="16354938" w14:textId="77777777" w:rsidR="001E68A9" w:rsidRPr="00DC550F" w:rsidRDefault="001E68A9" w:rsidP="001E68A9">
      <w:pPr>
        <w:pStyle w:val="ListParagraph"/>
        <w:numPr>
          <w:ilvl w:val="0"/>
          <w:numId w:val="2"/>
        </w:numPr>
        <w:jc w:val="both"/>
        <w:rPr>
          <w:rFonts w:ascii="Times New Roman" w:hAnsi="Times New Roman" w:cs="Times New Roman"/>
          <w:color w:val="000000" w:themeColor="text1"/>
          <w:sz w:val="22"/>
          <w:szCs w:val="22"/>
        </w:rPr>
      </w:pPr>
      <w:r w:rsidRPr="00DC550F">
        <w:rPr>
          <w:rFonts w:ascii="Times New Roman" w:hAnsi="Times New Roman" w:cs="Times New Roman"/>
          <w:color w:val="000000" w:themeColor="text1"/>
          <w:sz w:val="22"/>
          <w:szCs w:val="22"/>
        </w:rPr>
        <w:t>Yap J, ‘Apparent authority: doctrinal underpinnings and competing policy goals’ [2014] Journal of Business Law 72</w:t>
      </w:r>
    </w:p>
    <w:p w14:paraId="154697F4" w14:textId="77777777" w:rsidR="00335BD4" w:rsidRDefault="00F05BDE"/>
    <w:sectPr w:rsidR="00335BD4" w:rsidSect="001543B5">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F6097" w14:textId="77777777" w:rsidR="00FA0852" w:rsidRDefault="00FA0852" w:rsidP="001E68A9">
      <w:r>
        <w:separator/>
      </w:r>
    </w:p>
  </w:endnote>
  <w:endnote w:type="continuationSeparator" w:id="0">
    <w:p w14:paraId="346C0A22" w14:textId="77777777" w:rsidR="00FA0852" w:rsidRDefault="00FA0852" w:rsidP="001E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4A3F8" w14:textId="77777777" w:rsidR="00985647" w:rsidRDefault="00985647" w:rsidP="008523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C0832A" w14:textId="77777777" w:rsidR="00985647" w:rsidRDefault="0098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68ECD" w14:textId="77777777" w:rsidR="00985647" w:rsidRDefault="00985647" w:rsidP="008523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5BDE">
      <w:rPr>
        <w:rStyle w:val="PageNumber"/>
        <w:noProof/>
      </w:rPr>
      <w:t>1</w:t>
    </w:r>
    <w:r>
      <w:rPr>
        <w:rStyle w:val="PageNumber"/>
      </w:rPr>
      <w:fldChar w:fldCharType="end"/>
    </w:r>
  </w:p>
  <w:p w14:paraId="277080B6" w14:textId="77777777" w:rsidR="00985647" w:rsidRDefault="0098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72E6A" w14:textId="77777777" w:rsidR="00FA0852" w:rsidRDefault="00FA0852" w:rsidP="001E68A9">
      <w:r>
        <w:separator/>
      </w:r>
    </w:p>
  </w:footnote>
  <w:footnote w:type="continuationSeparator" w:id="0">
    <w:p w14:paraId="59F2FCCB" w14:textId="77777777" w:rsidR="00FA0852" w:rsidRDefault="00FA0852" w:rsidP="001E68A9">
      <w:r>
        <w:continuationSeparator/>
      </w:r>
    </w:p>
  </w:footnote>
  <w:footnote w:id="1">
    <w:p w14:paraId="08652C1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Francis Reynolds, ‘The Ultimate Apparent Authority’ (2014) 17(6) The European Law Review 21, 24</w:t>
      </w:r>
    </w:p>
  </w:footnote>
  <w:footnote w:id="2">
    <w:p w14:paraId="2C59CC12"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Ian Brown, ‘The agent’s apparent authority’ [1995] Journal of Business Law 360</w:t>
      </w:r>
    </w:p>
  </w:footnote>
  <w:footnote w:id="3">
    <w:p w14:paraId="0BF6943A"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 (UK) v Hungarian International Bank Ltd</w:t>
      </w:r>
      <w:r w:rsidRPr="00DC550F">
        <w:rPr>
          <w:rFonts w:ascii="Times New Roman" w:hAnsi="Times New Roman" w:cs="Times New Roman"/>
          <w:color w:val="000000" w:themeColor="text1"/>
          <w:sz w:val="20"/>
          <w:szCs w:val="20"/>
        </w:rPr>
        <w:t xml:space="preserve"> [1993] B.C.C. 533</w:t>
      </w:r>
    </w:p>
    <w:p w14:paraId="0DA125B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Fonts w:ascii="Times New Roman" w:hAnsi="Times New Roman" w:cs="Times New Roman"/>
          <w:color w:val="000000" w:themeColor="text1"/>
          <w:sz w:val="20"/>
          <w:szCs w:val="20"/>
        </w:rPr>
        <w:t>[544] (Evans L.J)</w:t>
      </w:r>
    </w:p>
  </w:footnote>
  <w:footnote w:id="4">
    <w:p w14:paraId="7A301971"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JI </w:t>
      </w:r>
      <w:proofErr w:type="spellStart"/>
      <w:r w:rsidRPr="00DC550F">
        <w:rPr>
          <w:rFonts w:ascii="Times New Roman" w:hAnsi="Times New Roman" w:cs="Times New Roman"/>
          <w:color w:val="000000" w:themeColor="text1"/>
          <w:sz w:val="20"/>
          <w:szCs w:val="20"/>
        </w:rPr>
        <w:t>Lian</w:t>
      </w:r>
      <w:proofErr w:type="spellEnd"/>
      <w:r w:rsidRPr="00DC550F">
        <w:rPr>
          <w:rFonts w:ascii="Times New Roman" w:hAnsi="Times New Roman" w:cs="Times New Roman"/>
          <w:color w:val="000000" w:themeColor="text1"/>
          <w:sz w:val="20"/>
          <w:szCs w:val="20"/>
        </w:rPr>
        <w:t xml:space="preserve"> Yap, ‘</w:t>
      </w:r>
      <w:proofErr w:type="gramStart"/>
      <w:r w:rsidRPr="00DC550F">
        <w:rPr>
          <w:rFonts w:ascii="Times New Roman" w:hAnsi="Times New Roman" w:cs="Times New Roman"/>
          <w:color w:val="000000" w:themeColor="text1"/>
          <w:sz w:val="20"/>
          <w:szCs w:val="20"/>
        </w:rPr>
        <w:t>Apparent</w:t>
      </w:r>
      <w:proofErr w:type="gramEnd"/>
      <w:r w:rsidRPr="00DC550F">
        <w:rPr>
          <w:rFonts w:ascii="Times New Roman" w:hAnsi="Times New Roman" w:cs="Times New Roman"/>
          <w:color w:val="000000" w:themeColor="text1"/>
          <w:sz w:val="20"/>
          <w:szCs w:val="20"/>
        </w:rPr>
        <w:t xml:space="preserve"> authority: doctrinal underpinnings and competing policy goals’ [2014] Journal of Business Law 72, 72. </w:t>
      </w:r>
    </w:p>
  </w:footnote>
  <w:footnote w:id="5">
    <w:p w14:paraId="224D06F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Pey</w:t>
      </w:r>
      <w:proofErr w:type="spellEnd"/>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Woan</w:t>
      </w:r>
      <w:proofErr w:type="spellEnd"/>
      <w:r w:rsidRPr="00DC550F">
        <w:rPr>
          <w:rFonts w:ascii="Times New Roman" w:hAnsi="Times New Roman" w:cs="Times New Roman"/>
          <w:color w:val="000000" w:themeColor="text1"/>
          <w:sz w:val="20"/>
          <w:szCs w:val="20"/>
        </w:rPr>
        <w:t>, The Apparent Authority of the Unauthorised Agent’ (2014) 26 Singapore Academy of Law Journal 258, 263</w:t>
      </w:r>
    </w:p>
  </w:footnote>
  <w:footnote w:id="6">
    <w:p w14:paraId="00107EB5" w14:textId="7DF3FD2D"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[540]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7">
    <w:p w14:paraId="13D9A4D9"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Freeman and </w:t>
      </w:r>
      <w:proofErr w:type="spellStart"/>
      <w:r w:rsidRPr="00DC550F">
        <w:rPr>
          <w:rFonts w:ascii="Times New Roman" w:hAnsi="Times New Roman" w:cs="Times New Roman"/>
          <w:i/>
          <w:color w:val="000000" w:themeColor="text1"/>
          <w:sz w:val="20"/>
          <w:szCs w:val="20"/>
        </w:rPr>
        <w:t>Lockyer</w:t>
      </w:r>
      <w:proofErr w:type="spellEnd"/>
      <w:r w:rsidRPr="00DC550F">
        <w:rPr>
          <w:rFonts w:ascii="Times New Roman" w:hAnsi="Times New Roman" w:cs="Times New Roman"/>
          <w:i/>
          <w:color w:val="000000" w:themeColor="text1"/>
          <w:sz w:val="20"/>
          <w:szCs w:val="20"/>
        </w:rPr>
        <w:t xml:space="preserve"> V Buckhurst Park Properties (</w:t>
      </w:r>
      <w:proofErr w:type="spellStart"/>
      <w:r w:rsidRPr="00DC550F">
        <w:rPr>
          <w:rFonts w:ascii="Times New Roman" w:hAnsi="Times New Roman" w:cs="Times New Roman"/>
          <w:i/>
          <w:color w:val="000000" w:themeColor="text1"/>
          <w:sz w:val="20"/>
          <w:szCs w:val="20"/>
        </w:rPr>
        <w:t>Mangal</w:t>
      </w:r>
      <w:proofErr w:type="spellEnd"/>
      <w:r w:rsidRPr="00DC550F">
        <w:rPr>
          <w:rFonts w:ascii="Times New Roman" w:hAnsi="Times New Roman" w:cs="Times New Roman"/>
          <w:i/>
          <w:color w:val="000000" w:themeColor="text1"/>
          <w:sz w:val="20"/>
          <w:szCs w:val="20"/>
        </w:rPr>
        <w:t>) Ltd</w:t>
      </w:r>
      <w:r w:rsidRPr="00DC550F">
        <w:rPr>
          <w:rFonts w:ascii="Times New Roman" w:hAnsi="Times New Roman" w:cs="Times New Roman"/>
          <w:color w:val="000000" w:themeColor="text1"/>
          <w:sz w:val="20"/>
          <w:szCs w:val="20"/>
        </w:rPr>
        <w:t xml:space="preserve"> [1964] 2 QB 480 [503] (Lord </w:t>
      </w:r>
      <w:proofErr w:type="spellStart"/>
      <w:r w:rsidRPr="00DC550F">
        <w:rPr>
          <w:rFonts w:ascii="Times New Roman" w:hAnsi="Times New Roman" w:cs="Times New Roman"/>
          <w:color w:val="000000" w:themeColor="text1"/>
          <w:sz w:val="20"/>
          <w:szCs w:val="20"/>
        </w:rPr>
        <w:t>Diplock</w:t>
      </w:r>
      <w:proofErr w:type="spellEnd"/>
      <w:r w:rsidRPr="00DC550F">
        <w:rPr>
          <w:rFonts w:ascii="Times New Roman" w:hAnsi="Times New Roman" w:cs="Times New Roman"/>
          <w:color w:val="000000" w:themeColor="text1"/>
          <w:sz w:val="20"/>
          <w:szCs w:val="20"/>
        </w:rPr>
        <w:t xml:space="preserve">) </w:t>
      </w:r>
    </w:p>
  </w:footnote>
  <w:footnote w:id="8">
    <w:p w14:paraId="1F95CA10"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Rama Corporation Ltd </w:t>
      </w:r>
      <w:r w:rsidRPr="00DC550F">
        <w:rPr>
          <w:rFonts w:ascii="Times New Roman" w:hAnsi="Times New Roman" w:cs="Times New Roman"/>
          <w:color w:val="000000" w:themeColor="text1"/>
          <w:sz w:val="20"/>
          <w:szCs w:val="20"/>
        </w:rPr>
        <w:t>v</w:t>
      </w:r>
      <w:r w:rsidRPr="00DC550F">
        <w:rPr>
          <w:rFonts w:ascii="Times New Roman" w:hAnsi="Times New Roman" w:cs="Times New Roman"/>
          <w:i/>
          <w:color w:val="000000" w:themeColor="text1"/>
          <w:sz w:val="20"/>
          <w:szCs w:val="20"/>
        </w:rPr>
        <w:t xml:space="preserve"> Proved Tin and General Investments Ltd</w:t>
      </w:r>
      <w:r w:rsidRPr="00DC550F">
        <w:rPr>
          <w:rFonts w:ascii="Times New Roman" w:hAnsi="Times New Roman" w:cs="Times New Roman"/>
          <w:color w:val="000000" w:themeColor="text1"/>
          <w:sz w:val="20"/>
          <w:szCs w:val="20"/>
        </w:rPr>
        <w:t xml:space="preserve"> [1952] 2 QB 147 [149-50] (Slade J) </w:t>
      </w:r>
    </w:p>
  </w:footnote>
  <w:footnote w:id="9">
    <w:p w14:paraId="507595E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Robert </w:t>
      </w:r>
      <w:proofErr w:type="spellStart"/>
      <w:r w:rsidRPr="00DC550F">
        <w:rPr>
          <w:rFonts w:ascii="Times New Roman" w:hAnsi="Times New Roman" w:cs="Times New Roman"/>
          <w:color w:val="000000" w:themeColor="text1"/>
          <w:sz w:val="20"/>
          <w:szCs w:val="20"/>
        </w:rPr>
        <w:t>Munday</w:t>
      </w:r>
      <w:proofErr w:type="spellEnd"/>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Agency Law and Principles</w:t>
      </w:r>
      <w:r w:rsidRPr="00DC550F">
        <w:rPr>
          <w:rFonts w:ascii="Times New Roman" w:hAnsi="Times New Roman" w:cs="Times New Roman"/>
          <w:color w:val="000000" w:themeColor="text1"/>
          <w:sz w:val="20"/>
          <w:szCs w:val="20"/>
        </w:rPr>
        <w:t xml:space="preserve"> (Third edition, Oxford University Press 2016) 84</w:t>
      </w:r>
    </w:p>
  </w:footnote>
  <w:footnote w:id="10">
    <w:p w14:paraId="4A04C198" w14:textId="7B6E97BF"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Freeman (</w:t>
      </w:r>
      <w:r w:rsidR="00144E79">
        <w:rPr>
          <w:rFonts w:ascii="Times New Roman" w:hAnsi="Times New Roman" w:cs="Times New Roman"/>
          <w:color w:val="000000" w:themeColor="text1"/>
          <w:sz w:val="20"/>
          <w:szCs w:val="20"/>
        </w:rPr>
        <w:t>n7</w:t>
      </w:r>
      <w:r w:rsidRPr="00DC550F">
        <w:rPr>
          <w:rFonts w:ascii="Times New Roman" w:hAnsi="Times New Roman" w:cs="Times New Roman"/>
          <w:color w:val="000000" w:themeColor="text1"/>
          <w:sz w:val="20"/>
          <w:szCs w:val="20"/>
        </w:rPr>
        <w:t>)</w:t>
      </w:r>
    </w:p>
  </w:footnote>
  <w:footnote w:id="11">
    <w:p w14:paraId="3383B5A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Danny Busch and Laura J. Macgregor, </w:t>
      </w:r>
      <w:r w:rsidRPr="00DC550F">
        <w:rPr>
          <w:rFonts w:ascii="Times New Roman" w:hAnsi="Times New Roman" w:cs="Times New Roman"/>
          <w:i/>
          <w:color w:val="000000" w:themeColor="text1"/>
          <w:sz w:val="20"/>
          <w:szCs w:val="20"/>
        </w:rPr>
        <w:t>The Unauthorised Agent: Perspectives from European and Comparative Law</w:t>
      </w:r>
      <w:r w:rsidRPr="00DC550F">
        <w:rPr>
          <w:rFonts w:ascii="Times New Roman" w:hAnsi="Times New Roman" w:cs="Times New Roman"/>
          <w:color w:val="000000" w:themeColor="text1"/>
          <w:sz w:val="20"/>
          <w:szCs w:val="20"/>
        </w:rPr>
        <w:t xml:space="preserve"> (Cambridge University Press 2009) 189</w:t>
      </w:r>
    </w:p>
  </w:footnote>
  <w:footnote w:id="12">
    <w:p w14:paraId="5EDD259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189-190</w:t>
      </w:r>
    </w:p>
  </w:footnote>
  <w:footnote w:id="13">
    <w:p w14:paraId="64F885E5" w14:textId="7B899082"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i/>
          <w:color w:val="000000" w:themeColor="text1"/>
          <w:sz w:val="20"/>
          <w:szCs w:val="20"/>
        </w:rPr>
        <w:t>Thanakharn</w:t>
      </w:r>
      <w:proofErr w:type="spellEnd"/>
      <w:r w:rsidRPr="00DC550F">
        <w:rPr>
          <w:rFonts w:ascii="Times New Roman" w:hAnsi="Times New Roman" w:cs="Times New Roman"/>
          <w:i/>
          <w:color w:val="000000" w:themeColor="text1"/>
          <w:sz w:val="20"/>
          <w:szCs w:val="20"/>
        </w:rPr>
        <w:t xml:space="preserve"> </w:t>
      </w:r>
      <w:proofErr w:type="spellStart"/>
      <w:r w:rsidRPr="00DC550F">
        <w:rPr>
          <w:rFonts w:ascii="Times New Roman" w:hAnsi="Times New Roman" w:cs="Times New Roman"/>
          <w:i/>
          <w:color w:val="000000" w:themeColor="text1"/>
          <w:sz w:val="20"/>
          <w:szCs w:val="20"/>
        </w:rPr>
        <w:t>Kasikorn</w:t>
      </w:r>
      <w:proofErr w:type="spellEnd"/>
      <w:r w:rsidRPr="00DC550F">
        <w:rPr>
          <w:rFonts w:ascii="Times New Roman" w:hAnsi="Times New Roman" w:cs="Times New Roman"/>
          <w:i/>
          <w:color w:val="000000" w:themeColor="text1"/>
          <w:sz w:val="20"/>
          <w:szCs w:val="20"/>
        </w:rPr>
        <w:t xml:space="preserve"> Thai </w:t>
      </w:r>
      <w:proofErr w:type="spellStart"/>
      <w:r w:rsidRPr="00DC550F">
        <w:rPr>
          <w:rFonts w:ascii="Times New Roman" w:hAnsi="Times New Roman" w:cs="Times New Roman"/>
          <w:i/>
          <w:color w:val="000000" w:themeColor="text1"/>
          <w:sz w:val="20"/>
          <w:szCs w:val="20"/>
        </w:rPr>
        <w:t>Chamkat</w:t>
      </w:r>
      <w:proofErr w:type="spellEnd"/>
      <w:r w:rsidRPr="00DC550F">
        <w:rPr>
          <w:rFonts w:ascii="Times New Roman" w:hAnsi="Times New Roman" w:cs="Times New Roman"/>
          <w:i/>
          <w:color w:val="000000" w:themeColor="text1"/>
          <w:sz w:val="20"/>
          <w:szCs w:val="20"/>
        </w:rPr>
        <w:t xml:space="preserve"> (</w:t>
      </w:r>
      <w:proofErr w:type="spellStart"/>
      <w:r w:rsidRPr="00DC550F">
        <w:rPr>
          <w:rFonts w:ascii="Times New Roman" w:hAnsi="Times New Roman" w:cs="Times New Roman"/>
          <w:i/>
          <w:color w:val="000000" w:themeColor="text1"/>
          <w:sz w:val="20"/>
          <w:szCs w:val="20"/>
        </w:rPr>
        <w:t>Mahachon</w:t>
      </w:r>
      <w:proofErr w:type="spellEnd"/>
      <w:r w:rsidRPr="00DC550F">
        <w:rPr>
          <w:rFonts w:ascii="Times New Roman" w:hAnsi="Times New Roman" w:cs="Times New Roman"/>
          <w:i/>
          <w:color w:val="000000" w:themeColor="text1"/>
          <w:sz w:val="20"/>
          <w:szCs w:val="20"/>
        </w:rPr>
        <w:t>)</w:t>
      </w:r>
      <w:r w:rsidRPr="00DC550F">
        <w:rPr>
          <w:rFonts w:ascii="Times New Roman" w:hAnsi="Times New Roman" w:cs="Times New Roman"/>
          <w:color w:val="000000" w:themeColor="text1"/>
          <w:sz w:val="20"/>
          <w:szCs w:val="20"/>
        </w:rPr>
        <w:t xml:space="preserve"> v</w:t>
      </w:r>
      <w:r w:rsidRPr="00DC550F">
        <w:rPr>
          <w:rFonts w:ascii="Times New Roman" w:hAnsi="Times New Roman" w:cs="Times New Roman"/>
          <w:i/>
          <w:color w:val="000000" w:themeColor="text1"/>
          <w:sz w:val="20"/>
          <w:szCs w:val="20"/>
        </w:rPr>
        <w:t xml:space="preserve"> Akai Holdings</w:t>
      </w:r>
      <w:r w:rsidRPr="00DC550F">
        <w:rPr>
          <w:rFonts w:ascii="Times New Roman" w:hAnsi="Times New Roman" w:cs="Times New Roman"/>
          <w:color w:val="000000" w:themeColor="text1"/>
          <w:sz w:val="20"/>
          <w:szCs w:val="20"/>
        </w:rPr>
        <w:t xml:space="preserve"> [2016] HKCFA 64, 64</w:t>
      </w:r>
      <w:r w:rsidR="000367B1" w:rsidRPr="00DC550F">
        <w:rPr>
          <w:rFonts w:ascii="Times New Roman" w:hAnsi="Times New Roman" w:cs="Times New Roman"/>
          <w:color w:val="000000" w:themeColor="text1"/>
          <w:sz w:val="20"/>
          <w:szCs w:val="20"/>
        </w:rPr>
        <w:t xml:space="preserve"> [Lord </w:t>
      </w:r>
      <w:r w:rsidR="009D4B5A" w:rsidRPr="00DC550F">
        <w:rPr>
          <w:rFonts w:ascii="Times New Roman" w:hAnsi="Times New Roman" w:cs="Times New Roman"/>
          <w:color w:val="000000" w:themeColor="text1"/>
          <w:sz w:val="20"/>
          <w:szCs w:val="20"/>
        </w:rPr>
        <w:t>Neuberger</w:t>
      </w:r>
      <w:r w:rsidR="000367B1" w:rsidRPr="00DC550F">
        <w:rPr>
          <w:rFonts w:ascii="Times New Roman" w:hAnsi="Times New Roman" w:cs="Times New Roman"/>
          <w:color w:val="000000" w:themeColor="text1"/>
          <w:sz w:val="20"/>
          <w:szCs w:val="20"/>
        </w:rPr>
        <w:t>]</w:t>
      </w:r>
    </w:p>
  </w:footnote>
  <w:footnote w:id="14">
    <w:p w14:paraId="2D35932F" w14:textId="39EACB96"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144E79">
        <w:rPr>
          <w:rFonts w:ascii="Times New Roman" w:hAnsi="Times New Roman" w:cs="Times New Roman"/>
          <w:color w:val="000000" w:themeColor="text1"/>
          <w:sz w:val="20"/>
          <w:szCs w:val="20"/>
        </w:rPr>
        <w:t>Busch and Macgregor (n11</w:t>
      </w:r>
      <w:r w:rsidRPr="00DC550F">
        <w:rPr>
          <w:rFonts w:ascii="Times New Roman" w:hAnsi="Times New Roman" w:cs="Times New Roman"/>
          <w:color w:val="000000" w:themeColor="text1"/>
          <w:sz w:val="20"/>
          <w:szCs w:val="20"/>
        </w:rPr>
        <w:t>) 190</w:t>
      </w:r>
    </w:p>
  </w:footnote>
  <w:footnote w:id="15">
    <w:p w14:paraId="7B5C489D"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362</w:t>
      </w:r>
    </w:p>
  </w:footnote>
  <w:footnote w:id="16">
    <w:p w14:paraId="1E5AA75F"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362</w:t>
      </w:r>
    </w:p>
  </w:footnote>
  <w:footnote w:id="17">
    <w:p w14:paraId="16D3B690"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362</w:t>
      </w:r>
    </w:p>
  </w:footnote>
  <w:footnote w:id="18">
    <w:p w14:paraId="530F7DFD"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362 </w:t>
      </w:r>
    </w:p>
  </w:footnote>
  <w:footnote w:id="19">
    <w:p w14:paraId="14613E49" w14:textId="2641BBFA"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[544] (Evans L.J)</w:t>
      </w:r>
    </w:p>
  </w:footnote>
  <w:footnote w:id="20">
    <w:p w14:paraId="719F352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362</w:t>
      </w:r>
    </w:p>
  </w:footnote>
  <w:footnote w:id="21">
    <w:p w14:paraId="03C73A0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gramStart"/>
      <w:r w:rsidRPr="00DC550F">
        <w:rPr>
          <w:rFonts w:ascii="Times New Roman" w:hAnsi="Times New Roman" w:cs="Times New Roman"/>
          <w:i/>
          <w:color w:val="000000" w:themeColor="text1"/>
          <w:sz w:val="20"/>
          <w:szCs w:val="20"/>
        </w:rPr>
        <w:t xml:space="preserve">The </w:t>
      </w:r>
      <w:proofErr w:type="spellStart"/>
      <w:r w:rsidRPr="00DC550F">
        <w:rPr>
          <w:rFonts w:ascii="Times New Roman" w:hAnsi="Times New Roman" w:cs="Times New Roman"/>
          <w:i/>
          <w:color w:val="000000" w:themeColor="text1"/>
          <w:sz w:val="20"/>
          <w:szCs w:val="20"/>
        </w:rPr>
        <w:t>Raffaella</w:t>
      </w:r>
      <w:proofErr w:type="spellEnd"/>
      <w:r w:rsidRPr="00DC550F">
        <w:rPr>
          <w:rFonts w:ascii="Times New Roman" w:hAnsi="Times New Roman" w:cs="Times New Roman"/>
          <w:i/>
          <w:color w:val="000000" w:themeColor="text1"/>
          <w:sz w:val="20"/>
          <w:szCs w:val="20"/>
        </w:rPr>
        <w:t xml:space="preserve"> </w:t>
      </w:r>
      <w:r w:rsidRPr="00DC550F">
        <w:rPr>
          <w:rFonts w:ascii="Times New Roman" w:hAnsi="Times New Roman" w:cs="Times New Roman"/>
          <w:color w:val="000000" w:themeColor="text1"/>
          <w:sz w:val="20"/>
          <w:szCs w:val="20"/>
        </w:rPr>
        <w:t>[1985] 2 Lloyds Rep 36.</w:t>
      </w:r>
      <w:proofErr w:type="gramEnd"/>
    </w:p>
  </w:footnote>
  <w:footnote w:id="22">
    <w:p w14:paraId="0D0A6AE0"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[42-43] (Lord Browne-Wilkinson)</w:t>
      </w:r>
    </w:p>
  </w:footnote>
  <w:footnote w:id="23">
    <w:p w14:paraId="63B2D3A9" w14:textId="04BF6435"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w:t>
      </w:r>
    </w:p>
  </w:footnote>
  <w:footnote w:id="24">
    <w:p w14:paraId="5E6EF4C0"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[543]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 </w:t>
      </w:r>
    </w:p>
  </w:footnote>
  <w:footnote w:id="25">
    <w:p w14:paraId="61B05B57"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[540]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26">
    <w:p w14:paraId="45AD008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24</w:t>
      </w:r>
    </w:p>
  </w:footnote>
  <w:footnote w:id="27">
    <w:p w14:paraId="18FA38C6"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(n4) 75</w:t>
      </w:r>
    </w:p>
  </w:footnote>
  <w:footnote w:id="28">
    <w:p w14:paraId="5260D5D3" w14:textId="24C0D39E"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[543]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29">
    <w:p w14:paraId="67F7EDF2" w14:textId="5C890E83"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66</w:t>
      </w:r>
    </w:p>
  </w:footnote>
  <w:footnote w:id="30">
    <w:p w14:paraId="2D70452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(n4) 92</w:t>
      </w:r>
    </w:p>
  </w:footnote>
  <w:footnote w:id="31">
    <w:p w14:paraId="471942F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argues representations of fact may have significant legal consequences (n4) 73</w:t>
      </w:r>
    </w:p>
  </w:footnote>
  <w:footnote w:id="32">
    <w:p w14:paraId="2F2A726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Woan</w:t>
      </w:r>
      <w:proofErr w:type="spellEnd"/>
      <w:r w:rsidRPr="00DC550F">
        <w:rPr>
          <w:rFonts w:ascii="Times New Roman" w:hAnsi="Times New Roman" w:cs="Times New Roman"/>
          <w:color w:val="000000" w:themeColor="text1"/>
          <w:sz w:val="20"/>
          <w:szCs w:val="20"/>
        </w:rPr>
        <w:t xml:space="preserve"> (n5) 263</w:t>
      </w:r>
    </w:p>
  </w:footnote>
  <w:footnote w:id="33">
    <w:p w14:paraId="0A743C4E"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263</w:t>
      </w:r>
    </w:p>
  </w:footnote>
  <w:footnote w:id="34">
    <w:p w14:paraId="283A301D"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23</w:t>
      </w:r>
    </w:p>
  </w:footnote>
  <w:footnote w:id="35">
    <w:p w14:paraId="5B548FB7"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i/>
          <w:color w:val="000000" w:themeColor="text1"/>
          <w:sz w:val="20"/>
          <w:szCs w:val="20"/>
        </w:rPr>
        <w:t>Armagas</w:t>
      </w:r>
      <w:proofErr w:type="spellEnd"/>
      <w:r w:rsidRPr="00DC550F">
        <w:rPr>
          <w:rFonts w:ascii="Times New Roman" w:hAnsi="Times New Roman" w:cs="Times New Roman"/>
          <w:i/>
          <w:color w:val="000000" w:themeColor="text1"/>
          <w:sz w:val="20"/>
          <w:szCs w:val="20"/>
        </w:rPr>
        <w:t xml:space="preserve"> Ltd v </w:t>
      </w:r>
      <w:proofErr w:type="spellStart"/>
      <w:r w:rsidRPr="00DC550F">
        <w:rPr>
          <w:rFonts w:ascii="Times New Roman" w:hAnsi="Times New Roman" w:cs="Times New Roman"/>
          <w:i/>
          <w:color w:val="000000" w:themeColor="text1"/>
          <w:sz w:val="20"/>
          <w:szCs w:val="20"/>
        </w:rPr>
        <w:t>Mundogas</w:t>
      </w:r>
      <w:proofErr w:type="spellEnd"/>
      <w:r w:rsidRPr="00DC550F">
        <w:rPr>
          <w:rFonts w:ascii="Times New Roman" w:hAnsi="Times New Roman" w:cs="Times New Roman"/>
          <w:i/>
          <w:color w:val="000000" w:themeColor="text1"/>
          <w:sz w:val="20"/>
          <w:szCs w:val="20"/>
        </w:rPr>
        <w:t xml:space="preserve"> SA</w:t>
      </w:r>
      <w:r w:rsidRPr="00DC550F">
        <w:rPr>
          <w:rFonts w:ascii="Times New Roman" w:hAnsi="Times New Roman" w:cs="Times New Roman"/>
          <w:color w:val="000000" w:themeColor="text1"/>
          <w:sz w:val="20"/>
          <w:szCs w:val="20"/>
        </w:rPr>
        <w:t xml:space="preserve"> [1986] AC 717</w:t>
      </w:r>
    </w:p>
  </w:footnote>
  <w:footnote w:id="36">
    <w:p w14:paraId="561A4EBF"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[731] (Goff L.J)</w:t>
      </w:r>
    </w:p>
  </w:footnote>
  <w:footnote w:id="37">
    <w:p w14:paraId="4A4BEB79" w14:textId="03A678F9"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First Energy </w:t>
      </w:r>
      <w:r w:rsidR="0004265E">
        <w:rPr>
          <w:rFonts w:ascii="Times New Roman" w:hAnsi="Times New Roman" w:cs="Times New Roman"/>
          <w:color w:val="000000" w:themeColor="text1"/>
          <w:sz w:val="20"/>
          <w:szCs w:val="20"/>
        </w:rPr>
        <w:t>(n3</w:t>
      </w:r>
      <w:r w:rsidRPr="00DC550F">
        <w:rPr>
          <w:rFonts w:ascii="Times New Roman" w:hAnsi="Times New Roman" w:cs="Times New Roman"/>
          <w:color w:val="000000" w:themeColor="text1"/>
          <w:sz w:val="20"/>
          <w:szCs w:val="20"/>
        </w:rPr>
        <w:t>) [540]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38">
    <w:p w14:paraId="5D9564FC"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365</w:t>
      </w:r>
    </w:p>
  </w:footnote>
  <w:footnote w:id="39">
    <w:p w14:paraId="47500431"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23</w:t>
      </w:r>
    </w:p>
  </w:footnote>
  <w:footnote w:id="40">
    <w:p w14:paraId="63BDB42D"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Tan, </w:t>
      </w:r>
      <w:r w:rsidRPr="00DC550F">
        <w:rPr>
          <w:rFonts w:ascii="Times New Roman" w:hAnsi="Times New Roman" w:cs="Times New Roman"/>
          <w:i/>
          <w:color w:val="000000" w:themeColor="text1"/>
          <w:sz w:val="20"/>
          <w:szCs w:val="20"/>
        </w:rPr>
        <w:t>The Law of Agency</w:t>
      </w:r>
      <w:r w:rsidRPr="00DC550F">
        <w:rPr>
          <w:rFonts w:ascii="Times New Roman" w:hAnsi="Times New Roman" w:cs="Times New Roman"/>
          <w:color w:val="000000" w:themeColor="text1"/>
          <w:sz w:val="20"/>
          <w:szCs w:val="20"/>
        </w:rPr>
        <w:t xml:space="preserve"> (Academy Publishing 2010) 05-034 as discussed by Yap (n4) </w:t>
      </w:r>
    </w:p>
  </w:footnote>
  <w:footnote w:id="41">
    <w:p w14:paraId="27182D5E" w14:textId="2FBFF3A5" w:rsidR="0035087A" w:rsidRPr="00DC550F" w:rsidRDefault="0035087A">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Kelly </w:t>
      </w:r>
      <w:r w:rsidRPr="00DC550F">
        <w:rPr>
          <w:rFonts w:ascii="Times New Roman" w:hAnsi="Times New Roman" w:cs="Times New Roman"/>
          <w:color w:val="000000" w:themeColor="text1"/>
          <w:sz w:val="20"/>
          <w:szCs w:val="20"/>
        </w:rPr>
        <w:t xml:space="preserve">v </w:t>
      </w:r>
      <w:r w:rsidRPr="00DC550F">
        <w:rPr>
          <w:rFonts w:ascii="Times New Roman" w:hAnsi="Times New Roman" w:cs="Times New Roman"/>
          <w:i/>
          <w:color w:val="000000" w:themeColor="text1"/>
          <w:sz w:val="20"/>
          <w:szCs w:val="20"/>
        </w:rPr>
        <w:t>Fraser</w:t>
      </w:r>
      <w:r w:rsidRPr="00DC550F">
        <w:rPr>
          <w:rFonts w:ascii="Times New Roman" w:hAnsi="Times New Roman" w:cs="Times New Roman"/>
          <w:color w:val="000000" w:themeColor="text1"/>
          <w:sz w:val="20"/>
          <w:szCs w:val="20"/>
        </w:rPr>
        <w:t xml:space="preserve"> [2012] 3 WLR 1008</w:t>
      </w:r>
    </w:p>
  </w:footnote>
  <w:footnote w:id="42">
    <w:p w14:paraId="7FB5FD2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23</w:t>
      </w:r>
    </w:p>
  </w:footnote>
  <w:footnote w:id="43">
    <w:p w14:paraId="03BDED6F" w14:textId="0B756B34"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Kelly </w:t>
      </w:r>
      <w:r w:rsidR="0035087A" w:rsidRPr="00DC550F">
        <w:rPr>
          <w:rFonts w:ascii="Times New Roman" w:hAnsi="Times New Roman" w:cs="Times New Roman"/>
          <w:color w:val="000000" w:themeColor="text1"/>
          <w:sz w:val="20"/>
          <w:szCs w:val="20"/>
        </w:rPr>
        <w:t xml:space="preserve">(n41) </w:t>
      </w:r>
      <w:r w:rsidRPr="00DC550F">
        <w:rPr>
          <w:rFonts w:ascii="Times New Roman" w:hAnsi="Times New Roman" w:cs="Times New Roman"/>
          <w:color w:val="000000" w:themeColor="text1"/>
          <w:sz w:val="20"/>
          <w:szCs w:val="20"/>
        </w:rPr>
        <w:t xml:space="preserve">[15] (Lord </w:t>
      </w:r>
      <w:proofErr w:type="spellStart"/>
      <w:r w:rsidRPr="00DC550F">
        <w:rPr>
          <w:rFonts w:ascii="Times New Roman" w:hAnsi="Times New Roman" w:cs="Times New Roman"/>
          <w:color w:val="000000" w:themeColor="text1"/>
          <w:sz w:val="20"/>
          <w:szCs w:val="20"/>
        </w:rPr>
        <w:t>Sumption</w:t>
      </w:r>
      <w:proofErr w:type="spellEnd"/>
      <w:r w:rsidRPr="00DC550F">
        <w:rPr>
          <w:rFonts w:ascii="Times New Roman" w:hAnsi="Times New Roman" w:cs="Times New Roman"/>
          <w:color w:val="000000" w:themeColor="text1"/>
          <w:sz w:val="20"/>
          <w:szCs w:val="20"/>
        </w:rPr>
        <w:t>)</w:t>
      </w:r>
    </w:p>
  </w:footnote>
  <w:footnote w:id="44">
    <w:p w14:paraId="284A5F37"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365</w:t>
      </w:r>
    </w:p>
  </w:footnote>
  <w:footnote w:id="45">
    <w:p w14:paraId="48339B0B" w14:textId="6968789D"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i/>
          <w:color w:val="000000" w:themeColor="text1"/>
          <w:sz w:val="20"/>
          <w:szCs w:val="20"/>
        </w:rPr>
        <w:t>Armagas</w:t>
      </w:r>
      <w:proofErr w:type="spellEnd"/>
      <w:r w:rsidR="00F61BB4">
        <w:rPr>
          <w:rFonts w:ascii="Times New Roman" w:hAnsi="Times New Roman" w:cs="Times New Roman"/>
          <w:color w:val="000000" w:themeColor="text1"/>
          <w:sz w:val="20"/>
          <w:szCs w:val="20"/>
        </w:rPr>
        <w:t xml:space="preserve"> (n35</w:t>
      </w:r>
      <w:r w:rsidRPr="00DC550F">
        <w:rPr>
          <w:rFonts w:ascii="Times New Roman" w:hAnsi="Times New Roman" w:cs="Times New Roman"/>
          <w:color w:val="000000" w:themeColor="text1"/>
          <w:sz w:val="20"/>
          <w:szCs w:val="20"/>
        </w:rPr>
        <w:t>) [731] (Goff L.J)</w:t>
      </w:r>
    </w:p>
  </w:footnote>
  <w:footnote w:id="46">
    <w:p w14:paraId="7ECFDB92" w14:textId="321A740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xml:space="preserve">) [546] (Evans L.J) </w:t>
      </w:r>
    </w:p>
  </w:footnote>
  <w:footnote w:id="47">
    <w:p w14:paraId="0727636F"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[547] (Evans L.J)</w:t>
      </w:r>
    </w:p>
  </w:footnote>
  <w:footnote w:id="48">
    <w:p w14:paraId="0D1E4250" w14:textId="14C7107A"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49">
    <w:p w14:paraId="5CE2B840" w14:textId="459C24DA"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50">
    <w:p w14:paraId="00C34A2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362</w:t>
      </w:r>
    </w:p>
  </w:footnote>
  <w:footnote w:id="51">
    <w:p w14:paraId="5F000737"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24</w:t>
      </w:r>
    </w:p>
  </w:footnote>
  <w:footnote w:id="52">
    <w:p w14:paraId="1F21B568" w14:textId="04D29358"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53">
    <w:p w14:paraId="6B390F5A" w14:textId="67CF5921"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[544]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54">
    <w:p w14:paraId="070ECEDC"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[544]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55">
    <w:p w14:paraId="5E22756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Mance</w:t>
      </w:r>
      <w:proofErr w:type="spellEnd"/>
      <w:r w:rsidRPr="00DC550F">
        <w:rPr>
          <w:rFonts w:ascii="Times New Roman" w:hAnsi="Times New Roman" w:cs="Times New Roman"/>
          <w:color w:val="000000" w:themeColor="text1"/>
          <w:sz w:val="20"/>
          <w:szCs w:val="20"/>
        </w:rPr>
        <w:t xml:space="preserve"> L.J in </w:t>
      </w:r>
      <w:r w:rsidRPr="00DC550F">
        <w:rPr>
          <w:rFonts w:ascii="Times New Roman" w:hAnsi="Times New Roman" w:cs="Times New Roman"/>
          <w:i/>
          <w:color w:val="000000" w:themeColor="text1"/>
          <w:sz w:val="20"/>
          <w:szCs w:val="20"/>
        </w:rPr>
        <w:t xml:space="preserve">Primus Telecommunications </w:t>
      </w:r>
      <w:proofErr w:type="spellStart"/>
      <w:r w:rsidRPr="00DC550F">
        <w:rPr>
          <w:rFonts w:ascii="Times New Roman" w:hAnsi="Times New Roman" w:cs="Times New Roman"/>
          <w:i/>
          <w:color w:val="000000" w:themeColor="text1"/>
          <w:sz w:val="20"/>
          <w:szCs w:val="20"/>
        </w:rPr>
        <w:t>Inc</w:t>
      </w:r>
      <w:proofErr w:type="spellEnd"/>
      <w:r w:rsidRPr="00DC550F">
        <w:rPr>
          <w:rFonts w:ascii="Times New Roman" w:hAnsi="Times New Roman" w:cs="Times New Roman"/>
          <w:i/>
          <w:color w:val="000000" w:themeColor="text1"/>
          <w:sz w:val="20"/>
          <w:szCs w:val="20"/>
        </w:rPr>
        <w:t xml:space="preserve"> </w:t>
      </w:r>
      <w:r w:rsidRPr="00DC550F">
        <w:rPr>
          <w:rFonts w:ascii="Times New Roman" w:hAnsi="Times New Roman" w:cs="Times New Roman"/>
          <w:color w:val="000000" w:themeColor="text1"/>
          <w:sz w:val="20"/>
          <w:szCs w:val="20"/>
        </w:rPr>
        <w:t xml:space="preserve">v </w:t>
      </w:r>
      <w:r w:rsidRPr="00DC550F">
        <w:rPr>
          <w:rFonts w:ascii="Times New Roman" w:hAnsi="Times New Roman" w:cs="Times New Roman"/>
          <w:i/>
          <w:color w:val="000000" w:themeColor="text1"/>
          <w:sz w:val="20"/>
          <w:szCs w:val="20"/>
        </w:rPr>
        <w:t xml:space="preserve">MCI WorldCom international </w:t>
      </w:r>
      <w:proofErr w:type="spellStart"/>
      <w:r w:rsidRPr="00DC550F">
        <w:rPr>
          <w:rFonts w:ascii="Times New Roman" w:hAnsi="Times New Roman" w:cs="Times New Roman"/>
          <w:i/>
          <w:color w:val="000000" w:themeColor="text1"/>
          <w:sz w:val="20"/>
          <w:szCs w:val="20"/>
        </w:rPr>
        <w:t>Inc</w:t>
      </w:r>
      <w:proofErr w:type="spellEnd"/>
      <w:r w:rsidRPr="00DC550F">
        <w:rPr>
          <w:rFonts w:ascii="Times New Roman" w:hAnsi="Times New Roman" w:cs="Times New Roman"/>
          <w:color w:val="000000" w:themeColor="text1"/>
          <w:sz w:val="20"/>
          <w:szCs w:val="20"/>
        </w:rPr>
        <w:t xml:space="preserve"> [2004] 2 All ER (</w:t>
      </w:r>
      <w:proofErr w:type="spellStart"/>
      <w:r w:rsidRPr="00DC550F">
        <w:rPr>
          <w:rFonts w:ascii="Times New Roman" w:hAnsi="Times New Roman" w:cs="Times New Roman"/>
          <w:color w:val="000000" w:themeColor="text1"/>
          <w:sz w:val="20"/>
          <w:szCs w:val="20"/>
        </w:rPr>
        <w:t>Comm</w:t>
      </w:r>
      <w:proofErr w:type="spellEnd"/>
      <w:r w:rsidRPr="00DC550F">
        <w:rPr>
          <w:rFonts w:ascii="Times New Roman" w:hAnsi="Times New Roman" w:cs="Times New Roman"/>
          <w:color w:val="000000" w:themeColor="text1"/>
          <w:sz w:val="20"/>
          <w:szCs w:val="20"/>
        </w:rPr>
        <w:t>) 833[25] accepted this proposition that the law recognises that an agent may be clothed with apparent authority to make representations of fact.</w:t>
      </w:r>
    </w:p>
  </w:footnote>
  <w:footnote w:id="56">
    <w:p w14:paraId="6AFF0C6B" w14:textId="13190D40"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[544] (Evans L.J)</w:t>
      </w:r>
    </w:p>
  </w:footnote>
  <w:footnote w:id="57">
    <w:p w14:paraId="558C457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[543] (Evans L.J)</w:t>
      </w:r>
    </w:p>
  </w:footnote>
  <w:footnote w:id="58">
    <w:p w14:paraId="0151523B" w14:textId="38A9425D"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59">
    <w:p w14:paraId="27CC41CE" w14:textId="4B82612E"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F61BB4">
        <w:rPr>
          <w:rFonts w:ascii="Times New Roman" w:hAnsi="Times New Roman" w:cs="Times New Roman"/>
          <w:color w:val="000000" w:themeColor="text1"/>
          <w:sz w:val="20"/>
          <w:szCs w:val="20"/>
        </w:rPr>
        <w:t xml:space="preserve"> Tan (n40</w:t>
      </w:r>
      <w:r w:rsidRPr="00DC550F">
        <w:rPr>
          <w:rFonts w:ascii="Times New Roman" w:hAnsi="Times New Roman" w:cs="Times New Roman"/>
          <w:color w:val="000000" w:themeColor="text1"/>
          <w:sz w:val="20"/>
          <w:szCs w:val="20"/>
        </w:rPr>
        <w:t>) 05-048 as discussed by Yap (n4)</w:t>
      </w:r>
    </w:p>
  </w:footnote>
  <w:footnote w:id="60">
    <w:p w14:paraId="6205414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w:t>
      </w:r>
    </w:p>
  </w:footnote>
  <w:footnote w:id="61">
    <w:p w14:paraId="7EA6CE32" w14:textId="72595E8A"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[544] (Evans L.J)</w:t>
      </w:r>
    </w:p>
  </w:footnote>
  <w:footnote w:id="62">
    <w:p w14:paraId="6041448E"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Ian Brown ‘The significance of General and Special Authority in the Development of the Agent’s External Authority in English Law’ (2004) Journal of Business Law 391, 421</w:t>
      </w:r>
    </w:p>
  </w:footnote>
  <w:footnote w:id="63">
    <w:p w14:paraId="42EFE71C" w14:textId="5A561D70"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04265E">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[548] (</w:t>
      </w:r>
      <w:proofErr w:type="spellStart"/>
      <w:r w:rsidRPr="00DC550F">
        <w:rPr>
          <w:rFonts w:ascii="Times New Roman" w:hAnsi="Times New Roman" w:cs="Times New Roman"/>
          <w:color w:val="000000" w:themeColor="text1"/>
          <w:sz w:val="20"/>
          <w:szCs w:val="20"/>
        </w:rPr>
        <w:t>Nourse</w:t>
      </w:r>
      <w:proofErr w:type="spellEnd"/>
      <w:r w:rsidRPr="00DC550F">
        <w:rPr>
          <w:rFonts w:ascii="Times New Roman" w:hAnsi="Times New Roman" w:cs="Times New Roman"/>
          <w:color w:val="000000" w:themeColor="text1"/>
          <w:sz w:val="20"/>
          <w:szCs w:val="20"/>
        </w:rPr>
        <w:t xml:space="preserve"> L.J) </w:t>
      </w:r>
    </w:p>
  </w:footnote>
  <w:footnote w:id="64">
    <w:p w14:paraId="0881E9C1"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[547] (Evans L.J)</w:t>
      </w:r>
    </w:p>
  </w:footnote>
  <w:footnote w:id="65">
    <w:p w14:paraId="7AF136A6"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Ibid [544]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66">
    <w:p w14:paraId="12CA7E96" w14:textId="249D2FAE"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67">
    <w:p w14:paraId="7D66F2C4"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362</w:t>
      </w:r>
    </w:p>
  </w:footnote>
  <w:footnote w:id="68">
    <w:p w14:paraId="717C44D5" w14:textId="19E596C3"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92</w:t>
      </w:r>
    </w:p>
  </w:footnote>
  <w:footnote w:id="69">
    <w:p w14:paraId="4769947E"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 xml:space="preserve">British Bank of the Middle East v Sun life Assurance </w:t>
      </w:r>
      <w:r w:rsidRPr="00DC550F">
        <w:rPr>
          <w:rFonts w:ascii="Times New Roman" w:hAnsi="Times New Roman" w:cs="Times New Roman"/>
          <w:color w:val="000000" w:themeColor="text1"/>
          <w:sz w:val="20"/>
          <w:szCs w:val="20"/>
        </w:rPr>
        <w:t>Co of Canada (UK) Ltd [1983] 2 Lloyds Rep 9</w:t>
      </w:r>
    </w:p>
  </w:footnote>
  <w:footnote w:id="70">
    <w:p w14:paraId="38727C04" w14:textId="72C0E70F"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92</w:t>
      </w:r>
    </w:p>
  </w:footnote>
  <w:footnote w:id="71">
    <w:p w14:paraId="1B0C81E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24</w:t>
      </w:r>
    </w:p>
  </w:footnote>
  <w:footnote w:id="72">
    <w:p w14:paraId="49E0CD64" w14:textId="6FAF9746"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173778">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[533]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73">
    <w:p w14:paraId="503457EF" w14:textId="0E21706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92</w:t>
      </w:r>
    </w:p>
  </w:footnote>
  <w:footnote w:id="74">
    <w:p w14:paraId="031E472A" w14:textId="7BE29026"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For example, </w:t>
      </w:r>
      <w:proofErr w:type="spellStart"/>
      <w:r w:rsidRPr="00DC550F">
        <w:rPr>
          <w:rFonts w:ascii="Times New Roman" w:hAnsi="Times New Roman" w:cs="Times New Roman"/>
          <w:color w:val="000000" w:themeColor="text1"/>
          <w:sz w:val="20"/>
          <w:szCs w:val="20"/>
        </w:rPr>
        <w:t>Toulson</w:t>
      </w:r>
      <w:proofErr w:type="spellEnd"/>
      <w:r w:rsidRPr="00DC550F">
        <w:rPr>
          <w:rFonts w:ascii="Times New Roman" w:hAnsi="Times New Roman" w:cs="Times New Roman"/>
          <w:color w:val="000000" w:themeColor="text1"/>
          <w:sz w:val="20"/>
          <w:szCs w:val="20"/>
        </w:rPr>
        <w:t xml:space="preserve"> J </w:t>
      </w:r>
      <w:r w:rsidRPr="00DC550F">
        <w:rPr>
          <w:rFonts w:ascii="Times New Roman" w:hAnsi="Times New Roman" w:cs="Times New Roman"/>
          <w:i/>
          <w:color w:val="000000" w:themeColor="text1"/>
          <w:sz w:val="20"/>
          <w:szCs w:val="20"/>
        </w:rPr>
        <w:t xml:space="preserve">in ING Re (UK Ltd) </w:t>
      </w:r>
      <w:r w:rsidRPr="00DC550F">
        <w:rPr>
          <w:rFonts w:ascii="Times New Roman" w:hAnsi="Times New Roman" w:cs="Times New Roman"/>
          <w:color w:val="000000" w:themeColor="text1"/>
          <w:sz w:val="20"/>
          <w:szCs w:val="20"/>
        </w:rPr>
        <w:t xml:space="preserve">v </w:t>
      </w:r>
      <w:r w:rsidRPr="00DC550F">
        <w:rPr>
          <w:rFonts w:ascii="Times New Roman" w:hAnsi="Times New Roman" w:cs="Times New Roman"/>
          <w:i/>
          <w:color w:val="000000" w:themeColor="text1"/>
          <w:sz w:val="20"/>
          <w:szCs w:val="20"/>
        </w:rPr>
        <w:t xml:space="preserve">R&amp; V </w:t>
      </w:r>
      <w:proofErr w:type="spellStart"/>
      <w:r w:rsidRPr="00DC550F">
        <w:rPr>
          <w:rFonts w:ascii="Times New Roman" w:hAnsi="Times New Roman" w:cs="Times New Roman"/>
          <w:i/>
          <w:color w:val="000000" w:themeColor="text1"/>
          <w:sz w:val="20"/>
          <w:szCs w:val="20"/>
        </w:rPr>
        <w:t>Versicherung</w:t>
      </w:r>
      <w:proofErr w:type="spellEnd"/>
      <w:r w:rsidRPr="00DC550F">
        <w:rPr>
          <w:rFonts w:ascii="Times New Roman" w:hAnsi="Times New Roman" w:cs="Times New Roman"/>
          <w:i/>
          <w:color w:val="000000" w:themeColor="text1"/>
          <w:sz w:val="20"/>
          <w:szCs w:val="20"/>
        </w:rPr>
        <w:t xml:space="preserve"> AG</w:t>
      </w:r>
      <w:r w:rsidRPr="00DC550F">
        <w:rPr>
          <w:rFonts w:ascii="Times New Roman" w:hAnsi="Times New Roman" w:cs="Times New Roman"/>
          <w:color w:val="000000" w:themeColor="text1"/>
          <w:sz w:val="20"/>
          <w:szCs w:val="20"/>
        </w:rPr>
        <w:t xml:space="preserve"> [2006] 2 All ER (</w:t>
      </w:r>
      <w:proofErr w:type="spellStart"/>
      <w:r w:rsidRPr="00DC550F">
        <w:rPr>
          <w:rFonts w:ascii="Times New Roman" w:hAnsi="Times New Roman" w:cs="Times New Roman"/>
          <w:color w:val="000000" w:themeColor="text1"/>
          <w:sz w:val="20"/>
          <w:szCs w:val="20"/>
        </w:rPr>
        <w:t>Comm</w:t>
      </w:r>
      <w:proofErr w:type="spellEnd"/>
      <w:r w:rsidRPr="00DC550F">
        <w:rPr>
          <w:rFonts w:ascii="Times New Roman" w:hAnsi="Times New Roman" w:cs="Times New Roman"/>
          <w:color w:val="000000" w:themeColor="text1"/>
          <w:sz w:val="20"/>
          <w:szCs w:val="20"/>
        </w:rPr>
        <w:t>) was concerned at the risks to which those dealing with agents are exposed whenever an agent lacks the authority he claims to poss</w:t>
      </w:r>
      <w:r w:rsidR="00DC550F">
        <w:rPr>
          <w:rFonts w:ascii="Times New Roman" w:hAnsi="Times New Roman" w:cs="Times New Roman"/>
          <w:color w:val="000000" w:themeColor="text1"/>
          <w:sz w:val="20"/>
          <w:szCs w:val="20"/>
        </w:rPr>
        <w:t xml:space="preserve">ess, as explained in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93</w:t>
      </w:r>
    </w:p>
  </w:footnote>
  <w:footnote w:id="75">
    <w:p w14:paraId="3B9CD9D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24</w:t>
      </w:r>
    </w:p>
  </w:footnote>
  <w:footnote w:id="76">
    <w:p w14:paraId="0B5E072B" w14:textId="026A9A10"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Kelly (n</w:t>
      </w:r>
      <w:r w:rsidR="0035087A" w:rsidRPr="00DC550F">
        <w:rPr>
          <w:rFonts w:ascii="Times New Roman" w:hAnsi="Times New Roman" w:cs="Times New Roman"/>
          <w:color w:val="000000" w:themeColor="text1"/>
          <w:sz w:val="20"/>
          <w:szCs w:val="20"/>
        </w:rPr>
        <w:t>41</w:t>
      </w:r>
      <w:r w:rsidRPr="00DC550F">
        <w:rPr>
          <w:rFonts w:ascii="Times New Roman" w:hAnsi="Times New Roman" w:cs="Times New Roman"/>
          <w:color w:val="000000" w:themeColor="text1"/>
          <w:sz w:val="20"/>
          <w:szCs w:val="20"/>
        </w:rPr>
        <w:t>)</w:t>
      </w:r>
    </w:p>
  </w:footnote>
  <w:footnote w:id="77">
    <w:p w14:paraId="3145C2F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(n4) 75</w:t>
      </w:r>
    </w:p>
  </w:footnote>
  <w:footnote w:id="78">
    <w:p w14:paraId="5C55E02A" w14:textId="671EE403"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r w:rsidRPr="00DC550F">
        <w:rPr>
          <w:rFonts w:ascii="Times New Roman" w:hAnsi="Times New Roman" w:cs="Times New Roman"/>
          <w:i/>
          <w:color w:val="000000" w:themeColor="text1"/>
          <w:sz w:val="20"/>
          <w:szCs w:val="20"/>
        </w:rPr>
        <w:t>First Energy</w:t>
      </w:r>
      <w:r w:rsidR="00173778">
        <w:rPr>
          <w:rFonts w:ascii="Times New Roman" w:hAnsi="Times New Roman" w:cs="Times New Roman"/>
          <w:color w:val="000000" w:themeColor="text1"/>
          <w:sz w:val="20"/>
          <w:szCs w:val="20"/>
        </w:rPr>
        <w:t xml:space="preserve"> (n3</w:t>
      </w:r>
      <w:r w:rsidRPr="00DC550F">
        <w:rPr>
          <w:rFonts w:ascii="Times New Roman" w:hAnsi="Times New Roman" w:cs="Times New Roman"/>
          <w:color w:val="000000" w:themeColor="text1"/>
          <w:sz w:val="20"/>
          <w:szCs w:val="20"/>
        </w:rPr>
        <w:t>) [540] (</w:t>
      </w:r>
      <w:proofErr w:type="spellStart"/>
      <w:r w:rsidRPr="00DC550F">
        <w:rPr>
          <w:rFonts w:ascii="Times New Roman" w:hAnsi="Times New Roman" w:cs="Times New Roman"/>
          <w:color w:val="000000" w:themeColor="text1"/>
          <w:sz w:val="20"/>
          <w:szCs w:val="20"/>
        </w:rPr>
        <w:t>Steyn</w:t>
      </w:r>
      <w:proofErr w:type="spellEnd"/>
      <w:r w:rsidRPr="00DC550F">
        <w:rPr>
          <w:rFonts w:ascii="Times New Roman" w:hAnsi="Times New Roman" w:cs="Times New Roman"/>
          <w:color w:val="000000" w:themeColor="text1"/>
          <w:sz w:val="20"/>
          <w:szCs w:val="20"/>
        </w:rPr>
        <w:t xml:space="preserve"> L.J)</w:t>
      </w:r>
    </w:p>
  </w:footnote>
  <w:footnote w:id="79">
    <w:p w14:paraId="658581F3"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Francis Reynolds ‘Apparent Authority’ (2009) 17(6) European Review of Private Law 975, 978</w:t>
      </w:r>
    </w:p>
  </w:footnote>
  <w:footnote w:id="80">
    <w:p w14:paraId="4DD7272F"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Woan</w:t>
      </w:r>
      <w:proofErr w:type="spellEnd"/>
      <w:r w:rsidRPr="00DC550F">
        <w:rPr>
          <w:rFonts w:ascii="Times New Roman" w:hAnsi="Times New Roman" w:cs="Times New Roman"/>
          <w:color w:val="000000" w:themeColor="text1"/>
          <w:sz w:val="20"/>
          <w:szCs w:val="20"/>
        </w:rPr>
        <w:t xml:space="preserve"> (n5) 263</w:t>
      </w:r>
    </w:p>
  </w:footnote>
  <w:footnote w:id="81">
    <w:p w14:paraId="5207231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Reynolds (n1) 24</w:t>
      </w:r>
    </w:p>
  </w:footnote>
  <w:footnote w:id="82">
    <w:p w14:paraId="76DA3492" w14:textId="3145CF2A"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87</w:t>
      </w:r>
    </w:p>
  </w:footnote>
  <w:footnote w:id="83">
    <w:p w14:paraId="2C1FB19D" w14:textId="6FE6CE20"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Reynolds (n1) 25 &amp;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 w:id="84">
    <w:p w14:paraId="56ED8F27"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Eric </w:t>
      </w:r>
      <w:proofErr w:type="spellStart"/>
      <w:r w:rsidRPr="00DC550F">
        <w:rPr>
          <w:rFonts w:ascii="Times New Roman" w:hAnsi="Times New Roman" w:cs="Times New Roman"/>
          <w:color w:val="000000" w:themeColor="text1"/>
          <w:sz w:val="20"/>
          <w:szCs w:val="20"/>
        </w:rPr>
        <w:t>Baskind</w:t>
      </w:r>
      <w:proofErr w:type="spellEnd"/>
      <w:r w:rsidRPr="00DC550F">
        <w:rPr>
          <w:rFonts w:ascii="Times New Roman" w:hAnsi="Times New Roman" w:cs="Times New Roman"/>
          <w:color w:val="000000" w:themeColor="text1"/>
          <w:sz w:val="20"/>
          <w:szCs w:val="20"/>
        </w:rPr>
        <w:t xml:space="preserve"> et al, </w:t>
      </w:r>
      <w:r w:rsidRPr="00DC550F">
        <w:rPr>
          <w:rFonts w:ascii="Times New Roman" w:hAnsi="Times New Roman" w:cs="Times New Roman"/>
          <w:i/>
          <w:color w:val="000000" w:themeColor="text1"/>
          <w:sz w:val="20"/>
          <w:szCs w:val="20"/>
        </w:rPr>
        <w:t>Commercial Law</w:t>
      </w:r>
      <w:r w:rsidRPr="00DC550F">
        <w:rPr>
          <w:rFonts w:ascii="Times New Roman" w:hAnsi="Times New Roman" w:cs="Times New Roman"/>
          <w:color w:val="000000" w:themeColor="text1"/>
          <w:sz w:val="20"/>
          <w:szCs w:val="20"/>
        </w:rPr>
        <w:t>, (Second edition, Oxford University Press 2016)</w:t>
      </w:r>
    </w:p>
  </w:footnote>
  <w:footnote w:id="85">
    <w:p w14:paraId="7299B111"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(n4) 72</w:t>
      </w:r>
    </w:p>
  </w:footnote>
  <w:footnote w:id="86">
    <w:p w14:paraId="0D2ADA95"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Yap (n4) 72</w:t>
      </w:r>
    </w:p>
  </w:footnote>
  <w:footnote w:id="87">
    <w:p w14:paraId="40102DEB"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w:t>
      </w:r>
      <w:proofErr w:type="spellStart"/>
      <w:r w:rsidRPr="00DC550F">
        <w:rPr>
          <w:rFonts w:ascii="Times New Roman" w:hAnsi="Times New Roman" w:cs="Times New Roman"/>
          <w:color w:val="000000" w:themeColor="text1"/>
          <w:sz w:val="20"/>
          <w:szCs w:val="20"/>
        </w:rPr>
        <w:t>Woan</w:t>
      </w:r>
      <w:proofErr w:type="spellEnd"/>
      <w:r w:rsidRPr="00DC550F">
        <w:rPr>
          <w:rFonts w:ascii="Times New Roman" w:hAnsi="Times New Roman" w:cs="Times New Roman"/>
          <w:color w:val="000000" w:themeColor="text1"/>
          <w:sz w:val="20"/>
          <w:szCs w:val="20"/>
        </w:rPr>
        <w:t xml:space="preserve"> (n5) 263</w:t>
      </w:r>
    </w:p>
  </w:footnote>
  <w:footnote w:id="88">
    <w:p w14:paraId="47BE5528" w14:textId="77777777"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Pr="00DC550F">
        <w:rPr>
          <w:rFonts w:ascii="Times New Roman" w:hAnsi="Times New Roman" w:cs="Times New Roman"/>
          <w:color w:val="000000" w:themeColor="text1"/>
          <w:sz w:val="20"/>
          <w:szCs w:val="20"/>
        </w:rPr>
        <w:t xml:space="preserve"> Brown (n2) 362</w:t>
      </w:r>
    </w:p>
  </w:footnote>
  <w:footnote w:id="89">
    <w:p w14:paraId="6BD5AFA1" w14:textId="0943F17E" w:rsidR="001E68A9" w:rsidRPr="00DC550F" w:rsidRDefault="001E68A9" w:rsidP="001E68A9">
      <w:pPr>
        <w:pStyle w:val="FootnoteText"/>
        <w:rPr>
          <w:rFonts w:ascii="Times New Roman" w:hAnsi="Times New Roman" w:cs="Times New Roman"/>
          <w:color w:val="000000" w:themeColor="text1"/>
          <w:sz w:val="20"/>
          <w:szCs w:val="20"/>
        </w:rPr>
      </w:pPr>
      <w:r w:rsidRPr="00DC550F">
        <w:rPr>
          <w:rStyle w:val="FootnoteReference"/>
          <w:rFonts w:ascii="Times New Roman" w:hAnsi="Times New Roman" w:cs="Times New Roman"/>
          <w:color w:val="000000" w:themeColor="text1"/>
          <w:sz w:val="20"/>
          <w:szCs w:val="20"/>
        </w:rPr>
        <w:footnoteRef/>
      </w:r>
      <w:r w:rsidR="00DC550F">
        <w:rPr>
          <w:rFonts w:ascii="Times New Roman" w:hAnsi="Times New Roman" w:cs="Times New Roman"/>
          <w:color w:val="000000" w:themeColor="text1"/>
          <w:sz w:val="20"/>
          <w:szCs w:val="20"/>
        </w:rPr>
        <w:t xml:space="preserve"> </w:t>
      </w:r>
      <w:proofErr w:type="spellStart"/>
      <w:r w:rsidR="00DC550F">
        <w:rPr>
          <w:rFonts w:ascii="Times New Roman" w:hAnsi="Times New Roman" w:cs="Times New Roman"/>
          <w:color w:val="000000" w:themeColor="text1"/>
          <w:sz w:val="20"/>
          <w:szCs w:val="20"/>
        </w:rPr>
        <w:t>Munday</w:t>
      </w:r>
      <w:proofErr w:type="spellEnd"/>
      <w:r w:rsidR="00DC550F">
        <w:rPr>
          <w:rFonts w:ascii="Times New Roman" w:hAnsi="Times New Roman" w:cs="Times New Roman"/>
          <w:color w:val="000000" w:themeColor="text1"/>
          <w:sz w:val="20"/>
          <w:szCs w:val="20"/>
        </w:rPr>
        <w:t xml:space="preserve"> (n9</w:t>
      </w:r>
      <w:r w:rsidRPr="00DC550F">
        <w:rPr>
          <w:rFonts w:ascii="Times New Roman" w:hAnsi="Times New Roman" w:cs="Times New Roman"/>
          <w:color w:val="000000" w:themeColor="text1"/>
          <w:sz w:val="20"/>
          <w:szCs w:val="20"/>
        </w:rPr>
        <w:t>) 91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91563"/>
    <w:multiLevelType w:val="hybridMultilevel"/>
    <w:tmpl w:val="2DB0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1C39B8"/>
    <w:multiLevelType w:val="hybridMultilevel"/>
    <w:tmpl w:val="21D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8A9"/>
    <w:rsid w:val="00031357"/>
    <w:rsid w:val="00031FE4"/>
    <w:rsid w:val="000367B1"/>
    <w:rsid w:val="0004265E"/>
    <w:rsid w:val="000E6CF4"/>
    <w:rsid w:val="00144E79"/>
    <w:rsid w:val="001543B5"/>
    <w:rsid w:val="001679E2"/>
    <w:rsid w:val="00173778"/>
    <w:rsid w:val="00192D68"/>
    <w:rsid w:val="001E68A9"/>
    <w:rsid w:val="00253EF3"/>
    <w:rsid w:val="002B033D"/>
    <w:rsid w:val="002D7E45"/>
    <w:rsid w:val="002E31A0"/>
    <w:rsid w:val="003363DA"/>
    <w:rsid w:val="003440A1"/>
    <w:rsid w:val="0035087A"/>
    <w:rsid w:val="003A4D12"/>
    <w:rsid w:val="0042058E"/>
    <w:rsid w:val="00425D25"/>
    <w:rsid w:val="0044329C"/>
    <w:rsid w:val="00472BBD"/>
    <w:rsid w:val="004E1FAB"/>
    <w:rsid w:val="004E5748"/>
    <w:rsid w:val="005759BA"/>
    <w:rsid w:val="00576EF5"/>
    <w:rsid w:val="00585A7C"/>
    <w:rsid w:val="005A3CAD"/>
    <w:rsid w:val="006116F3"/>
    <w:rsid w:val="00622779"/>
    <w:rsid w:val="00681752"/>
    <w:rsid w:val="006B3265"/>
    <w:rsid w:val="006D0E70"/>
    <w:rsid w:val="006D3531"/>
    <w:rsid w:val="006D392D"/>
    <w:rsid w:val="0070580C"/>
    <w:rsid w:val="0071012B"/>
    <w:rsid w:val="00726D5A"/>
    <w:rsid w:val="007722EF"/>
    <w:rsid w:val="007F20C6"/>
    <w:rsid w:val="008A489E"/>
    <w:rsid w:val="0091589A"/>
    <w:rsid w:val="00984131"/>
    <w:rsid w:val="00985647"/>
    <w:rsid w:val="009D4B5A"/>
    <w:rsid w:val="00A90F6B"/>
    <w:rsid w:val="00B918B4"/>
    <w:rsid w:val="00BA758B"/>
    <w:rsid w:val="00BC6E65"/>
    <w:rsid w:val="00C35A40"/>
    <w:rsid w:val="00C77D3A"/>
    <w:rsid w:val="00C82FDF"/>
    <w:rsid w:val="00CA00FF"/>
    <w:rsid w:val="00CA6FC4"/>
    <w:rsid w:val="00D16C07"/>
    <w:rsid w:val="00D51559"/>
    <w:rsid w:val="00D57B28"/>
    <w:rsid w:val="00DA20C8"/>
    <w:rsid w:val="00DC5439"/>
    <w:rsid w:val="00DC550F"/>
    <w:rsid w:val="00E62775"/>
    <w:rsid w:val="00E64D03"/>
    <w:rsid w:val="00E95D2D"/>
    <w:rsid w:val="00EC73A4"/>
    <w:rsid w:val="00F00D3F"/>
    <w:rsid w:val="00F05BDE"/>
    <w:rsid w:val="00F16406"/>
    <w:rsid w:val="00F61BB4"/>
    <w:rsid w:val="00F631C4"/>
    <w:rsid w:val="00F878EA"/>
    <w:rsid w:val="00FA0852"/>
    <w:rsid w:val="00FB6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2E29D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E68A9"/>
  </w:style>
  <w:style w:type="character" w:customStyle="1" w:styleId="FootnoteTextChar">
    <w:name w:val="Footnote Text Char"/>
    <w:basedOn w:val="DefaultParagraphFont"/>
    <w:link w:val="FootnoteText"/>
    <w:uiPriority w:val="99"/>
    <w:rsid w:val="001E68A9"/>
  </w:style>
  <w:style w:type="character" w:styleId="FootnoteReference">
    <w:name w:val="footnote reference"/>
    <w:basedOn w:val="DefaultParagraphFont"/>
    <w:uiPriority w:val="99"/>
    <w:unhideWhenUsed/>
    <w:rsid w:val="001E68A9"/>
    <w:rPr>
      <w:vertAlign w:val="superscript"/>
    </w:rPr>
  </w:style>
  <w:style w:type="paragraph" w:styleId="ListParagraph">
    <w:name w:val="List Paragraph"/>
    <w:basedOn w:val="Normal"/>
    <w:uiPriority w:val="34"/>
    <w:qFormat/>
    <w:rsid w:val="001E68A9"/>
    <w:pPr>
      <w:ind w:left="720"/>
      <w:contextualSpacing/>
    </w:pPr>
  </w:style>
  <w:style w:type="character" w:styleId="CommentReference">
    <w:name w:val="annotation reference"/>
    <w:basedOn w:val="DefaultParagraphFont"/>
    <w:uiPriority w:val="99"/>
    <w:semiHidden/>
    <w:unhideWhenUsed/>
    <w:rsid w:val="002D7E45"/>
    <w:rPr>
      <w:sz w:val="18"/>
      <w:szCs w:val="18"/>
    </w:rPr>
  </w:style>
  <w:style w:type="paragraph" w:styleId="CommentText">
    <w:name w:val="annotation text"/>
    <w:basedOn w:val="Normal"/>
    <w:link w:val="CommentTextChar"/>
    <w:uiPriority w:val="99"/>
    <w:semiHidden/>
    <w:unhideWhenUsed/>
    <w:rsid w:val="002D7E45"/>
  </w:style>
  <w:style w:type="character" w:customStyle="1" w:styleId="CommentTextChar">
    <w:name w:val="Comment Text Char"/>
    <w:basedOn w:val="DefaultParagraphFont"/>
    <w:link w:val="CommentText"/>
    <w:uiPriority w:val="99"/>
    <w:semiHidden/>
    <w:rsid w:val="002D7E45"/>
  </w:style>
  <w:style w:type="paragraph" w:styleId="CommentSubject">
    <w:name w:val="annotation subject"/>
    <w:basedOn w:val="CommentText"/>
    <w:next w:val="CommentText"/>
    <w:link w:val="CommentSubjectChar"/>
    <w:uiPriority w:val="99"/>
    <w:semiHidden/>
    <w:unhideWhenUsed/>
    <w:rsid w:val="002D7E45"/>
    <w:rPr>
      <w:b/>
      <w:bCs/>
      <w:sz w:val="20"/>
      <w:szCs w:val="20"/>
    </w:rPr>
  </w:style>
  <w:style w:type="character" w:customStyle="1" w:styleId="CommentSubjectChar">
    <w:name w:val="Comment Subject Char"/>
    <w:basedOn w:val="CommentTextChar"/>
    <w:link w:val="CommentSubject"/>
    <w:uiPriority w:val="99"/>
    <w:semiHidden/>
    <w:rsid w:val="002D7E45"/>
    <w:rPr>
      <w:b/>
      <w:bCs/>
      <w:sz w:val="20"/>
      <w:szCs w:val="20"/>
    </w:rPr>
  </w:style>
  <w:style w:type="paragraph" w:styleId="BalloonText">
    <w:name w:val="Balloon Text"/>
    <w:basedOn w:val="Normal"/>
    <w:link w:val="BalloonTextChar"/>
    <w:uiPriority w:val="99"/>
    <w:semiHidden/>
    <w:unhideWhenUsed/>
    <w:rsid w:val="002D7E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E45"/>
    <w:rPr>
      <w:rFonts w:ascii="Times New Roman" w:hAnsi="Times New Roman" w:cs="Times New Roman"/>
      <w:sz w:val="18"/>
      <w:szCs w:val="18"/>
    </w:rPr>
  </w:style>
  <w:style w:type="paragraph" w:styleId="Header">
    <w:name w:val="header"/>
    <w:basedOn w:val="Normal"/>
    <w:link w:val="HeaderChar"/>
    <w:uiPriority w:val="99"/>
    <w:unhideWhenUsed/>
    <w:rsid w:val="00031357"/>
    <w:pPr>
      <w:tabs>
        <w:tab w:val="center" w:pos="4513"/>
        <w:tab w:val="right" w:pos="9026"/>
      </w:tabs>
    </w:pPr>
  </w:style>
  <w:style w:type="character" w:customStyle="1" w:styleId="HeaderChar">
    <w:name w:val="Header Char"/>
    <w:basedOn w:val="DefaultParagraphFont"/>
    <w:link w:val="Header"/>
    <w:uiPriority w:val="99"/>
    <w:rsid w:val="00031357"/>
  </w:style>
  <w:style w:type="paragraph" w:styleId="Footer">
    <w:name w:val="footer"/>
    <w:basedOn w:val="Normal"/>
    <w:link w:val="FooterChar"/>
    <w:uiPriority w:val="99"/>
    <w:unhideWhenUsed/>
    <w:rsid w:val="00031357"/>
    <w:pPr>
      <w:tabs>
        <w:tab w:val="center" w:pos="4513"/>
        <w:tab w:val="right" w:pos="9026"/>
      </w:tabs>
    </w:pPr>
  </w:style>
  <w:style w:type="character" w:customStyle="1" w:styleId="FooterChar">
    <w:name w:val="Footer Char"/>
    <w:basedOn w:val="DefaultParagraphFont"/>
    <w:link w:val="Footer"/>
    <w:uiPriority w:val="99"/>
    <w:rsid w:val="00031357"/>
  </w:style>
  <w:style w:type="character" w:styleId="PageNumber">
    <w:name w:val="page number"/>
    <w:basedOn w:val="DefaultParagraphFont"/>
    <w:uiPriority w:val="99"/>
    <w:semiHidden/>
    <w:unhideWhenUsed/>
    <w:rsid w:val="00985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8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E68A9"/>
  </w:style>
  <w:style w:type="character" w:customStyle="1" w:styleId="FootnoteTextChar">
    <w:name w:val="Footnote Text Char"/>
    <w:basedOn w:val="DefaultParagraphFont"/>
    <w:link w:val="FootnoteText"/>
    <w:uiPriority w:val="99"/>
    <w:rsid w:val="001E68A9"/>
  </w:style>
  <w:style w:type="character" w:styleId="FootnoteReference">
    <w:name w:val="footnote reference"/>
    <w:basedOn w:val="DefaultParagraphFont"/>
    <w:uiPriority w:val="99"/>
    <w:unhideWhenUsed/>
    <w:rsid w:val="001E68A9"/>
    <w:rPr>
      <w:vertAlign w:val="superscript"/>
    </w:rPr>
  </w:style>
  <w:style w:type="paragraph" w:styleId="ListParagraph">
    <w:name w:val="List Paragraph"/>
    <w:basedOn w:val="Normal"/>
    <w:uiPriority w:val="34"/>
    <w:qFormat/>
    <w:rsid w:val="001E68A9"/>
    <w:pPr>
      <w:ind w:left="720"/>
      <w:contextualSpacing/>
    </w:pPr>
  </w:style>
  <w:style w:type="character" w:styleId="CommentReference">
    <w:name w:val="annotation reference"/>
    <w:basedOn w:val="DefaultParagraphFont"/>
    <w:uiPriority w:val="99"/>
    <w:semiHidden/>
    <w:unhideWhenUsed/>
    <w:rsid w:val="002D7E45"/>
    <w:rPr>
      <w:sz w:val="18"/>
      <w:szCs w:val="18"/>
    </w:rPr>
  </w:style>
  <w:style w:type="paragraph" w:styleId="CommentText">
    <w:name w:val="annotation text"/>
    <w:basedOn w:val="Normal"/>
    <w:link w:val="CommentTextChar"/>
    <w:uiPriority w:val="99"/>
    <w:semiHidden/>
    <w:unhideWhenUsed/>
    <w:rsid w:val="002D7E45"/>
  </w:style>
  <w:style w:type="character" w:customStyle="1" w:styleId="CommentTextChar">
    <w:name w:val="Comment Text Char"/>
    <w:basedOn w:val="DefaultParagraphFont"/>
    <w:link w:val="CommentText"/>
    <w:uiPriority w:val="99"/>
    <w:semiHidden/>
    <w:rsid w:val="002D7E45"/>
  </w:style>
  <w:style w:type="paragraph" w:styleId="CommentSubject">
    <w:name w:val="annotation subject"/>
    <w:basedOn w:val="CommentText"/>
    <w:next w:val="CommentText"/>
    <w:link w:val="CommentSubjectChar"/>
    <w:uiPriority w:val="99"/>
    <w:semiHidden/>
    <w:unhideWhenUsed/>
    <w:rsid w:val="002D7E45"/>
    <w:rPr>
      <w:b/>
      <w:bCs/>
      <w:sz w:val="20"/>
      <w:szCs w:val="20"/>
    </w:rPr>
  </w:style>
  <w:style w:type="character" w:customStyle="1" w:styleId="CommentSubjectChar">
    <w:name w:val="Comment Subject Char"/>
    <w:basedOn w:val="CommentTextChar"/>
    <w:link w:val="CommentSubject"/>
    <w:uiPriority w:val="99"/>
    <w:semiHidden/>
    <w:rsid w:val="002D7E45"/>
    <w:rPr>
      <w:b/>
      <w:bCs/>
      <w:sz w:val="20"/>
      <w:szCs w:val="20"/>
    </w:rPr>
  </w:style>
  <w:style w:type="paragraph" w:styleId="BalloonText">
    <w:name w:val="Balloon Text"/>
    <w:basedOn w:val="Normal"/>
    <w:link w:val="BalloonTextChar"/>
    <w:uiPriority w:val="99"/>
    <w:semiHidden/>
    <w:unhideWhenUsed/>
    <w:rsid w:val="002D7E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E45"/>
    <w:rPr>
      <w:rFonts w:ascii="Times New Roman" w:hAnsi="Times New Roman" w:cs="Times New Roman"/>
      <w:sz w:val="18"/>
      <w:szCs w:val="18"/>
    </w:rPr>
  </w:style>
  <w:style w:type="paragraph" w:styleId="Header">
    <w:name w:val="header"/>
    <w:basedOn w:val="Normal"/>
    <w:link w:val="HeaderChar"/>
    <w:uiPriority w:val="99"/>
    <w:unhideWhenUsed/>
    <w:rsid w:val="00031357"/>
    <w:pPr>
      <w:tabs>
        <w:tab w:val="center" w:pos="4513"/>
        <w:tab w:val="right" w:pos="9026"/>
      </w:tabs>
    </w:pPr>
  </w:style>
  <w:style w:type="character" w:customStyle="1" w:styleId="HeaderChar">
    <w:name w:val="Header Char"/>
    <w:basedOn w:val="DefaultParagraphFont"/>
    <w:link w:val="Header"/>
    <w:uiPriority w:val="99"/>
    <w:rsid w:val="00031357"/>
  </w:style>
  <w:style w:type="paragraph" w:styleId="Footer">
    <w:name w:val="footer"/>
    <w:basedOn w:val="Normal"/>
    <w:link w:val="FooterChar"/>
    <w:uiPriority w:val="99"/>
    <w:unhideWhenUsed/>
    <w:rsid w:val="00031357"/>
    <w:pPr>
      <w:tabs>
        <w:tab w:val="center" w:pos="4513"/>
        <w:tab w:val="right" w:pos="9026"/>
      </w:tabs>
    </w:pPr>
  </w:style>
  <w:style w:type="character" w:customStyle="1" w:styleId="FooterChar">
    <w:name w:val="Footer Char"/>
    <w:basedOn w:val="DefaultParagraphFont"/>
    <w:link w:val="Footer"/>
    <w:uiPriority w:val="99"/>
    <w:rsid w:val="00031357"/>
  </w:style>
  <w:style w:type="character" w:styleId="PageNumber">
    <w:name w:val="page number"/>
    <w:basedOn w:val="DefaultParagraphFont"/>
    <w:uiPriority w:val="99"/>
    <w:semiHidden/>
    <w:unhideWhenUsed/>
    <w:rsid w:val="00985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2455</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Suzanna Ghazal</dc:creator>
  <cp:lastModifiedBy>Mandi Dearing</cp:lastModifiedBy>
  <cp:revision>3</cp:revision>
  <dcterms:created xsi:type="dcterms:W3CDTF">2018-04-24T12:30:00Z</dcterms:created>
  <dcterms:modified xsi:type="dcterms:W3CDTF">2018-04-24T12:36:00Z</dcterms:modified>
</cp:coreProperties>
</file>