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784c039)   ·   October 28,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point is tested against the Texas outline drawn on the map (U.S. Census 1:5,000,000 state boundary). Outside it, the app shows a message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from ECMWF through Open-Meteo (usually 1–3 s) or NASA MERRA-2. If Open-Meteo errors or has not answered within 20 s, the app switches to MERRA-2. Daily rain and ET₀ come from gridMET.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Pick the station</w:t>
            </w:r>
          </w:p>
        </w:tc>
        <w:tc>
          <w:tcPr>
            <w:tcW w:type="dxa" w:w="4320"/>
          </w:tcPr>
          <w:p>
            <w:pPr>
              <w:spacing w:after="0" w:line="240" w:lineRule="auto"/>
            </w:pPr>
            <w:r>
              <w:rPr>
                <w:sz w:val="18"/>
              </w:rPr>
              <w:t>6 nearest within 150 km whose record covers the period; AWOS ranked as if 100 km farther</w:t>
            </w:r>
          </w:p>
        </w:tc>
        <w:tc>
          <w:tcPr>
            <w:tcW w:type="dxa" w:w="2232"/>
          </w:tcPr>
          <w:p>
            <w:pPr>
              <w:spacing w:after="0" w:line="240" w:lineRule="auto"/>
            </w:pPr>
            <w:r>
              <w:rPr>
                <w:sz w:val="18"/>
              </w:rPr>
              <w:t>station list → candidates</w:t>
            </w:r>
          </w:p>
        </w:tc>
        <w:tc>
          <w:tcPr>
            <w:tcW w:type="dxa" w:w="1584"/>
          </w:tcPr>
          <w:p>
            <w:pPr>
              <w:spacing w:after="0" w:line="240" w:lineRule="auto"/>
            </w:pPr>
            <w:r>
              <w:rPr>
                <w:sz w:val="18"/>
              </w:rPr>
              <w:t xml:space="preserve">wind.js · </w:t>
            </w:r>
            <w:r>
              <w:rPr>
                <w:rFonts w:ascii="Consolas" w:hAnsi="Consolas"/>
                <w:sz w:val="16"/>
              </w:rPr>
              <w:t>nearestStations</w:t>
            </w:r>
          </w:p>
        </w:tc>
      </w:tr>
      <w:tr>
        <w:trPr>
          <w:cantSplit/>
        </w:trPr>
        <w:tc>
          <w:tcPr>
            <w:tcW w:type="dxa" w:w="1944"/>
            <w:shd w:val="clear" w:color="auto" w:fill="F5F7FA"/>
          </w:tcPr>
          <w:p>
            <w:pPr>
              <w:spacing w:after="0" w:line="240" w:lineRule="auto"/>
            </w:pPr>
            <w:r>
              <w:rPr>
                <w:b/>
                <w:sz w:val="18"/>
              </w:rPr>
              <w:t>Clean the airport record</w:t>
            </w:r>
          </w:p>
        </w:tc>
        <w:tc>
          <w:tcPr>
            <w:tcW w:type="dxa" w:w="4320"/>
            <w:shd w:val="clear" w:color="auto" w:fill="F5F7FA"/>
          </w:tcPr>
          <w:p>
            <w:pPr>
              <w:spacing w:after="0" w:line="240" w:lineRule="auto"/>
            </w:pPr>
            <w:r>
              <w:rPr>
                <w:sz w:val="18"/>
              </w:rPr>
              <w:t>routine FM-15 reports only; drop quality flags 2, 3, 6, 7; wind ≤ 40 m/s, gust ≤ 55 m/s; keep the report nearest each whole hour; need ≥ 60 % of hours</w:t>
            </w:r>
          </w:p>
        </w:tc>
        <w:tc>
          <w:tcPr>
            <w:tcW w:type="dxa" w:w="2232"/>
            <w:shd w:val="clear" w:color="auto" w:fill="F5F7FA"/>
          </w:tcPr>
          <w:p>
            <w:pPr>
              <w:spacing w:after="0" w:line="240" w:lineRule="auto"/>
            </w:pPr>
            <w:r>
              <w:rPr>
                <w:sz w:val="18"/>
              </w:rPr>
              <w:t>NOAA reports → hourly series, coverage</w:t>
            </w:r>
          </w:p>
        </w:tc>
        <w:tc>
          <w:tcPr>
            <w:tcW w:type="dxa" w:w="1584"/>
            <w:shd w:val="clear" w:color="auto" w:fill="F5F7FA"/>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tcPr>
          <w:p>
            <w:pPr>
              <w:spacing w:after="0" w:line="240" w:lineRule="auto"/>
            </w:pPr>
            <w:r>
              <w:rPr>
                <w:b/>
                <w:sz w:val="18"/>
              </w:rPr>
              <w:t>Calibrate the model</w:t>
            </w:r>
          </w:p>
        </w:tc>
        <w:tc>
          <w:tcPr>
            <w:tcW w:type="dxa" w:w="4320"/>
          </w:tcPr>
          <w:p>
            <w:pPr>
              <w:spacing w:after="0" w:line="240" w:lineRule="auto"/>
            </w:pPr>
            <w:r>
              <w:rPr>
                <w:sz w:val="18"/>
              </w:rPr>
              <w:t>monthly empirical quantile mapping, 101 quantiles from 0.1 to 99.9 %; beyond the ends, scale by the end ratio; gusts the same way (MERRA-2: daily max wind)</w:t>
            </w:r>
          </w:p>
        </w:tc>
        <w:tc>
          <w:tcPr>
            <w:tcW w:type="dxa" w:w="2232"/>
          </w:tcPr>
          <w:p>
            <w:pPr>
              <w:spacing w:after="0" w:line="240" w:lineRule="auto"/>
            </w:pPr>
            <w:r>
              <w:rPr>
                <w:sz w:val="18"/>
              </w:rPr>
              <w:t>model at station + station, same years → mapping applied at your point</w:t>
            </w:r>
          </w:p>
        </w:tc>
        <w:tc>
          <w:tcPr>
            <w:tcW w:type="dxa" w:w="1584"/>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shd w:val="clear" w:color="auto" w:fill="F5F7FA"/>
          </w:tcPr>
          <w:p>
            <w:pPr>
              <w:spacing w:after="0" w:line="240" w:lineRule="auto"/>
            </w:pPr>
            <w:r>
              <w:rPr>
                <w:b/>
                <w:sz w:val="18"/>
              </w:rPr>
              <w:t>Erosive hours</w:t>
            </w:r>
          </w:p>
        </w:tc>
        <w:tc>
          <w:tcPr>
            <w:tcW w:type="dxa" w:w="4320"/>
            <w:shd w:val="clear" w:color="auto" w:fill="F5F7FA"/>
          </w:tcPr>
          <w:p>
            <w:pPr>
              <w:spacing w:after="0" w:line="240" w:lineRule="auto"/>
            </w:pPr>
            <w:r>
              <w:rPr>
                <w:sz w:val="18"/>
              </w:rPr>
              <w:t>hours with u ≥ uₜ (default 8 m/s, adjustable), scaled to a full month</w:t>
            </w:r>
          </w:p>
        </w:tc>
        <w:tc>
          <w:tcPr>
            <w:tcW w:type="dxa" w:w="2232"/>
            <w:shd w:val="clear" w:color="auto" w:fill="F5F7FA"/>
          </w:tcPr>
          <w:p>
            <w:pPr>
              <w:spacing w:after="0" w:line="240" w:lineRule="auto"/>
            </w:pPr>
            <w:r>
              <w:rPr>
                <w:sz w:val="18"/>
              </w:rPr>
              <w:t>hourly wind → hours/month</w:t>
            </w:r>
          </w:p>
        </w:tc>
        <w:tc>
          <w:tcPr>
            <w:tcW w:type="dxa" w:w="1584"/>
            <w:shd w:val="clear" w:color="auto" w:fill="F5F7FA"/>
          </w:tcPr>
          <w:p>
            <w:pPr>
              <w:spacing w:after="0" w:line="240" w:lineRule="auto"/>
            </w:pPr>
            <w:r>
              <w:rPr>
                <w:sz w:val="18"/>
              </w:rPr>
              <w:t xml:space="preserve">wind.js · </w:t>
            </w:r>
            <w:r>
              <w:rPr>
                <w:rFonts w:ascii="Consolas" w:hAnsi="Consolas"/>
                <w:sz w:val="16"/>
              </w:rPr>
              <w:t>analyze</w:t>
            </w:r>
          </w:p>
        </w:tc>
      </w:tr>
      <w:tr>
        <w:trPr>
          <w:cantSplit/>
        </w:trPr>
        <w:tc>
          <w:tcPr>
            <w:tcW w:type="dxa" w:w="1944"/>
          </w:tcPr>
          <w:p>
            <w:pPr>
              <w:spacing w:after="0" w:line="240" w:lineRule="auto"/>
            </w:pPr>
            <w:r>
              <w:rPr>
                <w:b/>
                <w:sz w:val="18"/>
              </w:rPr>
              <w:t>Erosive energy</w:t>
            </w:r>
          </w:p>
        </w:tc>
        <w:tc>
          <w:tcPr>
            <w:tcW w:type="dxa" w:w="4320"/>
          </w:tcPr>
          <w:p>
            <w:pPr>
              <w:spacing w:after="0" w:line="240" w:lineRule="auto"/>
            </w:pPr>
            <w:r>
              <w:rPr>
                <w:sz w:val="18"/>
              </w:rPr>
              <w:t>Σ u² (u − uₜ) over erosive hours</w:t>
            </w:r>
          </w:p>
        </w:tc>
        <w:tc>
          <w:tcPr>
            <w:tcW w:type="dxa" w:w="2232"/>
          </w:tcPr>
          <w:p>
            <w:pPr>
              <w:spacing w:after="0" w:line="240" w:lineRule="auto"/>
            </w:pPr>
            <w:r>
              <w:rPr>
                <w:sz w:val="18"/>
              </w:rPr>
              <w:t>hourly wind → energy/month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Dryness</w:t>
            </w:r>
          </w:p>
        </w:tc>
        <w:tc>
          <w:tcPr>
            <w:tcW w:type="dxa" w:w="4320"/>
            <w:shd w:val="clear" w:color="auto" w:fill="F5F7FA"/>
          </w:tcPr>
          <w:p>
            <w:pPr>
              <w:spacing w:after="0" w:line="240" w:lineRule="auto"/>
            </w:pPr>
            <w:r>
              <w:rPr>
                <w:sz w:val="18"/>
              </w:rPr>
              <w:t>D = (ET₀ − P) / ET₀, limited to 0–1</w:t>
            </w:r>
          </w:p>
        </w:tc>
        <w:tc>
          <w:tcPr>
            <w:tcW w:type="dxa" w:w="2232"/>
            <w:shd w:val="clear" w:color="auto" w:fill="F5F7FA"/>
          </w:tcPr>
          <w:p>
            <w:pPr>
              <w:spacing w:after="0" w:line="240" w:lineRule="auto"/>
            </w:pPr>
            <w:r>
              <w:rPr>
                <w:sz w:val="18"/>
              </w:rPr>
              <w:t>monthly rain, ET₀ → D</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Monthly risk and red months</w:t>
            </w:r>
          </w:p>
        </w:tc>
        <w:tc>
          <w:tcPr>
            <w:tcW w:type="dxa" w:w="4320"/>
          </w:tcPr>
          <w:p>
            <w:pPr>
              <w:spacing w:after="0" w:line="240" w:lineRule="auto"/>
            </w:pPr>
            <w:r>
              <w:rPr>
                <w:sz w:val="18"/>
              </w:rPr>
              <w:t>index = energy × D; share = month ÷ year; red ≥ 10 %, amber ≥ 6.7 %</w:t>
            </w:r>
          </w:p>
        </w:tc>
        <w:tc>
          <w:tcPr>
            <w:tcW w:type="dxa" w:w="2232"/>
          </w:tcPr>
          <w:p>
            <w:pPr>
              <w:spacing w:after="0" w:line="240" w:lineRule="auto"/>
            </w:pPr>
            <w:r>
              <w:rPr>
                <w:sz w:val="18"/>
              </w:rPr>
              <w:t>energy, D → 12-month strip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Wind rose and directions</w:t>
            </w:r>
          </w:p>
        </w:tc>
        <w:tc>
          <w:tcPr>
            <w:tcW w:type="dxa" w:w="4320"/>
            <w:shd w:val="clear" w:color="auto" w:fill="F5F7FA"/>
          </w:tcPr>
          <w:p>
            <w:pPr>
              <w:spacing w:after="0" w:line="240" w:lineRule="auto"/>
            </w:pPr>
            <w:r>
              <w:rPr>
                <w:sz w:val="18"/>
              </w:rPr>
              <w:t>16 sectors; prevailing = sector with most erosive energy (neighbours weighted ½); resultant = vector sum of energy toward downwind</w:t>
            </w:r>
          </w:p>
        </w:tc>
        <w:tc>
          <w:tcPr>
            <w:tcW w:type="dxa" w:w="2232"/>
            <w:shd w:val="clear" w:color="auto" w:fill="F5F7FA"/>
          </w:tcPr>
          <w:p>
            <w:pPr>
              <w:spacing w:after="0" w:line="240" w:lineRule="auto"/>
            </w:pPr>
            <w:r>
              <w:rPr>
                <w:sz w:val="18"/>
              </w:rPr>
              <w:t>speed, direction → rose, directions</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Drift potential</w:t>
            </w:r>
          </w:p>
        </w:tc>
        <w:tc>
          <w:tcPr>
            <w:tcW w:type="dxa" w:w="4320"/>
          </w:tcPr>
          <w:p>
            <w:pPr>
              <w:spacing w:after="0" w:line="240" w:lineRule="auto"/>
            </w:pPr>
            <w:r>
              <w:rPr>
                <w:sz w:val="18"/>
              </w:rPr>
              <w:t>Fryberger: Σ V² (V − 12 kn) for V &gt; 12 kn; RDP = vector sum; RDP/DP</w:t>
            </w:r>
          </w:p>
        </w:tc>
        <w:tc>
          <w:tcPr>
            <w:tcW w:type="dxa" w:w="2232"/>
          </w:tcPr>
          <w:p>
            <w:pPr>
              <w:spacing w:after="0" w:line="240" w:lineRule="auto"/>
            </w:pPr>
            <w:r>
              <w:rPr>
                <w:sz w:val="18"/>
              </w:rPr>
              <w:t>hourly wind → DP, RDP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FAO climatic index</w:t>
            </w:r>
          </w:p>
        </w:tc>
        <w:tc>
          <w:tcPr>
            <w:tcW w:type="dxa" w:w="4320"/>
            <w:shd w:val="clear" w:color="auto" w:fill="F5F7FA"/>
          </w:tcPr>
          <w:p>
            <w:pPr>
              <w:spacing w:after="0" w:line="240" w:lineRule="auto"/>
            </w:pPr>
            <w:r>
              <w:rPr>
                <w:sz w:val="18"/>
              </w:rPr>
              <w:t>C = Σ u₂³ · D · days / 100, with u₂ = 0.748 u₁₀ (FAO-56 log law)</w:t>
            </w:r>
          </w:p>
        </w:tc>
        <w:tc>
          <w:tcPr>
            <w:tcW w:type="dxa" w:w="2232"/>
            <w:shd w:val="clear" w:color="auto" w:fill="F5F7FA"/>
          </w:tcPr>
          <w:p>
            <w:pPr>
              <w:spacing w:after="0" w:line="240" w:lineRule="auto"/>
            </w:pPr>
            <w:r>
              <w:rPr>
                <w:sz w:val="18"/>
              </w:rPr>
              <w:t>monthly wind, D → C</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Gust days</w:t>
            </w:r>
          </w:p>
        </w:tc>
        <w:tc>
          <w:tcPr>
            <w:tcW w:type="dxa" w:w="4320"/>
          </w:tcPr>
          <w:p>
            <w:pPr>
              <w:spacing w:after="0" w:line="240" w:lineRule="auto"/>
            </w:pPr>
            <w:r>
              <w:rPr>
                <w:sz w:val="18"/>
              </w:rPr>
              <w:t>days with daily max gust ≥ 17.9 m/s (40 mph)</w:t>
            </w:r>
          </w:p>
        </w:tc>
        <w:tc>
          <w:tcPr>
            <w:tcW w:type="dxa" w:w="2232"/>
          </w:tcPr>
          <w:p>
            <w:pPr>
              <w:spacing w:after="0" w:line="240" w:lineRule="auto"/>
            </w:pPr>
            <w:r>
              <w:rPr>
                <w:sz w:val="18"/>
              </w:rPr>
              <w:t>daily gust → days/month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Trend</w:t>
            </w:r>
          </w:p>
        </w:tc>
        <w:tc>
          <w:tcPr>
            <w:tcW w:type="dxa" w:w="4320"/>
            <w:shd w:val="clear" w:color="auto" w:fill="F5F7FA"/>
          </w:tcPr>
          <w:p>
            <w:pPr>
              <w:spacing w:after="0" w:line="240" w:lineRule="auto"/>
            </w:pPr>
            <w:r>
              <w:rPr>
                <w:sz w:val="18"/>
              </w:rPr>
              <w:t>least-squares slope of yearly erosive hours and mean wind, with significance test</w:t>
            </w:r>
          </w:p>
        </w:tc>
        <w:tc>
          <w:tcPr>
            <w:tcW w:type="dxa" w:w="2232"/>
            <w:shd w:val="clear" w:color="auto" w:fill="F5F7FA"/>
          </w:tcPr>
          <w:p>
            <w:pPr>
              <w:spacing w:after="0" w:line="240" w:lineRule="auto"/>
            </w:pPr>
            <w:r>
              <w:rPr>
                <w:sz w:val="18"/>
              </w:rPr>
              <w:t>yearly totals → trend</w:t>
            </w:r>
          </w:p>
        </w:tc>
        <w:tc>
          <w:tcPr>
            <w:tcW w:type="dxa" w:w="1584"/>
            <w:shd w:val="clear" w:color="auto" w:fill="F5F7FA"/>
          </w:tcPr>
          <w:p>
            <w:pPr>
              <w:spacing w:after="0" w:line="240" w:lineRule="auto"/>
            </w:pPr>
            <w:r>
              <w:rPr>
                <w:sz w:val="18"/>
              </w:rPr>
              <w:t xml:space="preserve">util.js · </w:t>
            </w:r>
            <w:r>
              <w:rPr>
                <w:rFonts w:ascii="Consolas" w:hAnsi="Consolas"/>
                <w:sz w:val="16"/>
              </w:rPr>
              <w:t>linreg</w:t>
            </w:r>
          </w:p>
        </w:tc>
      </w:tr>
      <w:tr>
        <w:trPr>
          <w:cantSplit/>
        </w:trPr>
        <w:tc>
          <w:tcPr>
            <w:tcW w:type="dxa" w:w="1944"/>
          </w:tcPr>
          <w:p>
            <w:pPr>
              <w:spacing w:after="0" w:line="240" w:lineRule="auto"/>
            </w:pPr>
            <w:r>
              <w:rPr>
                <w:b/>
                <w:sz w:val="18"/>
              </w:rPr>
              <w:t>Reference ET (last fallback)</w:t>
            </w:r>
          </w:p>
        </w:tc>
        <w:tc>
          <w:tcPr>
            <w:tcW w:type="dxa" w:w="4320"/>
          </w:tcPr>
          <w:p>
            <w:pPr>
              <w:spacing w:after="0" w:line="240" w:lineRule="auto"/>
            </w:pPr>
            <w:r>
              <w:rPr>
                <w:sz w:val="18"/>
              </w:rPr>
              <w:t>Hargreaves: ET₀ = 0.0023 Ra (Tmean + 17.8) √(Tmax − Tmin)</w:t>
            </w:r>
          </w:p>
        </w:tc>
        <w:tc>
          <w:tcPr>
            <w:tcW w:type="dxa" w:w="2232"/>
          </w:tcPr>
          <w:p>
            <w:pPr>
              <w:spacing w:after="0" w:line="240" w:lineRule="auto"/>
            </w:pPr>
            <w:r>
              <w:rPr>
                <w:sz w:val="18"/>
              </w:rPr>
              <w:t>NASA POWER daily → ET₀</w:t>
            </w:r>
          </w:p>
        </w:tc>
        <w:tc>
          <w:tcPr>
            <w:tcW w:type="dxa" w:w="1584"/>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.SOL file</w:t>
            </w:r>
          </w:p>
        </w:tc>
        <w:tc>
          <w:tcPr>
            <w:tcW w:type="dxa" w:w="1584"/>
          </w:tcPr>
          <w:p>
            <w:pPr>
              <w:spacing w:after="0" w:line="240" w:lineRule="auto"/>
            </w:pPr>
            <w:r>
              <w:rPr>
                <w:sz w:val="18"/>
              </w:rPr>
              <w:t xml:space="preserve">soil.js · </w:t>
            </w:r>
            <w:r>
              <w:rPr>
                <w:rFonts w:ascii="Consolas" w:hAnsi="Consolas"/>
                <w:sz w:val="16"/>
              </w:rPr>
              <w:t>toSOL</w:t>
            </w:r>
          </w:p>
        </w:tc>
      </w:tr>
    </w:tbl>
    <w:p>
      <w:pPr>
        <w:spacing w:after="40"/>
      </w:pPr>
    </w:p>
    <w:p>
      <w:pPr>
        <w:pStyle w:val="Heading1"/>
      </w:pPr>
      <w:r>
        <w:t>8.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Open-Meteo daily (ECMWF), then NASA POWER daily with Hargreaves ET₀</w:t>
            </w:r>
          </w:p>
        </w:tc>
      </w:tr>
      <w:tr>
        <w:trPr>
          <w:cantSplit/>
        </w:trPr>
        <w:tc>
          <w:tcPr>
            <w:tcW w:type="dxa" w:w="2304"/>
          </w:tcPr>
          <w:p>
            <w:pPr>
              <w:spacing w:after="0" w:line="240" w:lineRule="auto"/>
            </w:pPr>
            <w:r>
              <w:rPr>
                <w:b/>
                <w:sz w:val="17"/>
              </w:rPr>
              <w:t>Hourly 10 m wind speed and direction, daily max gust (default)</w:t>
            </w:r>
          </w:p>
        </w:tc>
        <w:tc>
          <w:tcPr>
            <w:tcW w:type="dxa" w:w="2088"/>
          </w:tcPr>
          <w:p>
            <w:pPr>
              <w:spacing w:after="0" w:line="240" w:lineRule="auto"/>
            </w:pPr>
            <w:r>
              <w:rPr>
                <w:sz w:val="17"/>
              </w:rPr>
              <w:t>ECMWF: IFS analysis from 2017, ERA5 before</w:t>
            </w:r>
          </w:p>
        </w:tc>
        <w:tc>
          <w:tcPr>
            <w:tcW w:type="dxa" w:w="2088"/>
          </w:tcPr>
          <w:p>
            <w:pPr>
              <w:spacing w:after="0" w:line="240" w:lineRule="auto"/>
            </w:pPr>
            <w:r>
              <w:rPr>
                <w:sz w:val="17"/>
              </w:rPr>
              <w:t>Open-Meteo archive (re-hosted copy); two requests in parallel</w:t>
            </w:r>
          </w:p>
        </w:tc>
        <w:tc>
          <w:tcPr>
            <w:tcW w:type="dxa" w:w="1728"/>
          </w:tcPr>
          <w:p>
            <w:pPr>
              <w:spacing w:after="0" w:line="240" w:lineRule="auto"/>
            </w:pPr>
            <w:r>
              <w:rPr>
                <w:sz w:val="17"/>
              </w:rPr>
              <w:t>9 km from 2017; 0.25° (~28 km) before</w:t>
            </w:r>
          </w:p>
        </w:tc>
        <w:tc>
          <w:tcPr>
            <w:tcW w:type="dxa" w:w="1872"/>
          </w:tcPr>
          <w:p>
            <w:pPr>
              <w:spacing w:after="0" w:line="240" w:lineRule="auto"/>
            </w:pPr>
            <w:r>
              <w:rPr>
                <w:sz w:val="17"/>
              </w:rPr>
              <w:t>NASA MERRA-2 if Open-Meteo errors or has not answered within 20 s</w:t>
            </w:r>
          </w:p>
        </w:tc>
      </w:tr>
      <w:tr>
        <w:trPr>
          <w:cantSplit/>
        </w:trPr>
        <w:tc>
          <w:tcPr>
            <w:tcW w:type="dxa" w:w="2304"/>
            <w:shd w:val="clear" w:color="auto" w:fill="F5F7FA"/>
          </w:tcPr>
          <w:p>
            <w:pPr>
              <w:spacing w:after="0" w:line="240" w:lineRule="auto"/>
            </w:pPr>
            <w:r>
              <w:rPr>
                <w:b/>
                <w:sz w:val="17"/>
              </w:rPr>
              <w:t>Hourly 10 m wind speed and direction (alternative)</w:t>
            </w:r>
          </w:p>
        </w:tc>
        <w:tc>
          <w:tcPr>
            <w:tcW w:type="dxa" w:w="2088"/>
            <w:shd w:val="clear" w:color="auto" w:fill="F5F7FA"/>
          </w:tcPr>
          <w:p>
            <w:pPr>
              <w:spacing w:after="0" w:line="240" w:lineRule="auto"/>
            </w:pPr>
            <w:r>
              <w:rPr>
                <w:sz w:val="17"/>
              </w:rPr>
              <w:t>NASA GMAO MERRA-2</w:t>
            </w:r>
          </w:p>
        </w:tc>
        <w:tc>
          <w:tcPr>
            <w:tcW w:type="dxa" w:w="2088"/>
            <w:shd w:val="clear" w:color="auto" w:fill="F5F7FA"/>
          </w:tcPr>
          <w:p>
            <w:pPr>
              <w:spacing w:after="0" w:line="240" w:lineRule="auto"/>
            </w:pPr>
            <w:r>
              <w:rPr>
                <w:sz w:val="17"/>
              </w:rPr>
              <w:t>NASA POWER hourly API (direct)</w:t>
            </w:r>
          </w:p>
        </w:tc>
        <w:tc>
          <w:tcPr>
            <w:tcW w:type="dxa" w:w="1728"/>
            <w:shd w:val="clear" w:color="auto" w:fill="F5F7FA"/>
          </w:tcPr>
          <w:p>
            <w:pPr>
              <w:spacing w:after="0" w:line="240" w:lineRule="auto"/>
            </w:pPr>
            <w:r>
              <w:rPr>
                <w:sz w:val="17"/>
              </w:rPr>
              <w:t>0.5° × 0.625° (~50 km), 2001 on; no gust variable</w:t>
            </w:r>
          </w:p>
        </w:tc>
        <w:tc>
          <w:tcPr>
            <w:tcW w:type="dxa" w:w="1872"/>
            <w:shd w:val="clear" w:color="auto" w:fill="F5F7FA"/>
          </w:tcPr>
          <w:p>
            <w:pPr>
              <w:spacing w:after="0" w:line="240" w:lineRule="auto"/>
            </w:pPr>
            <w:r>
              <w:rPr>
                <w:sz w:val="17"/>
              </w:rPr>
              <w:t>ECMWF via Open-Meteo</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Place search</w:t>
            </w:r>
          </w:p>
        </w:tc>
        <w:tc>
          <w:tcPr>
            <w:tcW w:type="dxa" w:w="2088"/>
          </w:tcPr>
          <w:p>
            <w:pPr>
              <w:spacing w:after="0" w:line="240" w:lineRule="auto"/>
            </w:pPr>
            <w:r>
              <w:rPr>
                <w:sz w:val="17"/>
              </w:rPr>
              <w:t>OpenStreetMap Nominatim</w:t>
            </w:r>
          </w:p>
        </w:tc>
        <w:tc>
          <w:tcPr>
            <w:tcW w:type="dxa" w:w="2088"/>
          </w:tcPr>
          <w:p>
            <w:pPr>
              <w:spacing w:after="0" w:line="240" w:lineRule="auto"/>
            </w:pPr>
            <w:r>
              <w:rPr>
                <w:sz w:val="17"/>
              </w:rPr>
              <w:t>search API; results outside Texas are dropped</w:t>
            </w:r>
          </w:p>
        </w:tc>
        <w:tc>
          <w:tcPr>
            <w:tcW w:type="dxa" w:w="1728"/>
          </w:tcPr>
          <w:p>
            <w:pPr>
              <w:spacing w:after="0" w:line="240" w:lineRule="auto"/>
            </w:pPr>
            <w:r>
              <w:rPr>
                <w:sz w:val="17"/>
              </w:rPr>
              <w:t>—</w:t>
            </w:r>
          </w:p>
        </w:tc>
        <w:tc>
          <w:tcPr>
            <w:tcW w:type="dxa" w:w="1872"/>
          </w:tcPr>
          <w:p>
            <w:pPr>
              <w:spacing w:after="0" w:line="240" w:lineRule="auto"/>
            </w:pPr>
            <w:r>
              <w:rPr>
                <w:sz w:val="17"/>
              </w:rPr>
              <w:t>type coordinates instead</w:t>
            </w:r>
          </w:p>
        </w:tc>
      </w:tr>
      <w:tr>
        <w:trPr>
          <w:cantSplit/>
        </w:trPr>
        <w:tc>
          <w:tcPr>
            <w:tcW w:type="dxa" w:w="2304"/>
            <w:shd w:val="clear" w:color="auto" w:fill="F5F7FA"/>
          </w:tcPr>
          <w:p>
            <w:pPr>
              <w:spacing w:after="0" w:line="240" w:lineRule="auto"/>
            </w:pPr>
            <w:r>
              <w:rPr>
                <w:b/>
                <w:sz w:val="17"/>
              </w:rPr>
              <w:t>Statewide map layers</w:t>
            </w:r>
          </w:p>
        </w:tc>
        <w:tc>
          <w:tcPr>
            <w:tcW w:type="dxa" w:w="2088"/>
            <w:shd w:val="clear" w:color="auto" w:fill="F5F7FA"/>
          </w:tcPr>
          <w:p>
            <w:pPr>
              <w:spacing w:after="0" w:line="240" w:lineRule="auto"/>
            </w:pPr>
            <w:r>
              <w:rPr>
                <w:sz w:val="17"/>
              </w:rPr>
              <w:t>SSURGO WEG/I (UC Davis SoilWeb), NRCS C, NASA POWER wind; built offline</w:t>
            </w:r>
          </w:p>
        </w:tc>
        <w:tc>
          <w:tcPr>
            <w:tcW w:type="dxa" w:w="2088"/>
            <w:shd w:val="clear" w:color="auto" w:fill="F5F7FA"/>
          </w:tcPr>
          <w:p>
            <w:pPr>
              <w:spacing w:after="0" w:line="240" w:lineRule="auto"/>
            </w:pPr>
            <w:r>
              <w:rPr>
                <w:sz w:val="17"/>
              </w:rPr>
              <w:t>built into the app (data/layers.js and PNG overlays)</w:t>
            </w:r>
          </w:p>
        </w:tc>
        <w:tc>
          <w:tcPr>
            <w:tcW w:type="dxa" w:w="1728"/>
            <w:shd w:val="clear" w:color="auto" w:fill="F5F7FA"/>
          </w:tcPr>
          <w:p>
            <w:pPr>
              <w:spacing w:after="0" w:line="240" w:lineRule="auto"/>
            </w:pPr>
            <w:r>
              <w:rPr>
                <w:sz w:val="17"/>
              </w:rPr>
              <w:t>statewide grid</w:t>
            </w:r>
          </w:p>
        </w:tc>
        <w:tc>
          <w:tcPr>
            <w:tcW w:type="dxa" w:w="1872"/>
            <w:shd w:val="clear" w:color="auto" w:fill="F5F7FA"/>
          </w:tcPr>
          <w:p>
            <w:pPr>
              <w:spacing w:after="0" w:line="240" w:lineRule="auto"/>
            </w:pPr>
            <w:r>
              <w:rPr>
                <w:sz w:val="17"/>
              </w:rPr>
              <w:t>display only</w:t>
            </w:r>
          </w:p>
        </w:tc>
      </w:tr>
      <w:tr>
        <w:trPr>
          <w:cantSplit/>
        </w:trPr>
        <w:tc>
          <w:tcPr>
            <w:tcW w:type="dxa" w:w="2304"/>
          </w:tcPr>
          <w:p>
            <w:pPr>
              <w:spacing w:after="0" w:line="240" w:lineRule="auto"/>
            </w:pPr>
            <w:r>
              <w:rPr>
                <w:b/>
                <w:sz w:val="17"/>
              </w:rPr>
              <w:t>Base maps</w:t>
            </w:r>
          </w:p>
        </w:tc>
        <w:tc>
          <w:tcPr>
            <w:tcW w:type="dxa" w:w="2088"/>
          </w:tcPr>
          <w:p>
            <w:pPr>
              <w:spacing w:after="0" w:line="240" w:lineRule="auto"/>
            </w:pPr>
            <w:r>
              <w:rPr>
                <w:sz w:val="17"/>
              </w:rPr>
              <w:t>Esri, USGS, OpenStreetMap</w:t>
            </w:r>
          </w:p>
        </w:tc>
        <w:tc>
          <w:tcPr>
            <w:tcW w:type="dxa" w:w="2088"/>
          </w:tcPr>
          <w:p>
            <w:pPr>
              <w:spacing w:after="0" w:line="240" w:lineRule="auto"/>
            </w:pPr>
            <w:r>
              <w:rPr>
                <w:sz w:val="17"/>
              </w:rPr>
              <w:t>map tiles</w:t>
            </w:r>
          </w:p>
        </w:tc>
        <w:tc>
          <w:tcPr>
            <w:tcW w:type="dxa" w:w="1728"/>
          </w:tcPr>
          <w:p>
            <w:pPr>
              <w:spacing w:after="0" w:line="240" w:lineRule="auto"/>
            </w:pPr>
            <w:r>
              <w:rPr>
                <w:sz w:val="17"/>
              </w:rPr>
              <w:t>—</w:t>
            </w:r>
          </w:p>
        </w:tc>
        <w:tc>
          <w:tcPr>
            <w:tcW w:type="dxa" w:w="1872"/>
          </w:tcPr>
          <w:p>
            <w:pPr>
              <w:spacing w:after="0" w:line="240" w:lineRule="auto"/>
            </w:pPr>
            <w:r>
              <w:rPr>
                <w:sz w:val="17"/>
              </w:rPr>
              <w:t>switch base map</w:t>
            </w:r>
          </w:p>
        </w:tc>
      </w:tr>
    </w:tbl>
    <w:p>
      <w:pPr>
        <w:spacing w:after="40"/>
      </w:pPr>
    </w:p>
    <w:p>
      <w:pPr>
        <w:pStyle w:val="Heading1"/>
      </w:pPr>
      <w:r>
        <w:t>9.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ECMWF (Open-Meteo) or MERRA-2,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Statewide map colours</w:t>
            </w:r>
          </w:p>
        </w:tc>
        <w:tc>
          <w:tcPr>
            <w:tcW w:type="dxa" w:w="3168"/>
            <w:shd w:val="clear" w:color="auto" w:fill="F5F7FA"/>
          </w:tcPr>
          <w:p>
            <w:pPr>
              <w:spacing w:after="0" w:line="240" w:lineRule="auto"/>
            </w:pPr>
            <w:r>
              <w:rPr>
                <w:sz w:val="18"/>
              </w:rPr>
              <w:t>pre-computed offline</w:t>
            </w:r>
          </w:p>
        </w:tc>
        <w:tc>
          <w:tcPr>
            <w:tcW w:type="dxa" w:w="4032"/>
            <w:shd w:val="clear" w:color="auto" w:fill="F5F7FA"/>
          </w:tcPr>
          <w:p>
            <w:pPr>
              <w:spacing w:after="0" w:line="240" w:lineRule="auto"/>
            </w:pPr>
            <w:r>
              <w:rPr>
                <w:sz w:val="18"/>
              </w:rPr>
              <w:t>SSURGO WEG/I (UC Davis SoilWeb rasters), NRCS C, NASA POWER monthly wind</w:t>
            </w:r>
          </w:p>
        </w:tc>
      </w:tr>
    </w:tbl>
    <w:p>
      <w:pPr>
        <w:spacing w:after="40"/>
      </w:pPr>
    </w:p>
    <w:p>
      <w:pPr>
        <w:pStyle w:val="Heading1"/>
      </w:pPr>
      <w:r>
        <w:t>10.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ECMWF comes through a copy.</w:t>
      </w:r>
      <w:r>
        <w:t xml:space="preserve"> Copernicus's own data store needs each user's personal key and a queued job that takes minutes, so the app reads Open-Meteo's copy, which arrives in seconds. NASA MERRA-2 is the direct alternative and the automatic fallback.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and gust days show n/a.</w:t>
      </w:r>
    </w:p>
    <w:p>
      <w:pPr>
        <w:pStyle w:val="ListBullet"/>
        <w:spacing w:after="60"/>
      </w:pPr>
      <w:r>
        <w:rPr>
          <w:b/>
        </w:rPr>
        <w:t>gridMET lags a few days.</w:t>
      </w:r>
      <w:r>
        <w:t xml:space="preserve"> The newest ~4 days are not yet published; a point with less than 80 % of days falls back to Open-Meteo and then NASA POWER.</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11.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and .SOL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station choice and QC, calibration, monthly analysis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w:t>
            </w:r>
          </w:p>
        </w:tc>
      </w:tr>
      <w:tr>
        <w:trPr>
          <w:cantSplit/>
        </w:trPr>
        <w:tc>
          <w:tcPr>
            <w:tcW w:type="dxa" w:w="2736"/>
          </w:tcPr>
          <w:p>
            <w:pPr>
              <w:spacing w:after="0" w:line="240" w:lineRule="auto"/>
            </w:pPr>
            <w:r>
              <w:rPr>
                <w:b/>
                <w:sz w:val="18"/>
              </w:rPr>
              <w:t>js/practices.js</w:t>
            </w:r>
          </w:p>
        </w:tc>
        <w:tc>
          <w:tcPr>
            <w:tcW w:type="dxa" w:w="7344"/>
          </w:tcPr>
          <w:p>
            <w:pPr>
              <w:spacing w:after="0" w:line="240" w:lineRule="auto"/>
            </w:pPr>
            <w:r>
              <w:rPr>
                <w:sz w:val="18"/>
              </w:rPr>
              <w:t>practice planner: questions, rules, specifications, species tables</w:t>
            </w:r>
          </w:p>
        </w:tc>
      </w:tr>
      <w:tr>
        <w:trPr>
          <w:cantSplit/>
        </w:trPr>
        <w:tc>
          <w:tcPr>
            <w:tcW w:type="dxa" w:w="2736"/>
            <w:shd w:val="clear" w:color="auto" w:fill="F5F7FA"/>
          </w:tcPr>
          <w:p>
            <w:pPr>
              <w:spacing w:after="0" w:line="240" w:lineRule="auto"/>
            </w:pPr>
            <w:r>
              <w:rPr>
                <w:b/>
                <w:sz w:val="18"/>
              </w:rPr>
              <w:t>js/methods.js</w:t>
            </w:r>
          </w:p>
        </w:tc>
        <w:tc>
          <w:tcPr>
            <w:tcW w:type="dxa" w:w="7344"/>
            <w:shd w:val="clear" w:color="auto" w:fill="F5F7FA"/>
          </w:tcPr>
          <w:p>
            <w:pPr>
              <w:spacing w:after="0" w:line="240" w:lineRule="auto"/>
            </w:pPr>
            <w:r>
              <w:rPr>
                <w:sz w:val="18"/>
              </w:rPr>
              <w:t>Methods sheet: sources used at the point, source catalog, equations</w:t>
            </w:r>
          </w:p>
        </w:tc>
      </w:tr>
      <w:tr>
        <w:trPr>
          <w:cantSplit/>
        </w:trPr>
        <w:tc>
          <w:tcPr>
            <w:tcW w:type="dxa" w:w="2736"/>
          </w:tcPr>
          <w:p>
            <w:pPr>
              <w:spacing w:after="0" w:line="240" w:lineRule="auto"/>
            </w:pPr>
            <w:r>
              <w:rPr>
                <w:b/>
                <w:sz w:val="18"/>
              </w:rPr>
              <w:t>data/stations.js</w:t>
            </w:r>
          </w:p>
        </w:tc>
        <w:tc>
          <w:tcPr>
            <w:tcW w:type="dxa" w:w="7344"/>
          </w:tcPr>
          <w:p>
            <w:pPr>
              <w:spacing w:after="0" w:line="240" w:lineRule="auto"/>
            </w:pPr>
            <w:r>
              <w:rPr>
                <w:sz w:val="18"/>
              </w:rPr>
              <w:t>built-in airport list (made by tools/fetch_stations.py)</w:t>
            </w:r>
          </w:p>
        </w:tc>
      </w:tr>
      <w:tr>
        <w:trPr>
          <w:cantSplit/>
        </w:trPr>
        <w:tc>
          <w:tcPr>
            <w:tcW w:type="dxa" w:w="2736"/>
            <w:shd w:val="clear" w:color="auto" w:fill="F5F7FA"/>
          </w:tcPr>
          <w:p>
            <w:pPr>
              <w:spacing w:after="0" w:line="240" w:lineRule="auto"/>
            </w:pPr>
            <w:r>
              <w:rPr>
                <w:b/>
                <w:sz w:val="18"/>
              </w:rPr>
              <w:t>data/layers.js, data/*.png</w:t>
            </w:r>
          </w:p>
        </w:tc>
        <w:tc>
          <w:tcPr>
            <w:tcW w:type="dxa" w:w="7344"/>
            <w:shd w:val="clear" w:color="auto" w:fill="F5F7FA"/>
          </w:tcPr>
          <w:p>
            <w:pPr>
              <w:spacing w:after="0" w:line="240" w:lineRule="auto"/>
            </w:pPr>
            <w:r>
              <w:rPr>
                <w:sz w:val="18"/>
              </w:rPr>
              <w:t>statewide layers and the Texas outline (made by tools/build_layers.py)</w:t>
            </w:r>
          </w:p>
        </w:tc>
      </w:tr>
      <w:tr>
        <w:trPr>
          <w:cantSplit/>
        </w:trPr>
        <w:tc>
          <w:tcPr>
            <w:tcW w:type="dxa" w:w="2736"/>
          </w:tcPr>
          <w:p>
            <w:pPr>
              <w:spacing w:after="0" w:line="240" w:lineRule="auto"/>
            </w:pPr>
            <w:r>
              <w:rPr>
                <w:b/>
                <w:sz w:val="18"/>
              </w:rPr>
              <w:t>tools/*.py</w:t>
            </w:r>
          </w:p>
        </w:tc>
        <w:tc>
          <w:tcPr>
            <w:tcW w:type="dxa" w:w="7344"/>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