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VILEORUF CRM</w:t>
      </w:r>
    </w:p>
    <w:p>
      <w:pPr>
        <w:jc w:val="center"/>
      </w:pPr>
      <w:r>
        <w:rPr>
          <w:i/>
          <w:sz w:val="20"/>
        </w:rPr>
        <w:t>Финальная техническая спецификация реализованного MVP · версия 1.0 · 12 сентября 2026</w:t>
      </w:r>
    </w:p>
    <w:p>
      <w:r>
        <w:t>Статус: Day 7 DONE / VERIFIED; MVP технически готов к delivery. Документ описывает фактически реализованное состояние и не является заявлением о production cloud deployment, публикации GitHub или юридической сертификации.</w:t>
      </w:r>
    </w:p>
    <w:p>
      <w:pPr>
        <w:pStyle w:val="Heading1"/>
      </w:pPr>
      <w:r>
        <w:t>1. Назначение и границы MVP</w:t>
      </w:r>
    </w:p>
    <w:p>
      <w:r>
        <w:t>VILEORUF CRM — внутренний CRM для студии: публичные заявки, Clients/Deals, Pipeline, Tasks, Communications, advisory AI, интеграции и операционная аналитика. Пользователи — ADMIN и MANAGER; внешние заказчики являются Client-записями, customer portal отсутствует.</w:t>
      </w:r>
    </w:p>
    <w:p>
      <w:pPr>
        <w:pStyle w:val="ListBullet"/>
      </w:pPr>
      <w:r>
        <w:t>Реализованы Gmail, Telegram и Google Calendar в утверждённых bounded flows.</w:t>
      </w:r>
    </w:p>
    <w:p>
      <w:pPr>
        <w:pStyle w:val="ListBullet"/>
      </w:pPr>
      <w:r>
        <w:t>WhatsApp Business Cloud API — отложенный технический долг; consumer/personal automation не реализована и запрещена.</w:t>
      </w:r>
    </w:p>
    <w:p>
      <w:pPr>
        <w:pStyle w:val="ListBullet"/>
      </w:pPr>
      <w:r>
        <w:t>Analytics — CRM operational analytics: active Pipeline estimated value, Won Deal estimated budget value, conversion и monthly Deal dynamics. Это не accounting/revenue recognition и не AI weighted revenue forecast.</w:t>
      </w:r>
    </w:p>
    <w:p>
      <w:pPr>
        <w:pStyle w:val="Heading1"/>
      </w:pPr>
      <w:r>
        <w:t>2. Реализованные пользовательские области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Public Request</w:t>
            </w:r>
          </w:p>
        </w:tc>
        <w:tc>
          <w:tcPr>
            <w:tcW w:type="dxa" w:w="5040"/>
          </w:tcPr>
          <w:p>
            <w:r>
              <w:t>Consent-aware публичная форма требует корректный Email, создаёт CUSTOMER Client и unassigned Deal в New Lead.</w:t>
            </w:r>
          </w:p>
        </w:tc>
      </w:tr>
      <w:tr>
        <w:tc>
          <w:tcPr>
            <w:tcW w:type="dxa" w:w="5040"/>
          </w:tcPr>
          <w:p>
            <w:r>
              <w:t>Clients</w:t>
            </w:r>
          </w:p>
        </w:tc>
        <w:tc>
          <w:tcPr>
            <w:tcW w:type="dxa" w:w="5040"/>
          </w:tcPr>
          <w:p>
            <w:r>
              <w:t>Active/Archived lists; компактная карточка: поля, Save/Archive/Restore и дочерние Communications, Email, Calendar. Client Email честно недоступен: EmailDraft Deal-bound.</w:t>
            </w:r>
          </w:p>
        </w:tc>
      </w:tr>
      <w:tr>
        <w:tc>
          <w:tcPr>
            <w:tcW w:type="dxa" w:w="5040"/>
          </w:tcPr>
          <w:p>
            <w:r>
              <w:t>Deals</w:t>
            </w:r>
          </w:p>
        </w:tc>
        <w:tc>
          <w:tcPr>
            <w:tcW w:type="dxa" w:w="5040"/>
          </w:tcPr>
          <w:p>
            <w:r>
              <w:t>Карточка с operational actions сверху; дочерние Public Request, Communications, Email, Calendar; Deals table показывает Attractiveness и Probability.</w:t>
            </w:r>
          </w:p>
        </w:tc>
      </w:tr>
      <w:tr>
        <w:tc>
          <w:tcPr>
            <w:tcW w:type="dxa" w:w="5040"/>
          </w:tcPr>
          <w:p>
            <w:r>
              <w:t>Communications</w:t>
            </w:r>
          </w:p>
        </w:tc>
        <w:tc>
          <w:tcPr>
            <w:tcW w:type="dxa" w:w="5040"/>
          </w:tcPr>
          <w:p>
            <w:r>
              <w:t>В Client/Deal dialog сначала ручное создание и доступный Telegram, затем history; read/assign/detach semantics сохраняются.</w:t>
            </w:r>
          </w:p>
        </w:tc>
      </w:tr>
      <w:tr>
        <w:tc>
          <w:tcPr>
            <w:tcW w:type="dxa" w:w="5040"/>
          </w:tcPr>
          <w:p>
            <w:r>
              <w:t>Email Draft</w:t>
            </w:r>
          </w:p>
        </w:tc>
        <w:tc>
          <w:tcPr>
            <w:tcW w:type="dxa" w:w="5040"/>
          </w:tcPr>
          <w:p>
            <w:r>
              <w:t>Deal-only: AI generation отдельно от manual creation; saved editable draft имеет Copy, Send, Edit, Delete; SENT immutable/copyable.</w:t>
            </w:r>
          </w:p>
        </w:tc>
      </w:tr>
      <w:tr>
        <w:tc>
          <w:tcPr>
            <w:tcW w:type="dxa" w:w="5040"/>
          </w:tcPr>
          <w:p>
            <w:r>
              <w:t>Calendar</w:t>
            </w:r>
          </w:p>
        </w:tc>
        <w:tc>
          <w:tcPr>
            <w:tcW w:type="dxa" w:w="5040"/>
          </w:tcPr>
          <w:p>
            <w:r>
              <w:t>Client/Deal/Task context; Create Event перед history; SYNCHED event может Open in Google Calendar, Edit, Cancel.</w:t>
            </w:r>
          </w:p>
        </w:tc>
      </w:tr>
      <w:tr>
        <w:tc>
          <w:tcPr>
            <w:tcW w:type="dxa" w:w="5040"/>
          </w:tcPr>
          <w:p>
            <w:r>
              <w:t>Settings/Employees</w:t>
            </w:r>
          </w:p>
        </w:tc>
        <w:tc>
          <w:tcPr>
            <w:tcW w:type="dxa" w:w="5040"/>
          </w:tcPr>
          <w:p>
            <w:r>
              <w:t>ADMIN-only Business Settings compact lists/modal UX, AI/Integration settings и dedicated /crm/employees.</w:t>
            </w:r>
          </w:p>
        </w:tc>
      </w:tr>
      <w:tr>
        <w:tc>
          <w:tcPr>
            <w:tcW w:type="dxa" w:w="5040"/>
          </w:tcPr>
          <w:p>
            <w:r>
              <w:t>AI/Analytics</w:t>
            </w:r>
          </w:p>
        </w:tc>
        <w:tc>
          <w:tcPr>
            <w:tcW w:type="dxa" w:w="5040"/>
          </w:tcPr>
          <w:p>
            <w:r>
              <w:t>Lead Scoring, Deal Prediction, NBA, AI History and deterministic CRM-wide analytics.</w:t>
            </w:r>
          </w:p>
        </w:tc>
      </w:tr>
    </w:tbl>
    <w:p>
      <w:pPr>
        <w:pStyle w:val="Heading1"/>
      </w:pPr>
      <w:r>
        <w:t>3. Архитектура и стек</w:t>
      </w:r>
    </w:p>
    <w:p>
      <w:r>
        <w:t>Modular monolith: React 19 + Vite 8 + i18next frontend; FastAPI + Pydantic + SQLAlchemy backend; PostgreSQL 16 with Alembic; Redis/Celery queues ai and integrations; Docker Compose runtime. lucide-react is used for interface icons. Business and provider logic remain in backend services/adapters.</w:t>
      </w:r>
    </w:p>
    <w:p>
      <w:r>
        <w:t>Текущий Alembic head: 20260911_0022. Backend startup runs alembic upgrade head; required system data are bootstrap_pipeline and bootstrap_business_catalog; first ADMIN is created only through interactive create_admin. Optional seed_demo is synthetic and development/test-only.</w:t>
      </w:r>
    </w:p>
    <w:p>
      <w:pPr>
        <w:pStyle w:val="Heading1"/>
      </w:pPr>
      <w:r>
        <w:t>4. Authorization, privacy and security</w:t>
      </w:r>
    </w:p>
    <w:p>
      <w:pPr>
        <w:pStyle w:val="ListBullet"/>
      </w:pPr>
      <w:r>
        <w:t>Backend authorization is authoritative. ADMIN manages all records/settings/employees; MANAGER is constrained by existing ownership rules.</w:t>
      </w:r>
    </w:p>
    <w:p>
      <w:pPr>
        <w:pStyle w:val="ListBullet"/>
      </w:pPr>
      <w:r>
        <w:t>Passwords use Argon2id; access JWT stays in frontend memory and refresh JWT is HttpOnly SameSite=Lax. Google token payloads are Fernet-encrypted with an environment-only key.</w:t>
      </w:r>
    </w:p>
    <w:p>
      <w:pPr>
        <w:pStyle w:val="ListBullet"/>
      </w:pPr>
      <w:r>
        <w:t>Secrets, tokens, raw provider bodies, raw AI prompts/responses and stack traces are not exposed through normal API/UI/reporting paths.</w:t>
      </w:r>
    </w:p>
    <w:p>
      <w:pPr>
        <w:pStyle w:val="ListBullet"/>
      </w:pPr>
      <w:r>
        <w:t>Consent persistence is a bounded application feature, not a broad GDPR or legal compliance certification. Full PostgreSQL at-rest encryption is not claimed.</w:t>
      </w:r>
    </w:p>
    <w:p>
      <w:pPr>
        <w:pStyle w:val="Heading1"/>
      </w:pPr>
      <w:r>
        <w:t>5. Integrations and failure semantics</w:t>
      </w:r>
    </w:p>
    <w:p>
      <w:r>
        <w:t>Provider operations use explicit lifecycle/persistence boundaries. ExternalMessage is distinct from Communication; Task is distinct from CalendarEvent. User-safe API/UI errors are normalized to statuses such as AUTH_REQUIRED, INVALID_CONFIGURATION, PERMISSION_DENIED, INVALID_RECIPIENT, RATE_LIMITED, PROVIDER_UNAVAILABLE, PROVIDER_ERROR, SAFE_RETRY, NO_RETRY, UNCERTAIN and UNKNOWN where applicable. Unknown outcomes are not blindly retried; failed sends do not become false successful CRM facts.</w:t>
      </w:r>
    </w:p>
    <w:p>
      <w:pPr>
        <w:pStyle w:val="Heading1"/>
      </w:pPr>
      <w:r>
        <w:t>6. Error handling, audit and logs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User-visible handling</w:t>
            </w:r>
          </w:p>
        </w:tc>
        <w:tc>
          <w:tcPr>
            <w:tcW w:type="dxa" w:w="5040"/>
          </w:tcPr>
          <w:p>
            <w:r>
              <w:t>FastAPI routes map domain failures to intentional safe HTTP responses; React presents localized loading, empty, retry, validation and mutation-error states.</w:t>
            </w:r>
          </w:p>
        </w:tc>
      </w:tr>
      <w:tr>
        <w:tc>
          <w:tcPr>
            <w:tcW w:type="dxa" w:w="5040"/>
          </w:tcPr>
          <w:p>
            <w:r>
              <w:t>Persisted state</w:t>
            </w:r>
          </w:p>
        </w:tc>
        <w:tc>
          <w:tcPr>
            <w:tcW w:type="dxa" w:w="5040"/>
          </w:tcPr>
          <w:p>
            <w:r>
              <w:t>AIAnalysis, ExternalMessage and CalendarEvent preserve bounded business/provider lifecycle and safe failure categories; EmailDraft/Communication history semantics remain separate.</w:t>
            </w:r>
          </w:p>
        </w:tc>
      </w:tr>
      <w:tr>
        <w:tc>
          <w:tcPr>
            <w:tcW w:type="dxa" w:w="5040"/>
          </w:tcPr>
          <w:p>
            <w:r>
              <w:t>Operational logs</w:t>
            </w:r>
          </w:p>
        </w:tc>
        <w:tc>
          <w:tcPr>
            <w:tcW w:type="dxa" w:w="5040"/>
          </w:tcPr>
          <w:p>
            <w:r>
              <w:t>Standard Python logging is used in services/workers (including integration scheduling/failures and AI/business-setting audit messages); Uvicorn, Celery and Docker Compose supply runtime logs.</w:t>
            </w:r>
          </w:p>
        </w:tc>
      </w:tr>
      <w:tr>
        <w:tc>
          <w:tcPr>
            <w:tcW w:type="dxa" w:w="5040"/>
          </w:tcPr>
          <w:p>
            <w:r>
              <w:t>Audit/history</w:t>
            </w:r>
          </w:p>
        </w:tc>
        <w:tc>
          <w:tcPr>
            <w:tcW w:type="dxa" w:w="5040"/>
          </w:tcPr>
          <w:p>
            <w:r>
              <w:t>AI metadata/history, external lifecycle records and selected ADMIN settings-change audit logs are persisted business/audit evidence, not a centralized log platform.</w:t>
            </w:r>
          </w:p>
        </w:tc>
      </w:tr>
      <w:tr>
        <w:tc>
          <w:tcPr>
            <w:tcW w:type="dxa" w:w="5040"/>
          </w:tcPr>
          <w:p>
            <w:r>
              <w:t>Secret safety</w:t>
            </w:r>
          </w:p>
        </w:tc>
        <w:tc>
          <w:tcPr>
            <w:tcW w:type="dxa" w:w="5040"/>
          </w:tcPr>
          <w:p>
            <w:r>
              <w:t>Configuration uses SecretStr/environment-only values; inspected logger calls record safe IDs/categories rather than tokens or raw provider bodies. No custom centralized observability platform is implemented.</w:t>
            </w:r>
          </w:p>
        </w:tc>
      </w:tr>
      <w:tr>
        <w:tc>
          <w:tcPr>
            <w:tcW w:type="dxa" w:w="5040"/>
          </w:tcPr>
          <w:p>
            <w:r>
              <w:t>Operator inspection</w:t>
            </w:r>
          </w:p>
        </w:tc>
        <w:tc>
          <w:tcPr>
            <w:tcW w:type="dxa" w:w="5040"/>
          </w:tcPr>
          <w:p>
            <w:r>
              <w:t>Use docker compose logs --tail=200 backend celery_worker frontend or docker compose logs -f backend celery_worker. Do not print .env values or tokens.</w:t>
            </w:r>
          </w:p>
        </w:tc>
      </w:tr>
    </w:tbl>
    <w:p>
      <w:r>
        <w:t>Limitation: there is no ELK/Sentry/Prometheus/Loki/OpenTelemetry centralized observability platform. Standard container/application logs remain the local diagnostic path.</w:t>
      </w:r>
    </w:p>
    <w:p>
      <w:pPr>
        <w:pStyle w:val="Heading1"/>
      </w:pPr>
      <w:r>
        <w:t>7. Runtime, verification and deferred scope</w:t>
      </w:r>
    </w:p>
    <w:p>
      <w:pPr>
        <w:pStyle w:val="ListBullet"/>
      </w:pPr>
      <w:r>
        <w:t>Local Compose services: PostgreSQL, Redis, backend, Celery worker/beat and frontend; published local ports are loopback-bound.</w:t>
      </w:r>
    </w:p>
    <w:p>
      <w:pPr>
        <w:pStyle w:val="ListBullet"/>
      </w:pPr>
      <w:r>
        <w:t>Prior verified baseline includes historical live-provider evidence for Gmail, Telegram and Google Calendar. This delivery documentation pass does not replay providers.</w:t>
      </w:r>
    </w:p>
    <w:p>
      <w:pPr>
        <w:pStyle w:val="ListBullet"/>
      </w:pPr>
      <w:r>
        <w:t>Deferred: WhatsApp Cloud API, customer portal, multi-tenancy, payments/accounting, full email/messenger/calendar clients, cloud deployment/CI platform, automatic free-text PII redaction, and enhanced centralized observability.</w:t>
      </w:r>
    </w:p>
    <w:p>
      <w:pPr>
        <w:pStyle w:val="Heading1"/>
      </w:pPr>
      <w:r>
        <w:t>8. Delivery status</w:t>
      </w:r>
    </w:p>
    <w:p>
      <w:r>
        <w:t>Technical Assignment, this final Technical Specification, Russian User Guide, README, final screenshot manifest and screencast scenario are repository delivery artifacts. Final narrated screencast, visual review, license choice, commit/staging and GitHub publication remain owner actions. history/ is ignored development reporting and is not a delivery artifact.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