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VILEORUF CRM</w:t>
      </w:r>
    </w:p>
    <w:p>
      <w:pPr>
        <w:jc w:val="center"/>
      </w:pPr>
      <w:r>
        <w:rPr>
          <w:i/>
          <w:sz w:val="20"/>
        </w:rPr>
        <w:t>Практическое руководство пользователя · актуальная версия · 12 сентября 2026</w:t>
      </w:r>
    </w:p>
    <w:p>
      <w:r>
        <w:t>Руководство для ADMIN и MANAGER. Используйте только подтверждённые данные; AI recommendations advisory, а provider actions выполняйте только через предусмотренные controls.</w:t>
      </w:r>
    </w:p>
    <w:p>
      <w:pPr>
        <w:pStyle w:val="Heading1"/>
      </w:pPr>
      <w:r>
        <w:t>1. Вход и навигация</w:t>
      </w:r>
    </w:p>
    <w:p>
      <w:pPr>
        <w:pStyle w:val="ListBullet"/>
      </w:pPr>
      <w:r>
        <w:t>Войдите как сотрудник и проверьте отображаемые имя и роль. Выйдите на общем компьютере.</w:t>
      </w:r>
    </w:p>
    <w:p>
      <w:pPr>
        <w:pStyle w:val="ListBullet"/>
      </w:pPr>
      <w:r>
        <w:t>Основные разделы: Dashboard, Clients, Deals, Pipeline, Tasks, AI History, Inbox, Analytics.</w:t>
      </w:r>
    </w:p>
    <w:p>
      <w:pPr>
        <w:pStyle w:val="ListBullet"/>
      </w:pPr>
      <w:r>
        <w:t>Только ADMIN видит Business Settings, AI Settings, Integration Settings и отдельную страницу Employees.</w:t>
      </w:r>
    </w:p>
    <w:p>
      <w:pPr>
        <w:pStyle w:val="ListBullet"/>
      </w:pPr>
      <w:r>
        <w:t>Переключатель RU/EN/ES меняет интерфейс, но не права доступа.</w:t>
      </w:r>
    </w:p>
    <w:p>
      <w:pPr>
        <w:pStyle w:val="Heading1"/>
      </w:pPr>
      <w:r>
        <w:t>2. Public Request</w:t>
      </w:r>
    </w:p>
    <w:p>
      <w:pPr>
        <w:pStyle w:val="ListBullet"/>
      </w:pPr>
      <w:r>
        <w:t>Публичная форма предназначена для новой заявки без входа сотрудника. Укажите контактные данные, включая обязательный корректный Email, выберите услугу и подтвердите согласие на обработку персональных данных. После успешной отправки создаются CUSTOMER Client и неназначенная Deal в New Lead.</w:t>
      </w:r>
    </w:p>
    <w:p>
      <w:pPr>
        <w:pStyle w:val="Heading1"/>
      </w:pPr>
      <w:r>
        <w:t>3. Clients</w:t>
      </w:r>
    </w:p>
    <w:p>
      <w:pPr>
        <w:pStyle w:val="ListBullet"/>
      </w:pPr>
      <w:r>
        <w:t>На странице Clients переключайте Active/Archived; выбранное состояние явно отмечено.</w:t>
      </w:r>
    </w:p>
    <w:p>
      <w:pPr>
        <w:pStyle w:val="ListBullet"/>
      </w:pPr>
      <w:r>
        <w:t>Откройте карточку: редактируйте поля и используйте Save. ADMIN может Archive/Restore после подтверждения; это soft archive, история не удаляется.</w:t>
      </w:r>
    </w:p>
    <w:p>
      <w:pPr>
        <w:pStyle w:val="ListBullet"/>
      </w:pPr>
      <w:r>
        <w:t>Ниже расположены дочерние действия Communications, Email и Calendar. Email для Client сейчас недоступен: EmailDraft и Gmail send привязаны к Deal; не выбирайте произвольную сделку как обход.</w:t>
      </w:r>
    </w:p>
    <w:p>
      <w:pPr>
        <w:pStyle w:val="ListBullet"/>
      </w:pPr>
      <w:r>
        <w:t>В Communications сначала Add Communication и, при доступности, Send through Telegram; затем находится history. Не отправляйте Telegram без подтверждённой необходимости.</w:t>
      </w:r>
    </w:p>
    <w:p>
      <w:pPr>
        <w:pStyle w:val="ListBullet"/>
      </w:pPr>
      <w:r>
        <w:t>В Calendar Create event расположен до списка. Для синхронизированного события доступны Open in Google Calendar, Edit и Cancel; используйте точные время и timezone.</w:t>
      </w:r>
    </w:p>
    <w:p>
      <w:pPr>
        <w:pStyle w:val="Heading1"/>
      </w:pPr>
      <w:r>
        <w:t>4. Deals, Pipeline and AI</w:t>
      </w:r>
    </w:p>
    <w:p>
      <w:pPr>
        <w:pStyle w:val="ListBullet"/>
      </w:pPr>
      <w:r>
        <w:t>В Deals table Attractiveness — сохранённый Lead Scoring 0–100, Probability — сохранённый Deal Prediction 0–100%. «—» означает отсутствие пригодного успешного результата, не ноль.</w:t>
      </w:r>
    </w:p>
    <w:p>
      <w:pPr>
        <w:pStyle w:val="ListBullet"/>
      </w:pPr>
      <w:r>
        <w:t>В Deal Card operational actions находятся сверху; child actions: Public Request, Communications, Email, Calendar.</w:t>
      </w:r>
    </w:p>
    <w:p>
      <w:pPr>
        <w:pStyle w:val="ListBullet"/>
      </w:pPr>
      <w:r>
        <w:t>AI results advisory: проверяйте данные, signals/risks и outdated marker. Не запускайте AI только для заполнения таблицы.</w:t>
      </w:r>
    </w:p>
    <w:p>
      <w:pPr>
        <w:pStyle w:val="ListBullet"/>
      </w:pPr>
      <w:r>
        <w:t>Pipeline показывает сделки по стадиям. Перевод в Won — бизнес-событие, которое может повысить Client статус по CRM-правилу.</w:t>
      </w:r>
    </w:p>
    <w:p>
      <w:pPr>
        <w:pStyle w:val="Heading1"/>
      </w:pPr>
      <w:r>
        <w:t>5. Email drafts</w:t>
      </w:r>
    </w:p>
    <w:p>
      <w:pPr>
        <w:pStyle w:val="ListBullet"/>
      </w:pPr>
      <w:r>
        <w:t>В Deal → Email AI generation и Create manually разделены. AI generation не отправляет письмо.</w:t>
      </w:r>
    </w:p>
    <w:p>
      <w:pPr>
        <w:pStyle w:val="ListBullet"/>
      </w:pPr>
      <w:r>
        <w:t>Для saved editable draft используйте Copy, Send, Edit или Delete. Send требует явного подтверждения и корректного email Client.</w:t>
      </w:r>
    </w:p>
    <w:p>
      <w:pPr>
        <w:pStyle w:val="ListBullet"/>
      </w:pPr>
      <w:r>
        <w:t>После provider-confirmed send draft становится historical/read-only, но остаётся copyable.</w:t>
      </w:r>
    </w:p>
    <w:p>
      <w:pPr>
        <w:pStyle w:val="Heading1"/>
      </w:pPr>
      <w:r>
        <w:t>6. Tasks, Inbox and Analytics</w:t>
      </w:r>
    </w:p>
    <w:p>
      <w:pPr>
        <w:pStyle w:val="ListBullet"/>
      </w:pPr>
      <w:r>
        <w:t>Создавайте Tasks с фактическим следующим действием, сроком и доступным контекстом; завершайте после выполнения.</w:t>
      </w:r>
    </w:p>
    <w:p>
      <w:pPr>
        <w:pStyle w:val="ListBullet"/>
      </w:pPr>
      <w:r>
        <w:t>Inbox предназначен для безопасной обработки unmatched inbound. Связывание не создаёт Client/Deal автоматически; входящее отмечается прочитанным только явным действием.</w:t>
      </w:r>
    </w:p>
    <w:p>
      <w:pPr>
        <w:pStyle w:val="ListBullet"/>
      </w:pPr>
      <w:r>
        <w:t>Analytics показывает CRM operational metrics: Pipeline estimated value, Won estimated budget, conversion, stage breakdown и monthly Deal dynamics. Это не бухгалтерский доход и не revenue forecast.</w:t>
      </w:r>
    </w:p>
    <w:p>
      <w:pPr>
        <w:pStyle w:val="Heading1"/>
      </w:pPr>
      <w:r>
        <w:t>7. ADMIN: settings, employees and integrations</w:t>
      </w:r>
    </w:p>
    <w:p>
      <w:pPr>
        <w:pStyle w:val="ListBullet"/>
      </w:pPr>
      <w:r>
        <w:t>Business Settings: Categories/Services представлены компактными списками; create/edit открываются в modal. Не деактивируйте reference, нужный текущей операции, без проверки процесса.</w:t>
      </w:r>
    </w:p>
    <w:p>
      <w:pPr>
        <w:pStyle w:val="ListBullet"/>
      </w:pPr>
      <w:r>
        <w:t>Employees: отдельная ADMIN-only страница. Управляйте ролью/active state; не оставляйте систему без active ADMIN.</w:t>
      </w:r>
    </w:p>
    <w:p>
      <w:pPr>
        <w:pStyle w:val="ListBullet"/>
      </w:pPr>
      <w:r>
        <w:t>Integration Settings показывает безопасные статусы Gmail, Telegram и Google Calendar. WhatsApp Business Cloud API отложен. Не записывайте tokens в CRM text fields и не используйте личные/неутверждённые каналы.</w:t>
      </w:r>
    </w:p>
    <w:p>
      <w:pPr>
        <w:pStyle w:val="Heading1"/>
      </w:pPr>
      <w:r>
        <w:t>8. Ошибки и безопасная работа</w:t>
      </w:r>
    </w:p>
    <w:p>
      <w:pPr>
        <w:pStyle w:val="ListBullet"/>
      </w:pPr>
      <w:r>
        <w:t>При ошибке проверьте локализованное сообщение и Retry/подтверждение, если control его предлагает. Не повторяйте provider mutation многократно при uncertain outcome.</w:t>
      </w:r>
    </w:p>
    <w:p>
      <w:pPr>
        <w:pStyle w:val="ListBullet"/>
      </w:pPr>
      <w:r>
        <w:t>Передайте ADMIN время, объект и безопасный текст ошибки. ADMIN проверяет статус Integration Settings и при необходимости локальные logs через утверждённый runtime workflow.</w:t>
      </w:r>
    </w:p>
    <w:p>
      <w:pPr>
        <w:pStyle w:val="ListBullet"/>
      </w:pPr>
      <w:r>
        <w:t>Не показывайте и не передавайте passwords, tokens, OAuth data или provider IDs.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