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  <Override ContentType="application/vnd.openxmlformats-officedocument.wordprocessingml.footer+xml" PartName="/word/footer2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МИНИСТЕРСТВО НАУКИ И 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РОССИЙСКОЙ ФЕДЕРАЦИИ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ФЕДЕРАЛЬНОЕ ГОСУДАРСТВЕННОЕ АВТОНОМНОЕ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ОБРАЗОВАТЕЛЬНОЕ УЧРЕЖДЕНИЕ ВЫСШЕГО ОБРАЗОВАНИЯ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«РОССИЙСКИЙ ГОСУДАРСТВЕННЫЙ УНИВЕРСИТЕТ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НЕФТИ И ГАЗА (НАЦИОНАЛЬНЫЙ ИССЛЕДОВАТЕЛЬСКИЙ</w:t>
      </w:r>
    </w:p>
    <w:p>
      <w:pPr>
        <w:spacing w:after="24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УНИВЕРСИТЕТ) ИМЕНИ И.М. ГУБКИНА»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Факультет инженерной механики</w:t>
      </w:r>
    </w:p>
    <w:p>
      <w:pPr>
        <w:spacing w:after="14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Кафедра машин и оборудования нефтяной и газовой промышленности</w:t>
      </w:r>
    </w:p>
    <w:p>
      <w:pPr>
        <w:spacing w:after="2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«Гидромашины и компрессоры»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Домашнее задание №1</w:t>
      </w:r>
    </w:p>
    <w:p>
      <w:pPr>
        <w:spacing w:after="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sz w:val="28"/>
          <w:szCs w:val="28"/>
        </w:rPr>
        <w:t xml:space="preserve">«Пересчет характеристики центробежного насоса»</w:t>
      </w:r>
    </w:p>
    <w:p>
      <w:pPr>
        <w:spacing w:after="180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Вариант 7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Выполнил: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студент группы РТ-23-12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__________________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 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Проверил: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Шайхулов Р.М.</w:t>
      </w:r>
    </w:p>
    <w:p>
      <w:pPr>
        <w:spacing w:after="0" w:before="200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Москва, 2026</w:t>
      </w:r>
    </w:p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Содержание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Цель работы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Пересчет характеристики центробежного насоса при изменении частоты вращения вала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Пересчет характеристики центробежного насоса при изменении свойств перекачиваемой жидкости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Выводы</w:t>
      </w:r>
    </w:p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Цель работы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Знакомство с методикой пересчета гидравлической характеристики центробежного насоса и с тем, как на нее влияют изменение числа оборотов колеса и вязкость перекачиваемой жидкости.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Исходные данные по варианту 7: характеристика насоса 225(226)ЭЦНАКИ5-45(Тв) (рисунок 4.7 приложения), снятая на воде при n = 2910 об/мин. Новая частота вращения n = 2910 – 22·2·7 = 2602 об/мин, вязкость перекачиваемой жидкости ν = (10 + 1,5·7)·10⁻⁶ = 20,5·10⁻⁶ м²/с, плотность ρ = 1000 – 15·1,5·7 = 842,5 кг/м³.</w:t>
      </w:r>
    </w:p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1. Пересчет характеристики центробежного насоса при изменении частоты вращения вала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Исходными данными для пересчета являются зависимости H = f₁(Q), N = f₂(Q), η = f₃(Q) при ρ = 1000 кг/м³, n = 2910 об/мин, ν = 1·10⁻⁶ м²/с, снятые с графика характеристики насоса (рисунок 1).</w:t>
      </w:r>
    </w:p>
    <w:p>
      <w:pPr>
        <w:spacing w:after="60" w:before="120"/>
        <w:jc w:val="center"/>
      </w:pPr>
      <w:r>
        <w:drawing>
          <wp:inline distT="0" distB="0" distL="0" distR="0">
            <wp:extent cx="4476750" cy="30194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76750" cy="30194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1. Характеристика насоса 225(226)ЭЦНАКИ5-45(Тв)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графику составлена таблица «старой» характеристики (таблица 1). Точки взяты по всей кривой от нулевой подачи до максимальной, включая режим максимального КПД (Q = 46 м³/сут).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1</w:t>
      </w:r>
    </w:p>
    <w:tbl>
      <w:tblPr>
        <w:tblW w:type="dxa" w:w="93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70"/>
        <w:gridCol w:w="770"/>
        <w:gridCol w:w="770"/>
        <w:gridCol w:w="770"/>
        <w:gridCol w:w="770"/>
        <w:gridCol w:w="770"/>
        <w:gridCol w:w="770"/>
        <w:gridCol w:w="770"/>
        <w:gridCol w:w="770"/>
        <w:gridCol w:w="770"/>
      </w:tblGrid>
      <w:tr>
        <w:trPr>
          <w:cantSplit/>
        </w:trPr>
        <w:tc>
          <w:tcPr>
            <w:tcW w:type="dxa" w:w="9350"/>
            <w:gridSpan w:val="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= 2910 об/мин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Qс, м³/сут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84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Qс, м³/с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0,00000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0,00012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0,00023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0,00035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0,00046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0,00053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0,00064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0,00075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0,00087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0,00097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Hс, м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530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525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505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465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435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380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180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Nс, Вт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4450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5150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5450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6150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6800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7750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8900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10000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ηс, %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12,5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31,5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37,0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29,0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</w:tr>
    </w:tbl>
    <w:p>
      <w:pPr>
        <w:spacing w:after="0" w:before="16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Для каждой точки «старой» характеристики по формулам подобия рассчитаны параметры «новой» характеристики: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Q</m:t>
            </m:r>
          </m:e>
          <m:sub>
            <m:r>
              <m:t>н</m:t>
            </m:r>
          </m:sub>
        </m:sSub>
        <m:r>
          <m:t>=</m:t>
        </m:r>
        <m:sSub>
          <m:sSubPr/>
          <m:e>
            <m:r>
              <m:t>Q</m:t>
            </m:r>
          </m:e>
          <m:sub>
            <m:r>
              <m:t>с</m:t>
            </m:r>
          </m:sub>
        </m:sSub>
        <m:r>
          <m:t>∙</m:t>
        </m:r>
        <m:f>
          <m:num>
            <m:sSub>
              <m:sSubPr/>
              <m:e>
                <m:r>
                  <m:t>n</m:t>
                </m:r>
              </m:e>
              <m:sub>
                <m:r>
                  <m:t>н</m:t>
                </m:r>
              </m:sub>
            </m:sSub>
          </m:num>
          <m:den>
            <m:sSub>
              <m:sSubPr/>
              <m:e>
                <m:r>
                  <m:t>n</m:t>
                </m:r>
              </m:e>
              <m:sub>
                <m:r>
                  <m:t>с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(1)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H</m:t>
            </m:r>
          </m:e>
          <m:sub>
            <m:r>
              <m:t>н</m:t>
            </m:r>
          </m:sub>
        </m:sSub>
        <m:r>
          <m:t>=</m:t>
        </m:r>
        <m:sSub>
          <m:sSubPr/>
          <m:e>
            <m:r>
              <m:t>H</m:t>
            </m:r>
          </m:e>
          <m:sub>
            <m:r>
              <m:t>с</m:t>
            </m:r>
          </m:sub>
        </m:sSub>
        <m:r>
          <m:t>∙</m:t>
        </m:r>
        <m:sSup>
          <m:sSupPr/>
          <m:e>
            <m:r>
              <m:t>(</m:t>
            </m:r>
            <m:f>
              <m:num>
                <m:sSub>
                  <m:sSubPr/>
                  <m:e>
                    <m:r>
                      <m:t>n</m:t>
                    </m:r>
                  </m:e>
                  <m:sub>
                    <m:r>
                      <m:t>н</m:t>
                    </m:r>
                  </m:sub>
                </m:sSub>
              </m:num>
              <m:den>
                <m:sSub>
                  <m:sSubPr/>
                  <m:e>
                    <m:r>
                      <m:t>n</m:t>
                    </m:r>
                  </m:e>
                  <m:sub>
                    <m:r>
                      <m:t>с</m:t>
                    </m:r>
                  </m:sub>
                </m:sSub>
              </m:den>
            </m:f>
            <m:r>
              <m:t>)</m:t>
            </m:r>
          </m:e>
          <m:sup>
            <m:r>
              <m:t>2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(2)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N</m:t>
            </m:r>
          </m:e>
          <m:sub>
            <m:r>
              <m:t>н</m:t>
            </m:r>
          </m:sub>
        </m:sSub>
        <m:r>
          <m:t>=</m:t>
        </m:r>
        <m:sSub>
          <m:sSubPr/>
          <m:e>
            <m:r>
              <m:t>N</m:t>
            </m:r>
          </m:e>
          <m:sub>
            <m:r>
              <m:t>с</m:t>
            </m:r>
          </m:sub>
        </m:sSub>
        <m:r>
          <m:t>∙</m:t>
        </m:r>
        <m:f>
          <m:num>
            <m:sSub>
              <m:sSubPr/>
              <m:e>
                <m:r>
                  <m:t>ρ</m:t>
                </m:r>
              </m:e>
              <m:sub>
                <m:r>
                  <m:t>н</m:t>
                </m:r>
              </m:sub>
            </m:sSub>
          </m:num>
          <m:den>
            <m:sSub>
              <m:sSubPr/>
              <m:e>
                <m:r>
                  <m:t>ρ</m:t>
                </m:r>
              </m:e>
              <m:sub>
                <m:r>
                  <m:t>с</m:t>
                </m:r>
              </m:sub>
            </m:sSub>
          </m:den>
        </m:f>
        <m:r>
          <m:t>∙</m:t>
        </m:r>
        <m:sSup>
          <m:sSupPr/>
          <m:e>
            <m:r>
              <m:t>(</m:t>
            </m:r>
            <m:f>
              <m:num>
                <m:sSub>
                  <m:sSubPr/>
                  <m:e>
                    <m:r>
                      <m:t>n</m:t>
                    </m:r>
                  </m:e>
                  <m:sub>
                    <m:r>
                      <m:t>н</m:t>
                    </m:r>
                  </m:sub>
                </m:sSub>
              </m:num>
              <m:den>
                <m:sSub>
                  <m:sSubPr/>
                  <m:e>
                    <m:r>
                      <m:t>n</m:t>
                    </m:r>
                  </m:e>
                  <m:sub>
                    <m:r>
                      <m:t>с</m:t>
                    </m:r>
                  </m:sub>
                </m:sSub>
              </m:den>
            </m:f>
            <m:r>
              <m:t>)</m:t>
            </m:r>
          </m:e>
          <m:sup>
            <m:r>
              <m:t>3</m:t>
            </m:r>
          </m:sup>
        </m:sSup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(3)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Qс, Qн – подача насоса при заданной и новой частоте вращения, м³/с; Hс, Hн – напор, м; Nс, Nн – потребляемая мощность, Вт; nс, nн – заданная и новая частота вращения, об/мин; ρс, ρн – плотность жидкости, кг/м³. Насос в обоих случаях работает на воде, поэтому ρн/ρс = 1.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Полезная мощность и КПД насоса на новом режиме: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N</m:t>
            </m:r>
          </m:e>
          <m:sub>
            <m:r>
              <m:t>п</m:t>
            </m:r>
          </m:sub>
        </m:sSub>
        <m:r>
          <m:t>=</m:t>
        </m:r>
        <m:r>
          <m:t>ρ</m:t>
        </m:r>
        <m:r>
          <m:t>g</m:t>
        </m:r>
        <m:sSub>
          <m:sSubPr/>
          <m:e>
            <m:r>
              <m:t>H</m:t>
            </m:r>
          </m:e>
          <m:sub>
            <m:r>
              <m:t>н</m:t>
            </m:r>
          </m:sub>
        </m:sSub>
        <m:sSub>
          <m:sSubPr/>
          <m:e>
            <m:r>
              <m:t>Q</m:t>
            </m:r>
          </m:e>
          <m:sub>
            <m:r>
              <m:t>н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(4)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η</m:t>
            </m:r>
          </m:e>
          <m:sub>
            <m:r>
              <m:t>н</m:t>
            </m:r>
          </m:sub>
        </m:sSub>
        <m:r>
          <m:t>=</m:t>
        </m:r>
        <m:f>
          <m:num>
            <m:sSub>
              <m:sSubPr/>
              <m:e>
                <m:r>
                  <m:t>N</m:t>
                </m:r>
              </m:e>
              <m:sub>
                <m:r>
                  <m:t>п</m:t>
                </m:r>
              </m:sub>
            </m:sSub>
          </m:num>
          <m:den>
            <m:sSub>
              <m:sSubPr/>
              <m:e>
                <m:r>
                  <m:t>N</m:t>
                </m:r>
              </m:e>
              <m:sub>
                <m:r>
                  <m:t>н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(5)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Отношение частот nн/nс = 2602/2910 = 0,8942. Результаты расчета приведены в таблице 2.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2</w:t>
      </w:r>
    </w:p>
    <w:tbl>
      <w:tblPr>
        <w:tblW w:type="dxa" w:w="935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650"/>
        <w:gridCol w:w="770"/>
        <w:gridCol w:w="770"/>
        <w:gridCol w:w="770"/>
        <w:gridCol w:w="770"/>
        <w:gridCol w:w="770"/>
        <w:gridCol w:w="770"/>
        <w:gridCol w:w="770"/>
        <w:gridCol w:w="770"/>
        <w:gridCol w:w="770"/>
        <w:gridCol w:w="770"/>
      </w:tblGrid>
      <w:tr>
        <w:trPr>
          <w:cantSplit/>
        </w:trPr>
        <w:tc>
          <w:tcPr>
            <w:tcW w:type="dxa" w:w="9350"/>
            <w:gridSpan w:val="11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 = 2602 об/мин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Qн, м³/сут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8,9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17,9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26,8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35,8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41,1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49,2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58,1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67,1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75,1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Qн, м³/с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0,00000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0,00010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0,00021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0,00031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0,00041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0,00048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0,00057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0,00067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0,00078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0,00087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Hн, м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420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404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372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348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304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240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144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Nн, Вт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3181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3467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3682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3896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4182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4397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4861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5540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6363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7149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Nп, Вт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430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852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1230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1510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1624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1696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1583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1096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</w:t>
            </w:r>
          </w:p>
        </w:tc>
      </w:tr>
      <w:tr>
        <w:trPr>
          <w:cantSplit/>
        </w:trPr>
        <w:tc>
          <w:tcPr>
            <w:tcW w:type="dxa" w:w="165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ηн, %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12,4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23,1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31,6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36,1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36,9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34,9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28,6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17,2</w:t>
            </w:r>
          </w:p>
        </w:tc>
        <w:tc>
          <w:tcPr>
            <w:tcW w:type="dxa" w:w="77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0"/>
                <w:szCs w:val="20"/>
              </w:rPr>
              <w:t xml:space="preserve">0,0</w:t>
            </w:r>
          </w:p>
        </w:tc>
      </w:tr>
    </w:tbl>
    <w:p>
      <w:pPr>
        <w:spacing w:after="0" w:before="16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пересчета в одной системе координат построены характеристики насоса на «старом» и «новом» режимах (рисунок 2).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5336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5336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2. Характеристики насоса при n = 2910 и n = 2602 об/мин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уменьшении частоты вращения с 2910 до 2602 об/мин подача насоса уменьшается пропорционально числу оборотов, напор пропорционально квадрату, а потребляемая мощность пропорционально кубу числа оборотов. Напор при нулевой подаче снизился с 530 до 424 м, максимальная подача с 84 до 75 м³/сут. Максимальный КПД остался практически прежним (около 37 %), а оптимальный режим сместился в сторону меньших подач, с 46 до 41 м³/сут.</w:t>
      </w:r>
    </w:p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2. Пересчет характеристики центробежного насоса при изменении свойств перекачиваемой жидкости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Исходными данными являются те же зависимости H = f₁(Q), N = f₂(Q), η = f₃(Q) насоса при работе на воде (рисунок 1). Оптимальная подача на воде Q₀ = 46 м³/сут, при ней КПД максимален и равен 37 %. Для пересчета выбрано пять режимов: 0,6Q₀; 0,8Q₀; Q₀; 1,2Q₀ и 1,4Q₀. Все они лежат в рабочей части характеристики (15–70 м³/сут). Данные приведены в таблице 3.</w:t>
      </w:r>
    </w:p>
    <w:p>
      <w:pPr>
        <w:spacing w:before="0"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3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400"/>
        <w:gridCol w:w="1400"/>
        <w:gridCol w:w="1400"/>
        <w:gridCol w:w="1400"/>
      </w:tblGrid>
      <w:tr>
        <w:trPr>
          <w:cantSplit/>
        </w:trPr>
        <w:tc>
          <w:tcPr>
            <w:tcW w:type="dxa" w:w="93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ν = 1·10⁻⁶ м²/с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Qв, м³/сут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27,6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36,8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46,0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55,2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64,4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Qв, м³/с·10⁻³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0,319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0,426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0,532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0,639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0,745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Hв,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510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480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435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310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Nв, кВт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5,40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5,75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6,15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6,80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7,70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ηв, %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29,5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35,0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37,0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35,0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 w:val="false"/>
              <w:keepLines w:val="false"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29,5</w:t>
            </w:r>
          </w:p>
        </w:tc>
      </w:tr>
    </w:tbl>
    <w:p>
      <w:pPr>
        <w:spacing w:after="0" w:before="16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Пересчет характеристики с воды на более вязкую жидкость выполняется с помощью опытных пересчетных коэффициентов: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Q</m:t>
            </m:r>
          </m:e>
          <m:sub>
            <m:r>
              <m:t>ν</m:t>
            </m:r>
          </m:sub>
        </m:sSub>
        <m:r>
          <m:t>=</m:t>
        </m:r>
        <m:sSub>
          <m:sSubPr/>
          <m:e>
            <m:r>
              <m:t>K</m:t>
            </m:r>
          </m:e>
          <m:sub>
            <m:r>
              <m:t>Q</m:t>
            </m:r>
          </m:sub>
        </m:sSub>
        <m:sSub>
          <m:sSubPr/>
          <m:e>
            <m:r>
              <m:t>Q</m:t>
            </m:r>
          </m:e>
          <m:sub>
            <m:r>
              <m:t>в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(6)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H</m:t>
            </m:r>
          </m:e>
          <m:sub>
            <m:r>
              <m:t>ν</m:t>
            </m:r>
          </m:sub>
        </m:sSub>
        <m:r>
          <m:t>=</m:t>
        </m:r>
        <m:sSub>
          <m:sSubPr/>
          <m:e>
            <m:r>
              <m:t>K</m:t>
            </m:r>
          </m:e>
          <m:sub>
            <m:r>
              <m:t>H</m:t>
            </m:r>
          </m:sub>
        </m:sSub>
        <m:sSub>
          <m:sSubPr/>
          <m:e>
            <m:r>
              <m:t>H</m:t>
            </m:r>
          </m:e>
          <m:sub>
            <m:r>
              <m:t>в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(7)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η</m:t>
            </m:r>
          </m:e>
          <m:sub>
            <m:r>
              <m:t>ν</m:t>
            </m:r>
          </m:sub>
        </m:sSub>
        <m:r>
          <m:t>=</m:t>
        </m:r>
        <m:sSub>
          <m:sSubPr/>
          <m:e>
            <m:r>
              <m:t>K</m:t>
            </m:r>
          </m:e>
          <m:sub>
            <m:r>
              <m:t>η</m:t>
            </m:r>
          </m:sub>
        </m:sSub>
        <m:sSub>
          <m:sSubPr/>
          <m:e>
            <m:r>
              <m:t>η</m:t>
            </m:r>
          </m:e>
          <m:sub>
            <m:r>
              <m:t>в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(8)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Qν, Hν, ην – подача, напор и КПД насоса при работе на вязкой жидкости; Qв, Hв, ηв – подача, напор и КПД насоса при работе на воде; KQ, KH, Kη – пересчетные коэффициенты.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Коэффициенты определяются по графику П.Д. Ляпкова (рисунок 3) в зависимости от числа Рейнольдса: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w:r>
        <w:rPr>
          <w:rFonts w:ascii="Times New Roman" w:cs="Times New Roman" w:eastAsia="Times New Roman" w:hAnsi="Times New Roman"/>
          <w:i/>
          <w:iCs/>
          <w:sz w:val="28"/>
          <w:szCs w:val="28"/>
        </w:rPr>
        <w:t xml:space="preserve">Re = </w:t>
      </w:r>
      <m:oMath>
        <m:f>
          <m:num>
            <m:rad>
              <m:radPr/>
              <m:deg>
                <m:r>
                  <m:t>3</m:t>
                </m:r>
              </m:deg>
              <m:e>
                <m:sSup>
                  <m:sSupPr/>
                  <m:e>
                    <m:sSub>
                      <m:sSubPr/>
                      <m:e>
                        <m:r>
                          <m:t>Q</m:t>
                        </m:r>
                      </m:e>
                      <m:sub>
                        <m:r>
                          <m:t>ов</m:t>
                        </m:r>
                      </m:sub>
                    </m:sSub>
                  </m:e>
                  <m:sup>
                    <m:r>
                      <m:t>2</m:t>
                    </m:r>
                  </m:sup>
                </m:sSup>
                <m:r>
                  <m:t>∙</m:t>
                </m:r>
                <m:r>
                  <m:t>n</m:t>
                </m:r>
              </m:e>
            </m:rad>
          </m:num>
          <m:den>
            <m:r>
              <m:t>ν</m:t>
            </m:r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(9)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Qов – подача насоса в оптимальном режиме при работе на воде, м³/с; n – частота вращения, об/мин; ν – кинематическая вязкость перекачиваемой жидкости, м²/с.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Qов = 46 м³/сут = 5,32·10⁻⁴ м³/с, тогда Re = ∛((5,32·10⁻⁴)²·2910) / (20,5·10⁻⁶) ≈ 4575.</w:t>
      </w:r>
    </w:p>
    <w:p>
      <w:pPr>
        <w:spacing w:after="60" w:before="120"/>
        <w:jc w:val="center"/>
      </w:pPr>
      <w:r>
        <w:drawing>
          <wp:inline distT="0" distB="0" distL="0" distR="0">
            <wp:extent cx="2857500" cy="351472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857500" cy="351472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3. Коэффициенты пересчета характеристик центробежных насосов (по П.Д. Ляпкову)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графику при Re ≈ 4575 получено KQ = 0,84, Kη = 0,53. Коэффициент KH определен для каждого режима по своей кривой: 0,94; 0,92; 0,90; 0,87; 0,83.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Полезная мощность насоса на вязкой жидкости: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N</m:t>
            </m:r>
          </m:e>
          <m:sub>
            <m:r>
              <m:t>пν</m:t>
            </m:r>
          </m:sub>
        </m:sSub>
        <m:r>
          <m:t>=</m:t>
        </m:r>
        <m:r>
          <m:t>ρ</m:t>
        </m:r>
        <m:r>
          <m:t>g</m:t>
        </m:r>
        <m:sSub>
          <m:sSubPr/>
          <m:e>
            <m:r>
              <m:t>H</m:t>
            </m:r>
          </m:e>
          <m:sub>
            <m:r>
              <m:t>ν</m:t>
            </m:r>
          </m:sub>
        </m:sSub>
        <m:sSub>
          <m:sSubPr/>
          <m:e>
            <m:r>
              <m:t>Q</m:t>
            </m:r>
          </m:e>
          <m:sub>
            <m:r>
              <m:t>ν</m:t>
            </m:r>
          </m:sub>
        </m:sSub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(10)</w:t>
      </w:r>
    </w:p>
    <w:p>
      <w:pPr>
        <w:spacing w:after="0" w:before="0" w:line="360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где ρ = 842,5 кг/м³ – плотность перекачиваемой жидкости. Потребляемая мощность:</w:t>
      </w:r>
    </w:p>
    <w:p>
      <w:pPr>
        <w:tabs>
          <w:tab w:val="center" w:pos="4677"/>
          <w:tab w:val="right" w:pos="9355"/>
        </w:tabs>
        <w:spacing w:after="120" w:before="120"/>
        <w:jc w:val="lef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	</w:t>
      </w:r>
      <m:oMath>
        <m:sSub>
          <m:sSubPr/>
          <m:e>
            <m:r>
              <m:t>N</m:t>
            </m:r>
          </m:e>
          <m:sub>
            <m:r>
              <m:t>ν</m:t>
            </m:r>
          </m:sub>
        </m:sSub>
        <m:r>
          <m:t>=</m:t>
        </m:r>
        <m:f>
          <m:num>
            <m:sSub>
              <m:sSubPr/>
              <m:e>
                <m:r>
                  <m:t>N</m:t>
                </m:r>
              </m:e>
              <m:sub>
                <m:r>
                  <m:t>пν</m:t>
                </m:r>
              </m:sub>
            </m:sSub>
          </m:num>
          <m:den>
            <m:sSub>
              <m:sSubPr/>
              <m:e>
                <m:r>
                  <m:t>η</m:t>
                </m:r>
              </m:e>
              <m:sub>
                <m:r>
                  <m:t>ν</m:t>
                </m:r>
              </m:sub>
            </m:sSub>
          </m:den>
        </m:f>
      </m:oMath>
      <w:r>
        <w:rPr>
          <w:rFonts w:ascii="Times New Roman" w:cs="Times New Roman" w:eastAsia="Times New Roman" w:hAnsi="Times New Roman"/>
          <w:sz w:val="28"/>
          <w:szCs w:val="28"/>
        </w:rPr>
        <w:t xml:space="preserve">	(11)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Результаты пересчета приведены в таблице 4.</w:t>
      </w:r>
    </w:p>
    <w:p>
      <w:pPr>
        <w:keepNext/>
        <w:spacing w:line="360"/>
        <w:jc w:val="right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Таблица 4</w:t>
      </w:r>
    </w:p>
    <w:tbl>
      <w:tblPr>
        <w:tblW w:type="dxa" w:w="9300"/>
        <w:jc w:val="center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300"/>
        <w:gridCol w:w="1400"/>
        <w:gridCol w:w="1400"/>
        <w:gridCol w:w="1400"/>
        <w:gridCol w:w="1400"/>
        <w:gridCol w:w="1400"/>
      </w:tblGrid>
      <w:tr>
        <w:trPr>
          <w:cantSplit/>
        </w:trPr>
        <w:tc>
          <w:tcPr>
            <w:tcW w:type="dxa" w:w="93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Пересчетные параметры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Re</w:t>
            </w:r>
          </w:p>
        </w:tc>
        <w:tc>
          <w:tcPr>
            <w:tcW w:type="dxa" w:w="70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4575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KQ</w:t>
            </w:r>
          </w:p>
        </w:tc>
        <w:tc>
          <w:tcPr>
            <w:tcW w:type="dxa" w:w="70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0,84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KH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0,90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0,83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Kη</w:t>
            </w:r>
          </w:p>
        </w:tc>
        <w:tc>
          <w:tcPr>
            <w:tcW w:type="dxa" w:w="7000"/>
            <w:gridSpan w:val="5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0,53</w:t>
            </w:r>
          </w:p>
        </w:tc>
      </w:tr>
      <w:tr>
        <w:trPr>
          <w:cantSplit/>
        </w:trPr>
        <w:tc>
          <w:tcPr>
            <w:tcW w:type="dxa" w:w="9300"/>
            <w:gridSpan w:val="6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ν = 20,5·10⁻⁶ м²/с, ρ = 842,5 кг/м³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Qν, м³/сут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23,2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30,9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38,6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46,4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54,1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Qν, м³/с·10⁻³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0,268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0,358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0,447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0,537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0,626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Hν, м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479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442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392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331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257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Nпν, кВт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1,06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1,45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1,47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1,33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Nν, кВт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6,80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7,04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7,38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7,91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8,52</w:t>
            </w:r>
          </w:p>
        </w:tc>
      </w:tr>
      <w:tr>
        <w:trPr>
          <w:cantSplit/>
        </w:trPr>
        <w:tc>
          <w:tcPr>
            <w:tcW w:type="dxa" w:w="23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ην, %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19,6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18,6</w:t>
            </w:r>
          </w:p>
        </w:tc>
        <w:tc>
          <w:tcPr>
            <w:tcW w:type="dxa" w:w="1400"/>
            <w:tcBorders>
              <w:top w:val="single" w:color="000000" w:sz="4"/>
              <w:left w:val="single" w:color="000000" w:sz="4"/>
              <w:bottom w:val="single" w:color="000000" w:sz="4"/>
              <w:right w:val="single" w:color="000000" w:sz="4"/>
            </w:tcBorders>
            <w:tcMar>
              <w:top w:type="dxa" w:w="30"/>
              <w:left w:type="dxa" w:w="40"/>
              <w:bottom w:type="dxa" w:w="30"/>
              <w:right w:type="dxa" w:w="40"/>
            </w:tcMar>
            <w:vAlign w:val="center"/>
          </w:tcPr>
          <w:p>
            <w:pPr>
              <w:keepNext/>
              <w:keepLines/>
              <w:jc w:val="center"/>
            </w:pPr>
            <w:r>
              <w:rPr>
                <w:rFonts w:ascii="Times New Roman" w:cs="Times New Roman" w:eastAsia="Times New Roman" w:hAnsi="Times New Roman"/>
                <w:sz w:val="22"/>
                <w:szCs w:val="22"/>
              </w:rPr>
              <w:t xml:space="preserve">15,6</w:t>
            </w:r>
          </w:p>
        </w:tc>
      </w:tr>
    </w:tbl>
    <w:p>
      <w:pPr>
        <w:spacing w:after="0" w:before="16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По результатам пересчета построены характеристики насоса при работе на воде и на вязкой жидкости (рисунок 4).</w:t>
      </w:r>
    </w:p>
    <w:p>
      <w:pPr>
        <w:spacing w:after="60" w:before="120"/>
        <w:jc w:val="center"/>
      </w:pPr>
      <w:r>
        <w:drawing>
          <wp:inline distT="0" distB="0" distL="0" distR="0">
            <wp:extent cx="5334000" cy="2609850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2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6098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spacing w:after="120" w:before="0" w:line="360"/>
        <w:jc w:val="center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Рисунок 4. Характеристики насоса на воде и на вязкой жидкости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При перекачке жидкости с вязкостью 20,5·10⁻⁶ м²/с подача насоса уменьшается на 16 %, напор снижается на 6–17 %, причем сильнее на больших подачах, поэтому кривая H(Q) становится круче. КПД в оптимальном режиме падает почти в два раза, с 37 до 19,6 %. Потребляемая мощность при этом растет: в оптимальном режиме с 6,15 до 7,38 кВт, то есть примерно на 20 %.</w:t>
      </w:r>
    </w:p>
    <w:p>
      <w:r>
        <w:br w:type="page"/>
      </w:r>
    </w:p>
    <w:p>
      <w:pPr>
        <w:pStyle w:val="Heading1"/>
        <w:spacing w:after="240" w:before="0" w:line="360"/>
        <w:jc w:val="center"/>
      </w:pPr>
      <w:r>
        <w:rPr>
          <w:rFonts w:ascii="Times New Roman" w:cs="Times New Roman" w:eastAsia="Times New Roman" w:hAnsi="Times New Roman"/>
          <w:b/>
          <w:bCs/>
          <w:color w:val="000000"/>
          <w:sz w:val="28"/>
          <w:szCs w:val="28"/>
        </w:rPr>
        <w:t xml:space="preserve">Выводы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1. Пересчет по формулам подобия показал, что при уменьшении частоты вращения вала подача насоса уменьшается пропорционально числу оборотов, напор пропорционально его квадрату, а мощность пропорционально кубу. Максимальный КПД при этом почти не меняется, поэтому изменение частоты вращения является экономичным способом регулирования работы насоса.</w:t>
      </w:r>
    </w:p>
    <w:p>
      <w:pPr>
        <w:spacing w:after="0" w:before="0" w:line="360"/>
        <w:ind w:firstLine="709"/>
        <w:jc w:val="both"/>
      </w:pPr>
      <w:r>
        <w:rPr>
          <w:rFonts w:ascii="Times New Roman" w:cs="Times New Roman" w:eastAsia="Times New Roman" w:hAnsi="Times New Roman"/>
          <w:sz w:val="28"/>
          <w:szCs w:val="28"/>
        </w:rPr>
        <w:t xml:space="preserve">2. С увеличением вязкости перекачиваемой жидкости характеристика насоса ухудшается. Подача и напор уменьшаются, КПД заметно падает, а потребляемая мощность растет. Это нужно учитывать при подборе насоса и двигателя для перекачки вязкой нефти.</w:t>
      </w:r>
    </w:p>
    <w:sectPr>
      <w:footerReference w:type="default" r:id="rId7"/>
      <w:footerReference w:type="first" r:id="rId8"/>
      <w:pgSz w:w="11906" w:h="16838" w:orient="portrait"/>
      <w:pgMar w:top="1134" w:right="850" w:bottom="1134" w:left="1701" w:header="708" w:footer="708" w:gutter="0"/>
      <w:pgNumType/>
      <w:titlePg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rFonts w:ascii="Times New Roman" w:cs="Times New Roman" w:eastAsia="Times New Roman" w:hAnsi="Times New Roman"/>
        <w:sz w:val="24"/>
        <w:szCs w:val="24"/>
      </w:rPr>
      <w:fldChar w:fldCharType="begin"/>
      <w:instrText xml:space="preserve">PAGE</w:instrText>
      <w:fldChar w:fldCharType="separate"/>
      <w:fldChar w:fldCharType="end"/>
    </w:r>
  </w:p>
</w:ftr>
</file>

<file path=word/footer2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/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8"/>
        <w:szCs w:val="28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oter" Target="footer2.xml"/><Relationship Id="rId9" Type="http://schemas.openxmlformats.org/officeDocument/2006/relationships/image" Target="media/ab3bd324bfe28bcc3b41e517bf8f8b60c7e6eba9.png"/><Relationship Id="rId10" Type="http://schemas.openxmlformats.org/officeDocument/2006/relationships/image" Target="media/cc8c68dae5f2da017133e1dae28e54202d05a636.png"/><Relationship Id="rId11" Type="http://schemas.openxmlformats.org/officeDocument/2006/relationships/image" Target="media/2fe7d833e169b02a77f2f30050338cad145bbc1f.png"/><Relationship Id="rId12" Type="http://schemas.openxmlformats.org/officeDocument/2006/relationships/image" Target="media/778f467f5fb229179c787581e84361a0e1d5d941.png"/><Relationship Id="rId13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er2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2026-10-13T18:56:20.547Z</dcterms:created>
  <dcterms:modified xsi:type="dcterms:W3CDTF">2026-10-13T18:56:20.547Z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