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Титул"/>
      </w:pPr>
      <w:r>
        <w:t xml:space="preserve">МИНИСТЕРСТВО НАУКИ И ВЫСШЕГО ОБРАЗОВАНИЯ РОССИЙСКОЙ ФЕДЕРАЦИИ</w:t>
      </w:r>
    </w:p>
    <w:p>
      <w:pPr>
        <w:pStyle w:val="Титул"/>
      </w:pPr>
      <w:r>
        <w:t xml:space="preserve">РОССИЙСКИЙ ГОСУДАРСТВЕННЫЙ УНИВЕРСИТЕТ НЕФТИ И ГАЗА</w:t>
      </w:r>
      <w:r>
        <w:t xml:space="preserve"> </w:t>
      </w:r>
      <w:r>
        <w:t xml:space="preserve">(НАЦИОНАЛЬНЫЙ ИССЛЕДОВАТЕЛЬСКИЙ УНИВЕРСИТЕТ)</w:t>
      </w:r>
      <w:r>
        <w:t xml:space="preserve"> </w:t>
      </w:r>
      <w:r>
        <w:t xml:space="preserve">ИМЕНИ И.М. ГУБКИНА</w:t>
      </w:r>
    </w:p>
    <w:p>
      <w:pPr>
        <w:pStyle w:val="Титул"/>
      </w:pPr>
      <w:r>
        <w:t xml:space="preserve">Кафедра бурения нефтяных и газовых скважин</w:t>
      </w:r>
    </w:p>
    <w:p>
      <w:pPr>
        <w:pStyle w:val="ТитулОтступ"/>
      </w:pPr>
      <w:r>
        <w:t xml:space="preserve"> </w:t>
      </w:r>
    </w:p>
    <w:p>
      <w:pPr>
        <w:pStyle w:val="ТитулЗаголовок"/>
      </w:pPr>
      <w:r>
        <w:t xml:space="preserve">ДОМАШНЕЕ ЗАДАНИЕ № 1</w:t>
      </w:r>
    </w:p>
    <w:p>
      <w:pPr>
        <w:pStyle w:val="Титул"/>
      </w:pPr>
      <w:r>
        <w:t xml:space="preserve">по дисциплине «Технология бурения скважин»</w:t>
      </w:r>
    </w:p>
    <w:p>
      <w:pPr>
        <w:pStyle w:val="Титул"/>
      </w:pPr>
      <w:r>
        <w:t xml:space="preserve">Тема: «Проектирование конструкции скважины»</w:t>
      </w:r>
    </w:p>
    <w:p>
      <w:pPr>
        <w:pStyle w:val="Титул"/>
      </w:pPr>
      <w:r>
        <w:t xml:space="preserve">Вариант № 17</w:t>
      </w:r>
    </w:p>
    <w:p>
      <w:pPr>
        <w:pStyle w:val="ТитулОтступ"/>
      </w:pPr>
      <w:r>
        <w:t xml:space="preserve"> </w:t>
      </w:r>
    </w:p>
    <w:p>
      <w:pPr>
        <w:pStyle w:val="ТитулПодписи"/>
      </w:pPr>
      <w:r>
        <w:t xml:space="preserve">Выполнил: студент группы РТ‑23‑12</w:t>
      </w:r>
    </w:p>
    <w:p>
      <w:pPr>
        <w:pStyle w:val="ТитулПодписи"/>
      </w:pPr>
      <w:r>
        <w:rPr>
          <w:highlight w:val="yellow"/>
        </w:rPr>
        <w:t>Фамилия И.О.</w:t>
      </w:r>
    </w:p>
    <w:p>
      <w:pPr>
        <w:pStyle w:val="ТитулПодписи"/>
      </w:pPr>
      <w:r>
        <w:t xml:space="preserve"> </w:t>
      </w:r>
    </w:p>
    <w:p>
      <w:pPr>
        <w:pStyle w:val="ТитулПодписи"/>
      </w:pPr>
      <w:r>
        <w:t xml:space="preserve">Преподаватель: доцент, к.т.н.</w:t>
      </w:r>
    </w:p>
    <w:p>
      <w:pPr>
        <w:pStyle w:val="ТитулПодписи"/>
      </w:pPr>
      <w:r>
        <w:t xml:space="preserve">Балицкий В.П.</w:t>
      </w:r>
    </w:p>
    <w:p>
      <w:pPr>
        <w:pStyle w:val="ТитулОтступ"/>
      </w:pPr>
      <w:r>
        <w:t xml:space="preserve"> </w:t>
      </w:r>
    </w:p>
    <w:p>
      <w:pPr>
        <w:pStyle w:val="Титул"/>
      </w:pPr>
      <w:r>
        <w:t xml:space="preserve">Москва 2026</w:t>
      </w:r>
    </w:p>
    <w:p>
      <w:r>
        <w:br w:type="page"/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работе по заданным геологическим условиям проектируется конструкция нефтяной скважины глубиной 2100 м: определяются число и глубины спуска обсадных колонн, интервалы их цементирования, диаметры колонн и долот; результат сравнивается с подбором диаметров по зарубежной методике. Расчёты выполнены в Excel (прилагаемый файл).</w:t>
      </w:r>
    </w:p>
    <w:bookmarkEnd w:id="20"/>
    <w:bookmarkStart w:id="23" w:name="исходные-данные-и-индексы-давлений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Исходные данные и индексы давлений</w:t>
      </w:r>
    </w:p>
    <w:bookmarkStart w:id="21" w:name="исходные-данные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Исходные данные</w:t>
      </w:r>
    </w:p>
    <w:p>
      <w:pPr>
        <w:pStyle w:val="FirstParagraph"/>
      </w:pPr>
      <w:r>
        <w:t xml:space="preserve">Назначение скважины — нефтяная; глубина — 2100 м; диаметр эксплуатационной колонны — 114,3 мм. В интервале 0–250 м залегают неустойчивые породы, склонные к поглощениям. Разрез и давления — в таблице 1; давления отнесены к подошве интервала.</w:t>
      </w:r>
    </w:p>
    <w:p>
      <w:pPr>
        <w:pStyle w:val="ПодписьТаблицы"/>
      </w:pPr>
      <w:r>
        <w:t xml:space="preserve">Таблица 1 – Горные породы и пластовые давления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Порода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Пластовое давление, МПа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Давление поглощения, МПа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алевролит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0–800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9,6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глина голубая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800–1000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8,8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12,5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песчаник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1000–1900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23,8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28,5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известняк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1900–2100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30,5</w:t>
            </w:r>
          </w:p>
        </w:tc>
      </w:tr>
    </w:tbl>
    <w:bookmarkEnd w:id="21"/>
    <w:bookmarkStart w:id="22" w:name="расчёт-индексов-давлений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Расчёт индексов давлений</w:t>
      </w:r>
    </w:p>
    <w:p>
      <w:pPr>
        <w:pStyle w:val="FirstParagraph"/>
      </w:pPr>
      <w:r>
        <w:t xml:space="preserve">Индекс пластового давления (коэффициент аномальности) и индекс давления поглощения: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  <m:r>
              <m:t>R</m:t>
            </m:r>
          </m:sub>
        </m:sSub>
      </m:oMath>
      <w:r>
        <w:t xml:space="preserve"> </w:t>
      </w:r>
      <w:r>
        <w:t xml:space="preserve">— пластовое давление и давление поглощения, Па;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кг/м³ — плотность воды;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nor/>
          </m:rPr>
          <m:t>9,81</m:t>
        </m:r>
      </m:oMath>
      <w:r>
        <w:t xml:space="preserve"> </w:t>
      </w:r>
      <w:r>
        <w:t xml:space="preserve">м/с²;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— глубина, м.</w:t>
      </w:r>
    </w:p>
    <w:p>
      <w:pPr>
        <w:pStyle w:val="BodyText"/>
      </w:pPr>
      <w:r>
        <w:t xml:space="preserve">Относительная плотность бурового раствора по Правилам безопасности [4, п. 2.7.3.3]: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— коэффициент безопасности, равный 1,1 в интервале 0–1200 м и 1,05 ниже 1200 м (превышение гидростатического давления над пластовым не менее 10 и 5 % соответственно).</w:t>
      </w:r>
    </w:p>
    <w:p>
      <w:pPr>
        <w:pStyle w:val="BodyText"/>
      </w:pPr>
      <w:r>
        <w:t xml:space="preserve">Например, для известняка (1900–2100 м):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27,3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1000</m:t>
              </m:r>
              <m:r>
                <m:rPr>
                  <m:sty m:val="p"/>
                </m:rPr>
                <m:t>⋅</m:t>
              </m:r>
              <m:r>
                <m:rPr>
                  <m:nor/>
                </m:rPr>
                <m:t>9,81</m:t>
              </m:r>
              <m:r>
                <m:rPr>
                  <m:sty m:val="p"/>
                </m:rPr>
                <m:t>⋅</m:t>
              </m:r>
              <m:r>
                <m:t>2100</m:t>
              </m:r>
            </m:den>
          </m:f>
          <m:r>
            <m:rPr>
              <m:sty m:val="p"/>
            </m:rPr>
            <m:t>=</m:t>
          </m:r>
          <m:r>
            <m:rPr>
              <m:nor/>
            </m:rPr>
            <m:t>1,325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30,5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1000</m:t>
              </m:r>
              <m:r>
                <m:rPr>
                  <m:sty m:val="p"/>
                </m:rPr>
                <m:t>⋅</m:t>
              </m:r>
              <m:r>
                <m:rPr>
                  <m:nor/>
                </m:rPr>
                <m:t>9,81</m:t>
              </m:r>
              <m:r>
                <m:rPr>
                  <m:sty m:val="p"/>
                </m:rPr>
                <m:t>⋅</m:t>
              </m:r>
              <m:r>
                <m:t>2100</m:t>
              </m:r>
            </m:den>
          </m:f>
          <m:r>
            <m:rPr>
              <m:sty m:val="p"/>
            </m:rPr>
            <m:t>=</m:t>
          </m:r>
          <m:r>
            <m:rPr>
              <m:nor/>
            </m:rPr>
            <m:t>1,481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nor/>
            </m:rPr>
            <m:t>1,05</m:t>
          </m:r>
          <m:r>
            <m:rPr>
              <m:sty m:val="p"/>
            </m:rPr>
            <m:t>⋅</m:t>
          </m:r>
          <m:r>
            <m:rPr>
              <m:nor/>
            </m:rPr>
            <m:t>1,325</m:t>
          </m:r>
          <m:r>
            <m:rPr>
              <m:sty m:val="p"/>
            </m:rPr>
            <m:t>=</m:t>
          </m:r>
          <m:r>
            <m:rPr>
              <m:nor/>
            </m:rPr>
            <m:t>1,391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Песчаник (1000–1900 м) пересекает глубину 1200 м, поэтому разбит на участки 1000–1200 и 1200–1900 м с разными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</m:sub>
        </m:sSub>
      </m:oMath>
      <w:r>
        <w:t xml:space="preserve">. Результаты — в таблице 2 (плотность раствора</w:t>
      </w:r>
      <w: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b>
          <m:e>
            <m:r>
              <m:t>ρ</m:t>
            </m:r>
          </m:e>
          <m:sub>
            <m:r>
              <m:t>w</m:t>
            </m:r>
          </m:sub>
        </m:sSub>
      </m:oMath>
      <w:r>
        <w:t xml:space="preserve">).</w:t>
      </w:r>
    </w:p>
    <w:p>
      <w:pPr>
        <w:pStyle w:val="ПодписьТаблицы"/>
      </w:pPr>
      <w:r>
        <w:t xml:space="preserve">Таблица 2 – Результаты расчёта индексов давлений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кг/м³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0–800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1,019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1,223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1121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800–1000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0,897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1,274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0,987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987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1000–1200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1,277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1,529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1,405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1405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1200–1900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1,277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1,529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1,341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1341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1900–2100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1,481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1,391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1391</w:t>
            </w:r>
          </w:p>
        </w:tc>
      </w:tr>
    </w:tbl>
    <w:p>
      <w:pPr>
        <w:pStyle w:val="BodyText"/>
        <w:spacing w:before="160"/>
      </w:pPr>
      <w:r>
        <w:t xml:space="preserve">Глины (800–1000 м) имеют пластовое давление ниже гидростатического (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nor/>
          </m:rPr>
          <m:t>0,897</m:t>
        </m:r>
      </m:oMath>
      <w:r>
        <w:t xml:space="preserve">); расчётная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0,987</m:t>
        </m:r>
      </m:oMath>
      <w:r>
        <w:t xml:space="preserve"> </w:t>
      </w:r>
      <w:r>
        <w:t xml:space="preserve">для них не применяется — интервал проходится раствором вышележащих пород.</w:t>
      </w:r>
    </w:p>
    <w:bookmarkEnd w:id="22"/>
    <w:bookmarkEnd w:id="23"/>
    <w:bookmarkStart w:id="29" w:name="число-и-глубины-спуска-обсадных-колонн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Число и глубины спуска обсадных колонн</w:t>
      </w:r>
    </w:p>
    <w:bookmarkStart w:id="27" w:name="совмещённый-график-давлений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Совмещённый график давлений</w:t>
      </w:r>
    </w:p>
    <w:p>
      <w:pPr>
        <w:pStyle w:val="FirstParagraph"/>
      </w:pPr>
      <w:r>
        <w:t xml:space="preserve">Совмещённый график давлений (рисунок 1) показывает изменение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  <m:r>
              <m:t>R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по глубине. Весь необсаженный ствол бурится раствором одной плотности, которая должна удовлетворять условию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ρ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R</m:t>
              </m:r>
            </m:sub>
          </m:sSub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</m:oMath>
      </m:oMathPara>
    </w:p>
    <w:p>
      <w:pPr>
        <w:pStyle w:val="FirstParagraph"/>
      </w:pPr>
      <w:r>
        <w:t xml:space="preserve">одновременно для всех вскрытых интервалов. Интервалы, для которых такой плотности не существует, разделяются обсадной колонной.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5039999" cy="554399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рисунки/рис1_совмещенный_график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554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1 – Совмещённый график давлений</w:t>
      </w:r>
    </w:p>
    <w:p>
      <w:pPr>
        <w:pStyle w:val="BodyText"/>
      </w:pPr>
      <w:r>
        <w:t xml:space="preserve">Из графика видно, что для бурения песчаника и известняка (1000–2100 м) требуется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1,405</m:t>
        </m:r>
      </m:oMath>
      <w:r>
        <w:t xml:space="preserve">, что превышает индексы давления поглощения пород выше 1000 м (1,223 и 1,274). С другой стороны, раствор, допустимый для интервала 0–1000 м (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1,121</m:t>
        </m:r>
      </m:oMath>
      <w:r>
        <w:t xml:space="preserve">), легче, чем требуется для песчаника (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nor/>
          </m:rPr>
          <m:t>1,277</m:t>
        </m:r>
      </m:oMath>
      <w:r>
        <w:t xml:space="preserve">), — при его вскрытии возникнет нефтегазоводопроявление. Таким образом, условия бурения интервалов 0–1000 и 1000–2100 м несовместимы.</w:t>
      </w:r>
    </w:p>
    <w:bookmarkEnd w:id="27"/>
    <w:bookmarkStart w:id="28" w:name="принятая-конструкц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Принятая конструкция</w:t>
      </w:r>
    </w:p>
    <w:p>
      <w:pPr>
        <w:numPr>
          <w:ilvl w:val="0"/>
          <w:numId w:val="1001"/>
        </w:numPr>
      </w:pPr>
      <w:r>
        <w:t xml:space="preserve">Кондуктор спускается на глубину</w:t>
      </w:r>
      <w:r>
        <w:t xml:space="preserve"> </w:t>
      </w:r>
      <w:r>
        <w:rPr>
          <w:bCs/>
          <w:b/>
        </w:rPr>
        <w:t xml:space="preserve">260 м</w:t>
      </w:r>
      <w:r>
        <w:t xml:space="preserve"> </w:t>
      </w:r>
      <w:r>
        <w:t xml:space="preserve">— на 10 м ниже подошвы неустойчивых пород (250 м), чтобы перекрыть зону возможных поглощений и обвалов.</w:t>
      </w:r>
    </w:p>
    <w:p>
      <w:pPr>
        <w:numPr>
          <w:ilvl w:val="0"/>
          <w:numId w:val="1001"/>
        </w:numPr>
      </w:pPr>
      <w:r>
        <w:t xml:space="preserve">Промежуточная колонна спускается на глубину</w:t>
      </w:r>
      <w:r>
        <w:t xml:space="preserve"> </w:t>
      </w:r>
      <w:r>
        <w:rPr>
          <w:bCs/>
          <w:b/>
        </w:rPr>
        <w:t xml:space="preserve">1000 м</w:t>
      </w:r>
      <w:r>
        <w:t xml:space="preserve"> </w:t>
      </w:r>
      <w:r>
        <w:t xml:space="preserve">— до кровли песчаника с аномально высоким пластовым давлением; башмак устанавливается в непроницаемых глинах. Спуск ниже 1000 м недопустим: бурение песчаника раствором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1,121</m:t>
        </m:r>
      </m:oMath>
      <w:r>
        <w:t xml:space="preserve"> </w:t>
      </w:r>
      <w:r>
        <w:t xml:space="preserve">приведёт к проявлению.</w:t>
      </w:r>
    </w:p>
    <w:p>
      <w:pPr>
        <w:numPr>
          <w:ilvl w:val="0"/>
          <w:numId w:val="1001"/>
        </w:numPr>
      </w:pPr>
      <w:r>
        <w:t xml:space="preserve">Эксплуатационная колонна спускается до забоя —</w:t>
      </w:r>
      <w:r>
        <w:t xml:space="preserve"> </w:t>
      </w:r>
      <w:r>
        <w:rPr>
          <w:bCs/>
          <w:b/>
        </w:rPr>
        <w:t xml:space="preserve">2100 м</w:t>
      </w:r>
      <w:r>
        <w:t xml:space="preserve">.</w:t>
      </w:r>
    </w:p>
    <w:p>
      <w:pPr>
        <w:pStyle w:val="ПодписьТаблицы"/>
      </w:pPr>
      <w:r>
        <w:t xml:space="preserve">Таблица 3 – Плотность бурового раствора по интервалам бурения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57"/>
        <w:gridCol w:w="2036"/>
        <w:gridCol w:w="905"/>
        <w:gridCol w:w="905"/>
        <w:gridCol w:w="2715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Интервал бурения,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Под колонну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m:oMath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b/>
                <w:sz w:val="24"/>
              </w:rPr>
              <w:t xml:space="preserve">, кг/м³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Проверка (4)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0–260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1121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1,019 &lt; 1,121 &lt; 1,223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260–1000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промежуточную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1,121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1121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1,019 &lt; 1,121 &lt; 1,223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1000–2100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эксплуатационную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1405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1,325 &lt; 1,405 &lt; 1,481</w:t>
            </w:r>
          </w:p>
        </w:tc>
      </w:tr>
    </w:tbl>
    <w:bookmarkEnd w:id="28"/>
    <w:bookmarkEnd w:id="29"/>
    <w:bookmarkStart w:id="30" w:name="интервалы-цементирован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Интервалы цементирования</w:t>
      </w:r>
    </w:p>
    <w:p>
      <w:pPr>
        <w:pStyle w:val="FirstParagraph"/>
      </w:pPr>
      <w:r>
        <w:t xml:space="preserve">Интервалы цементирования определены по Правилам безопасности [4, п. 2.7.4.10–2.7.4.11]: кондуктор цементируется до устья; для нефтяных скважин тампонажный раствор поднимается не менее чем на 150 м над башмаком предыдущей колонны и над кровлей продуктивного горизонта; цементное кольцо должно быть сплошным.</w:t>
      </w:r>
    </w:p>
    <w:p>
      <w:pPr>
        <w:pStyle w:val="ПодписьТаблицы"/>
      </w:pPr>
      <w:r>
        <w:t xml:space="preserve">Таблица 4 – Интервалы цементирования обсадных колонн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Глубина спуска,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Кровля цемента, 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Обоснование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260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до устья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1000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260 − 150 = 110 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2100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850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1000 − 150 = 850 м</w:t>
            </w:r>
          </w:p>
        </w:tc>
      </w:tr>
    </w:tbl>
    <w:p>
      <w:pPr>
        <w:pStyle w:val="BodyText"/>
        <w:spacing w:before="160"/>
      </w:pPr>
      <w:r>
        <w:t xml:space="preserve">Цемент за эксплуатационной колонной (850–2100 м) перекрывает продуктивный известняк с запасом 1050 м над кровлей (требуется не менее 150 м) и песчаник с АВПД; интервал 850–1000 м обеспечивает перекрытие с промежуточной колонной.</w:t>
      </w:r>
    </w:p>
    <w:bookmarkEnd w:id="30"/>
    <w:bookmarkStart w:id="36" w:name="диаметры-долот-и-обсадных-колонн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Диаметры долот и обсадных колонн</w:t>
      </w:r>
    </w:p>
    <w:bookmarkStart w:id="31" w:name="расчёт-диаметров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Расчёт диаметров</w:t>
      </w:r>
    </w:p>
    <w:p>
      <w:pPr>
        <w:pStyle w:val="FirstParagraph"/>
      </w:pPr>
      <w:r>
        <w:t xml:space="preserve">Диаметры определяются последовательно снизу вверх. Расчётный диаметр долота: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 наружный диаметр муфты обсадной трубы ОТТМ по ГОСТ 632-80 [2], мм;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минимальный радиальный зазор между муфтой и стенкой скважины [1] (8 мм для колонн 114–127 мм, 13 мм для 168–245 мм, 18 мм для 273–299 мм). Диаметр долота принимается по ГОСТ 20692-2003 [3] — ближайший не меньший. Внутренний диаметр вышележащей колонны должен пропускать это долото: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мм — минимальный зазор между долотом и внутренней стенкой колонны.</w:t>
      </w:r>
    </w:p>
    <w:p>
      <w:pPr>
        <w:pStyle w:val="ПодписьТаблицы"/>
      </w:pPr>
      <w:r>
        <w:t xml:space="preserve">Таблица 5 – Расчёт диаметров колонн и долот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Величина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Кондуктор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Требуемый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по (6),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≥ 156,0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≥ 232,3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Наружный диаметр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114,3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177,8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273,1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Толщина стенки / внутр. диаметр,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9,2 / 159,4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10,2 / 252,7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Диаметр муфты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127,0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194,5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298,5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Зазор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m:oMath>
              <m:r>
                <m:t>Δ</m:t>
              </m:r>
            </m:oMath>
            <w:r>
              <w:rPr>
                <w:rFonts w:ascii="Times New Roman" w:hAnsi="Times New Roman"/>
                <w:sz w:val="24"/>
              </w:rPr>
              <w:t xml:space="preserve">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по (5),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143,0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220,5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334,5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Долото по ГОСТ 20692, мм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146,0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222,3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349,2</w:t>
            </w:r>
          </w:p>
        </w:tc>
      </w:tr>
    </w:tbl>
    <w:p>
      <w:pPr>
        <w:pStyle w:val="BodyText"/>
        <w:spacing w:before="160"/>
      </w:pPr>
      <w:r>
        <w:t xml:space="preserve">Пояснения к таблице 5. Для промежуточной колонны трубы 168,3 мм не проходят (d ≤ 153,7 мм &lt; 156,0 мм); у труб 177,8 мм проход долота 146,0 мм обеспечивают толщины стенки 6,9…10,4 мм, принята 9,2 мм. Для кондуктора трубы 244,5 мм не проходят (d ≤ 228,7 мм &lt; 232,3 мм), принята колонна 273,1 мм со стенкой 10,2 мм. Толщины стенок предварительные и уточняются расчётом колонн на прочность.</w:t>
      </w:r>
    </w:p>
    <w:bookmarkEnd w:id="31"/>
    <w:bookmarkStart w:id="35" w:name="схема-конструкции-скважины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Схема конструкции скважины</w:t>
      </w:r>
    </w:p>
    <w:p>
      <w:pPr>
        <w:pStyle w:val="FirstParagraph"/>
      </w:pPr>
      <w:r>
        <w:t xml:space="preserve">Схема конструкции приведена на рисунке 2 в обозначениях, принятых на практических занятиях [1].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4139999" cy="481135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рисунки/рис2_схема_конструкции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481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2 – Схема конструкции скважины</w:t>
      </w:r>
    </w:p>
    <w:bookmarkEnd w:id="35"/>
    <w:bookmarkEnd w:id="36"/>
    <w:bookmarkStart w:id="40" w:name="проверка-по-зарубежной-методик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Проверка по зарубежной методике</w:t>
      </w:r>
    </w:p>
    <w:p>
      <w:pPr>
        <w:pStyle w:val="FirstParagraph"/>
      </w:pPr>
      <w:r>
        <w:t xml:space="preserve">Зарубежная методика подбирает диаметры по схеме соответствия обсадных колонн и долот [1], двигаясь от эксплуатационной колонны (рисунок 3). Использованы стрелки стандартного зазора (Standard); размеры переведены из дюймов в миллиметры.</w:t>
      </w:r>
    </w:p>
    <w:p>
      <w:pPr>
        <w:pStyle w:val="BodyText"/>
        <w:keepNext/>
        <w:spacing w:line="240" w:lineRule="auto" w:before="120"/>
        <w:ind w:firstLine="0"/>
        <w:jc w:val="center"/>
      </w:pPr>
      <w:r>
        <w:drawing>
          <wp:inline>
            <wp:extent cx="5334000" cy="243183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рисунки/рис3_зарубежная_схема_выбор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ПодписьРисунка"/>
      </w:pPr>
      <w:r>
        <w:t xml:space="preserve">Рисунок 3 – Схема подбора диаметров по зарубежной методике</w:t>
      </w:r>
    </w:p>
    <w:p>
      <w:pPr>
        <w:pStyle w:val="ПодписьТаблицы"/>
      </w:pPr>
      <w:r>
        <w:t xml:space="preserve">Таблица 6 – Сравнение отечественной и зарубежной методик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94"/>
        <w:gridCol w:w="2762"/>
        <w:gridCol w:w="2762"/>
      </w:tblGrid>
      <w:tr>
        <w:trPr>
          <w:tblHeader w:val="true"/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Колонна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Отечественная: колонна / долото, мм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Зарубежная: колонна / долото, мм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Эксплуатационная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114,3 / 146,0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114,3 (4 1/2”) / 152,4 (6”)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Промежуточная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177,8 / 222,3</w:t>
            </w:r>
          </w:p>
        </w:tc>
        <w:tc>
          <w:tcPr/>
          <w:p>
            <w:pPr>
              <w:pStyle w:val="Compact"/>
              <w:keepNext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177,8 (7”) / 215,9 (8 1/2”)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Кондуктор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273,1 / 349,2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244,5 (9 5/8”) / 311,2 (12 1/4”)</w:t>
            </w:r>
          </w:p>
        </w:tc>
      </w:tr>
    </w:tbl>
    <w:p>
      <w:pPr>
        <w:pStyle w:val="BodyText"/>
        <w:spacing w:before="160"/>
      </w:pPr>
      <w:r>
        <w:t xml:space="preserve">Зарубежная методика даёт такие же диаметры эксплуатационной и промежуточной колонн. Расхождение возникает под промежуточной колонной: долото 8 1/2” (215,9 мм) оставляет между муфтой 194,5 мм и стенкой скважины зазор 10,7 мм, что меньше нормативных 13 мм, поэтому по отечественной методике выбрано долото 222,3 мм. Оно не проходит в колонну 244,5 мм (её наибольший внутренний диаметр 228,7 мм), отсюда кондуктор 273,1 мм вместо 244,5 мм и долото 349,2 мм вместо 311,2 мм. Под эксплуатационную колонну зарубежная схема даёт, наоборот, большее долото — 152,4 мм (такого диаметра нет в ГОСТ 20692-2003).</w:t>
      </w:r>
    </w:p>
    <w:p>
      <w:pPr>
        <w:pStyle w:val="BodyText"/>
      </w:pPr>
      <w:r>
        <w:t xml:space="preserve">Следовательно, результат зарубежной методики аналогичен отечественному для двух нижних колонн, а для верхней части скважины она даёт более компактную конструкцию за счёт меньших допускаемых зазоров. Отечественная методика консервативнее: большие зазоры облегчают спуск колонн и улучшают качество цементирования.</w:t>
      </w:r>
    </w:p>
    <w:bookmarkEnd w:id="40"/>
    <w:bookmarkStart w:id="41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Для нефтяной скважины глубиной 2100 м (вариант № 17) получены следующие результаты:</w:t>
      </w:r>
    </w:p>
    <w:p>
      <w:pPr>
        <w:numPr>
          <w:ilvl w:val="0"/>
          <w:numId w:val="1002"/>
        </w:numPr>
      </w:pPr>
      <w:r>
        <w:t xml:space="preserve">плотность бурового раствора: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1,12</m:t>
        </m:r>
      </m:oMath>
      <w:r>
        <w:t xml:space="preserve"> </w:t>
      </w:r>
      <w:r>
        <w:t xml:space="preserve">(1121 кг/м³) в интервале 0–1000 м и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nor/>
          </m:rPr>
          <m:t>1,40</m:t>
        </m:r>
      </m:oMath>
      <w:r>
        <w:t xml:space="preserve"> </w:t>
      </w:r>
      <w:r>
        <w:t xml:space="preserve">(1405 кг/м³) в интервале 1000–2100 м;</w:t>
      </w:r>
    </w:p>
    <w:p>
      <w:pPr>
        <w:numPr>
          <w:ilvl w:val="0"/>
          <w:numId w:val="1002"/>
        </w:numPr>
      </w:pPr>
      <w:r>
        <w:t xml:space="preserve">конструкция из трёх колонн: кондуктор 273,1 мм на 260 м (долото 349,2 мм), промежуточная 177,8 мм на 1000 м (долото 222,3 мм), эксплуатационная 114,3 мм на 2100 м (долото 146,0 мм);</w:t>
      </w:r>
    </w:p>
    <w:p>
      <w:pPr>
        <w:numPr>
          <w:ilvl w:val="0"/>
          <w:numId w:val="1002"/>
        </w:numPr>
      </w:pPr>
      <w:r>
        <w:t xml:space="preserve">интервалы цементирования: 0–260, 110–1000 и 850–2100 м;</w:t>
      </w:r>
    </w:p>
    <w:p>
      <w:pPr>
        <w:numPr>
          <w:ilvl w:val="0"/>
          <w:numId w:val="1002"/>
        </w:numPr>
      </w:pPr>
      <w:r>
        <w:t xml:space="preserve">по зарубежной методике совпадают две нижние колонны, кондуктор получается меньше — 244,5 мм.</w:t>
      </w:r>
    </w:p>
    <w:bookmarkEnd w:id="41"/>
    <w:bookmarkStart w:id="42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p>
      <w:pPr>
        <w:numPr>
          <w:ilvl w:val="0"/>
          <w:numId w:val="1003"/>
        </w:numPr>
        <w:pStyle w:val="Литература"/>
      </w:pPr>
      <w:r>
        <w:t xml:space="preserve">Проектирование конструкции скважины: материалы практического занятия № 1 по дисциплине «Технология бурения скважин». — М.: РГУ нефти и газа (НИУ) имени И.М. Губкина, кафедра бурения нефтяных и газовых скважин.</w:t>
      </w:r>
    </w:p>
    <w:p>
      <w:pPr>
        <w:numPr>
          <w:ilvl w:val="0"/>
          <w:numId w:val="1003"/>
        </w:numPr>
        <w:pStyle w:val="Литература"/>
      </w:pPr>
      <w:r>
        <w:t xml:space="preserve">ГОСТ 632-80. Трубы обсадные и муфты к ним. Технические условия.</w:t>
      </w:r>
    </w:p>
    <w:p>
      <w:pPr>
        <w:numPr>
          <w:ilvl w:val="0"/>
          <w:numId w:val="1003"/>
        </w:numPr>
        <w:pStyle w:val="Литература"/>
      </w:pPr>
      <w:r>
        <w:t xml:space="preserve">ГОСТ 20692-2003. Долота шарошечные. Технические условия.</w:t>
      </w:r>
    </w:p>
    <w:p>
      <w:pPr>
        <w:numPr>
          <w:ilvl w:val="0"/>
          <w:numId w:val="1003"/>
        </w:numPr>
        <w:pStyle w:val="Литература"/>
      </w:pPr>
      <w:r>
        <w:t xml:space="preserve">Правила безопасности в нефтяной и газовой промышленности (ПБ 08-624-03).</w:t>
      </w:r>
    </w:p>
    <w:bookmarkEnd w:id="42"/>
    <w:sectPr>
      <w:footerReference w:type="default" r:id="rId9"/>
      <w:pgSz w:w="11906" w:h="16838"/>
      <w:pgMar w:left="1701" w:right="850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spacing w:before="0" w:after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pPr>
      <w:keepNext w:val="0"/>
      <w:spacing w:after="0" w:before="0" w:line="360" w:lineRule="auto"/>
      <w:ind w:firstLine="709" w:left="0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keepNext w:val="0"/>
      <w:spacing w:before="0" w:after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keepNext w:val="0"/>
      <w:spacing w:after="0" w:before="0" w:line="360" w:lineRule="auto"/>
      <w:ind w:firstLine="709" w:left="0"/>
      <w:jc w:val="both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240" w:line="360" w:lineRule="auto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240" w:before="24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Литература">
    <w:name w:val="Литература"/>
    <w:basedOn w:val="BodyText"/>
    <w:qFormat/>
    <w:pPr>
      <w:keepNext w:val="0"/>
      <w:spacing w:before="0" w:after="0" w:line="360" w:lineRule="auto"/>
      <w:ind w:left="0" w:firstLine="709"/>
      <w:jc w:val="both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ПодписьРисунка">
    <w:name w:val="ПодписьРисунка"/>
    <w:basedOn w:val="BodyText"/>
    <w:qFormat/>
    <w:pPr>
      <w:keepNext w:val="0"/>
      <w:spacing w:before="0" w:after="12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ПодписьТаблицы">
    <w:name w:val="ПодписьТаблицы"/>
    <w:basedOn w:val="BodyText"/>
    <w:qFormat/>
    <w:pPr>
      <w:keepNext/>
      <w:spacing w:before="120" w:after="0" w:line="360" w:lineRule="auto"/>
      <w:ind w:firstLine="0" w:left="0"/>
      <w:jc w:val="left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">
    <w:name w:val="Титул"/>
    <w:basedOn w:val="BodyText"/>
    <w:qFormat/>
    <w:pPr>
      <w:keepNext w:val="0"/>
      <w:spacing w:before="0" w:after="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Заголовок">
    <w:name w:val="ТитулЗаголовок"/>
    <w:basedOn w:val="BodyText"/>
    <w:qFormat/>
    <w:pPr>
      <w:keepNext w:val="0"/>
      <w:spacing w:before="0" w:after="0" w:line="360" w:lineRule="auto"/>
      <w:ind w:firstLine="0" w:left="0"/>
      <w:jc w:val="center"/>
    </w:pPr>
    <w:rPr>
      <w:rFonts w:ascii="Times New Roman" w:hAnsi="Times New Roman" w:cs="Times New Roman" w:eastAsia="Times New Roman"/>
      <w:b/>
      <w:color w:val="000000"/>
      <w:sz w:val="40"/>
    </w:rPr>
  </w:style>
  <w:style w:type="paragraph" w:customStyle="1" w:styleId="ТитулОтступ">
    <w:name w:val="ТитулОтступ"/>
    <w:basedOn w:val="BodyText"/>
    <w:qFormat/>
    <w:pPr>
      <w:keepNext w:val="0"/>
      <w:spacing w:before="1200" w:after="0" w:line="360" w:lineRule="auto"/>
      <w:ind w:firstLine="0" w:left="0"/>
      <w:jc w:val="center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ТитулПодписи">
    <w:name w:val="ТитулПодписи"/>
    <w:basedOn w:val="BodyText"/>
    <w:qFormat/>
    <w:pPr>
      <w:keepNext w:val="0"/>
      <w:spacing w:before="0" w:after="0" w:line="360" w:lineRule="auto"/>
      <w:ind w:firstLine="0" w:left="4535"/>
      <w:jc w:val="left"/>
    </w:pPr>
    <w:rPr>
      <w:rFonts w:ascii="Times New Roman" w:hAnsi="Times New Roman" w:cs="Times New Roman" w:eastAsia="Times New Roman"/>
      <w:b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32" Type="http://schemas.openxmlformats.org/officeDocument/2006/relationships/image" Target="media/rId32.png"/><Relationship Id="rId37" Type="http://schemas.openxmlformats.org/officeDocument/2006/relationships/image" Target="media/rId3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ДЗ-1. Проектирование конструкции скважины. Вариант 7 (№ 17)</dc:title>
  <dc:creator>Фамилия И.О.</dc:creator>
  <cp:keywords/>
  <dcterms:created xsi:type="dcterms:W3CDTF">2026-10-11T12:49:14Z</dcterms:created>
  <dcterms:modified xsi:type="dcterms:W3CDTF">2026-10-11T12:49:14Z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